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97BCDC6" w:rsidR="00B17211" w:rsidRPr="00B17211" w:rsidRDefault="00B17211" w:rsidP="007F490F">
            <w:r w:rsidRPr="007F490F">
              <w:rPr>
                <w:rStyle w:val="Heading2Char"/>
              </w:rPr>
              <w:t>Our reference:</w:t>
            </w:r>
            <w:r>
              <w:t xml:space="preserve">  FOI 2</w:t>
            </w:r>
            <w:r w:rsidR="00B654B6">
              <w:t>4</w:t>
            </w:r>
            <w:r>
              <w:t>-</w:t>
            </w:r>
            <w:r w:rsidR="00D8738E">
              <w:t>1153</w:t>
            </w:r>
          </w:p>
          <w:p w14:paraId="34BDABA6" w14:textId="0881756A" w:rsidR="00B17211" w:rsidRDefault="00456324" w:rsidP="00EE2373">
            <w:r w:rsidRPr="007F490F">
              <w:rPr>
                <w:rStyle w:val="Heading2Char"/>
              </w:rPr>
              <w:t>Respon</w:t>
            </w:r>
            <w:r w:rsidR="007D55F6">
              <w:rPr>
                <w:rStyle w:val="Heading2Char"/>
              </w:rPr>
              <w:t>ded to:</w:t>
            </w:r>
            <w:r w:rsidR="007F490F">
              <w:t xml:space="preserve">  </w:t>
            </w:r>
            <w:r w:rsidR="00D00532">
              <w:t>xx June</w:t>
            </w:r>
            <w:r>
              <w:t xml:space="preserve"> 202</w:t>
            </w:r>
            <w:r w:rsidR="00B654B6">
              <w:t>4</w:t>
            </w:r>
          </w:p>
        </w:tc>
      </w:tr>
    </w:tbl>
    <w:p w14:paraId="7CA43FEC" w14:textId="0693937F" w:rsidR="00DE24E1" w:rsidRPr="00DE24E1" w:rsidRDefault="00793DD5" w:rsidP="00D5083C">
      <w:pPr>
        <w:jc w:val="both"/>
      </w:pPr>
      <w:r w:rsidRPr="00793DD5">
        <w:t xml:space="preserve">Your recent request for information is replicated below, together with </w:t>
      </w:r>
      <w:r w:rsidR="004341F0">
        <w:t>our</w:t>
      </w:r>
      <w:r w:rsidRPr="00793DD5">
        <w:t xml:space="preserve"> response.</w:t>
      </w:r>
    </w:p>
    <w:p w14:paraId="0DBB78B9" w14:textId="77777777" w:rsidR="00C62B94" w:rsidRDefault="00C62B94" w:rsidP="00411099">
      <w:r>
        <w:t xml:space="preserve">Tackling domestic abuse is a priority for Police Scotland and we are committed to working with our partners to reduce the harm it causes and ultimately eradicate it. </w:t>
      </w:r>
    </w:p>
    <w:p w14:paraId="6C130A00" w14:textId="77777777" w:rsidR="00C62B94" w:rsidRDefault="00C62B94" w:rsidP="00411099">
      <w:r>
        <w:t xml:space="preserve">Domestic abuse is a despicable and debilitating crime which affects </w:t>
      </w:r>
      <w:proofErr w:type="gramStart"/>
      <w:r>
        <w:t>all of</w:t>
      </w:r>
      <w:proofErr w:type="gramEnd"/>
      <w:r>
        <w:t xml:space="preserve"> our communities and has no respect for ability, age, ethnicity, gender, race, religion or sexual orientation. </w:t>
      </w:r>
    </w:p>
    <w:p w14:paraId="31739611" w14:textId="77777777" w:rsidR="00C62B94" w:rsidRDefault="00C62B94" w:rsidP="00411099">
      <w:r>
        <w:t xml:space="preserve">Police Scotland will not tolerate it. </w:t>
      </w:r>
    </w:p>
    <w:p w14:paraId="3A50CB97" w14:textId="77777777" w:rsidR="00C62B94" w:rsidRDefault="00C62B94" w:rsidP="00411099">
      <w:r>
        <w:t xml:space="preserve">Police Scotland will proactively target perpetrators and support victims to prevent domestic abuse from damaging the lives of victims and their families. </w:t>
      </w:r>
    </w:p>
    <w:p w14:paraId="489F2949" w14:textId="77777777" w:rsidR="00C62B94" w:rsidRDefault="00C62B94" w:rsidP="00411099">
      <w:r>
        <w:t>Police Scotland defines domestic abuse as:</w:t>
      </w:r>
    </w:p>
    <w:p w14:paraId="1CFFAFA9" w14:textId="77777777" w:rsidR="00C62B94" w:rsidRDefault="00C62B94" w:rsidP="00411099">
      <w:r>
        <w:t xml:space="preserve">“Any form of physical, verbal, sexual, psychological or financial abuse which might amount to criminal </w:t>
      </w:r>
      <w:proofErr w:type="gramStart"/>
      <w:r>
        <w:t>conduct</w:t>
      </w:r>
      <w:proofErr w:type="gramEnd"/>
      <w:r>
        <w:t xml:space="preserve"> and which takes place within the context of a relationship.  The relationship will be between partners (married, cohabiting, civil partnership or otherwise) or ex-partners.  The abuse may be committed in the home or elsewhere including online.”</w:t>
      </w:r>
    </w:p>
    <w:p w14:paraId="1802AD94" w14:textId="77777777" w:rsidR="00C62B94" w:rsidRDefault="00C62B94" w:rsidP="00411099">
      <w:r>
        <w:t xml:space="preserve">This definition is included in the Joint Protocol between Police Scotland and the Crown Office and Procurator Fiscal Service (COPFS), “In partnership challenging domestic abuse” which can be accessed online - </w:t>
      </w:r>
      <w:hyperlink r:id="rId11" w:history="1">
        <w:r>
          <w:rPr>
            <w:rStyle w:val="Hyperlink"/>
          </w:rPr>
          <w:t>What is domestic abuse? - Police Scotland</w:t>
        </w:r>
      </w:hyperlink>
      <w:r>
        <w:t>.</w:t>
      </w:r>
    </w:p>
    <w:p w14:paraId="3D968F60" w14:textId="77777777" w:rsidR="00DE24E1" w:rsidRDefault="00DE24E1" w:rsidP="00D5083C">
      <w:pPr>
        <w:pStyle w:val="Heading2"/>
        <w:jc w:val="both"/>
        <w:rPr>
          <w:rFonts w:eastAsia="Times New Roman"/>
        </w:rPr>
      </w:pPr>
    </w:p>
    <w:p w14:paraId="46C76E70" w14:textId="3289CC13" w:rsidR="00DE24E1" w:rsidRPr="00D00532" w:rsidRDefault="00DE24E1" w:rsidP="00D5083C">
      <w:pPr>
        <w:pStyle w:val="Heading2"/>
        <w:numPr>
          <w:ilvl w:val="0"/>
          <w:numId w:val="5"/>
        </w:numPr>
        <w:jc w:val="both"/>
        <w:rPr>
          <w:rFonts w:eastAsia="Times New Roman"/>
        </w:rPr>
      </w:pPr>
      <w:r>
        <w:rPr>
          <w:rFonts w:eastAsia="Times New Roman"/>
        </w:rPr>
        <w:t>Of the reported domestic abuse incidents between 2019-2024 how many of th</w:t>
      </w:r>
      <w:r w:rsidR="009B1433">
        <w:rPr>
          <w:rFonts w:eastAsia="Times New Roman"/>
        </w:rPr>
        <w:t>e</w:t>
      </w:r>
      <w:r w:rsidR="00D00532">
        <w:rPr>
          <w:rFonts w:eastAsia="Times New Roman"/>
        </w:rPr>
        <w:t xml:space="preserve"> </w:t>
      </w:r>
      <w:r>
        <w:t>victims were pregnant?</w:t>
      </w:r>
      <w:r w:rsidR="009B1433">
        <w:t xml:space="preserve"> </w:t>
      </w:r>
      <w:r>
        <w:t xml:space="preserve"> Please give a yearly breakdown.</w:t>
      </w:r>
    </w:p>
    <w:p w14:paraId="0FE88EA2" w14:textId="5A3603ED" w:rsidR="009D4D2E" w:rsidRDefault="005E0B92" w:rsidP="00411099">
      <w:r>
        <w:t xml:space="preserve">Unfortunately, </w:t>
      </w:r>
      <w:r w:rsidR="009B26B2" w:rsidRPr="0035524B">
        <w:t xml:space="preserve">I am unable to provide </w:t>
      </w:r>
      <w:r w:rsidR="009B26B2">
        <w:t>the data that you have requested</w:t>
      </w:r>
      <w:r w:rsidR="009B26B2" w:rsidRPr="0035524B">
        <w:t xml:space="preserve"> as it would prove too costly to do so within the context of the fee regulations. As you may be aware the current cost threshold is </w:t>
      </w:r>
      <w:proofErr w:type="gramStart"/>
      <w:r w:rsidR="009B26B2" w:rsidRPr="0035524B">
        <w:t>£600</w:t>
      </w:r>
      <w:proofErr w:type="gramEnd"/>
      <w:r w:rsidR="009B26B2" w:rsidRPr="0035524B">
        <w:t xml:space="preserve"> and I estimate that it would cost well in excess of this amount to process your request.</w:t>
      </w:r>
      <w:r w:rsidR="009B26B2">
        <w:t xml:space="preserve"> </w:t>
      </w:r>
    </w:p>
    <w:p w14:paraId="62A8BA19" w14:textId="08C9210A" w:rsidR="00D00532" w:rsidRDefault="005E0B92" w:rsidP="00411099">
      <w:r>
        <w:t>To explain</w:t>
      </w:r>
      <w:r w:rsidR="009D4D2E">
        <w:t>, domestic abuse incidents involving pregnancy are recorded on the interim Vulnerable Persons Database</w:t>
      </w:r>
      <w:r w:rsidR="00D00532">
        <w:t xml:space="preserve"> (iVPD)</w:t>
      </w:r>
      <w:r w:rsidR="009D4D2E">
        <w:t xml:space="preserve"> with a ‘pregnancy’ marker. </w:t>
      </w:r>
    </w:p>
    <w:p w14:paraId="1445A15F" w14:textId="010B37DA" w:rsidR="009D4D2E" w:rsidRDefault="009D4D2E" w:rsidP="00411099">
      <w:r>
        <w:lastRenderedPageBreak/>
        <w:t>Th</w:t>
      </w:r>
      <w:r w:rsidR="005E0B92">
        <w:t>e</w:t>
      </w:r>
      <w:r>
        <w:t xml:space="preserve"> marker however relates to the incident</w:t>
      </w:r>
      <w:r w:rsidR="00D00532">
        <w:t>,</w:t>
      </w:r>
      <w:r>
        <w:t xml:space="preserve"> rather than to a specific person involved</w:t>
      </w:r>
      <w:r w:rsidR="00D00532">
        <w:t>,</w:t>
      </w:r>
      <w:r>
        <w:t xml:space="preserve"> therefore there is no simple way of determining whether it was the victim or perpetrator that was pregnant at the time of the incident.</w:t>
      </w:r>
    </w:p>
    <w:p w14:paraId="0D50B833" w14:textId="261648F2" w:rsidR="00D00532" w:rsidRDefault="009B26B2" w:rsidP="00411099">
      <w:r>
        <w:t>T</w:t>
      </w:r>
      <w:r w:rsidRPr="0035524B">
        <w:t xml:space="preserve">he only way to </w:t>
      </w:r>
      <w:r w:rsidR="005E0B92">
        <w:t>answer your question therefore</w:t>
      </w:r>
      <w:r w:rsidRPr="0035524B">
        <w:t xml:space="preserve"> would be to individually examine </w:t>
      </w:r>
      <w:r w:rsidR="005E0B92">
        <w:t>every potentially relevant</w:t>
      </w:r>
      <w:r w:rsidRPr="0035524B">
        <w:t xml:space="preserve"> crime report</w:t>
      </w:r>
      <w:r w:rsidR="005E0B92">
        <w:t>,</w:t>
      </w:r>
      <w:r w:rsidRPr="0035524B">
        <w:t xml:space="preserve"> </w:t>
      </w:r>
      <w:r w:rsidR="009D4D2E">
        <w:t>to determine whether the pregnancy marker referred to the victim, or not.</w:t>
      </w:r>
      <w:r w:rsidRPr="0035524B">
        <w:t xml:space="preserve"> </w:t>
      </w:r>
    </w:p>
    <w:p w14:paraId="688ECEC5" w14:textId="36CF2E97" w:rsidR="009B26B2" w:rsidRDefault="005E0B92" w:rsidP="00411099">
      <w:r>
        <w:t>Given the</w:t>
      </w:r>
      <w:r w:rsidR="009D4D2E">
        <w:t xml:space="preserve"> number of incidents</w:t>
      </w:r>
      <w:r>
        <w:t>, such</w:t>
      </w:r>
      <w:r w:rsidR="009B26B2" w:rsidRPr="0035524B">
        <w:t xml:space="preserve"> </w:t>
      </w:r>
      <w:r w:rsidR="009D4D2E">
        <w:t xml:space="preserve">an exercise would </w:t>
      </w:r>
      <w:r w:rsidR="009B26B2" w:rsidRPr="0035524B">
        <w:t>exceed the cost limitations of the Act.</w:t>
      </w:r>
      <w:r w:rsidR="009D4D2E">
        <w:t xml:space="preserve"> </w:t>
      </w:r>
    </w:p>
    <w:p w14:paraId="00D9EFFA" w14:textId="6DB40606" w:rsidR="00B52436" w:rsidRDefault="009D4D2E" w:rsidP="00411099">
      <w:r>
        <w:t xml:space="preserve">By way of assistance, </w:t>
      </w:r>
      <w:r w:rsidR="005E0B92">
        <w:t>the table below details</w:t>
      </w:r>
      <w:r>
        <w:t xml:space="preserve"> recorded domestic abuse incidents </w:t>
      </w:r>
      <w:r w:rsidR="00213E1D">
        <w:t xml:space="preserve">with a pregnancy marker </w:t>
      </w:r>
      <w:r>
        <w:t>between 1</w:t>
      </w:r>
      <w:r w:rsidRPr="00C62B94">
        <w:rPr>
          <w:vertAlign w:val="superscript"/>
        </w:rPr>
        <w:t>st</w:t>
      </w:r>
      <w:r>
        <w:t xml:space="preserve"> January 2019</w:t>
      </w:r>
      <w:r w:rsidR="00D00532">
        <w:t xml:space="preserve"> and</w:t>
      </w:r>
      <w:r>
        <w:t xml:space="preserve"> 31</w:t>
      </w:r>
      <w:r w:rsidRPr="00C62B94">
        <w:rPr>
          <w:vertAlign w:val="superscript"/>
        </w:rPr>
        <w:t>st</w:t>
      </w:r>
      <w:r>
        <w:t xml:space="preserve"> March 2024. </w:t>
      </w:r>
    </w:p>
    <w:p w14:paraId="512FBCF1" w14:textId="2E58058C" w:rsidR="00D00532" w:rsidRDefault="00D00532" w:rsidP="00411099">
      <w:r>
        <w:t>Please note</w:t>
      </w:r>
      <w:r w:rsidR="009B26B2">
        <w:t xml:space="preserve"> that d</w:t>
      </w:r>
      <w:r w:rsidR="00086EF9">
        <w:t xml:space="preserve">omestic abuse incidents recorded by </w:t>
      </w:r>
      <w:r w:rsidR="00901D4E">
        <w:t>P</w:t>
      </w:r>
      <w:r w:rsidR="00086EF9">
        <w:t xml:space="preserve">olice Scotland </w:t>
      </w:r>
      <w:r w:rsidR="000F53CC">
        <w:t xml:space="preserve">are only </w:t>
      </w:r>
      <w:r w:rsidR="009B26B2">
        <w:t xml:space="preserve">recorded within the </w:t>
      </w:r>
      <w:r>
        <w:t>iVPD</w:t>
      </w:r>
      <w:r w:rsidR="009B26B2">
        <w:t xml:space="preserve"> with a pregnancy marker </w:t>
      </w:r>
      <w:r w:rsidR="000F53CC">
        <w:t xml:space="preserve">in </w:t>
      </w:r>
      <w:r w:rsidR="00086EF9">
        <w:t xml:space="preserve">circumstances where the pregnancy </w:t>
      </w:r>
      <w:r w:rsidR="000F53CC">
        <w:t xml:space="preserve">was </w:t>
      </w:r>
      <w:r w:rsidR="00086EF9">
        <w:t xml:space="preserve">known of </w:t>
      </w:r>
      <w:r w:rsidR="000F53CC">
        <w:t xml:space="preserve">and disclosed to the police. </w:t>
      </w:r>
    </w:p>
    <w:p w14:paraId="02C76EA1" w14:textId="77777777" w:rsidR="00D00532" w:rsidRDefault="009B26B2" w:rsidP="00411099">
      <w:r>
        <w:t>If</w:t>
      </w:r>
      <w:r w:rsidRPr="00D8738E">
        <w:t xml:space="preserve"> a victim chooses not to disclose to the police that they are pregnant then th</w:t>
      </w:r>
      <w:r>
        <w:t>is</w:t>
      </w:r>
      <w:r w:rsidRPr="00D8738E">
        <w:t xml:space="preserve"> will not be recorded. </w:t>
      </w:r>
    </w:p>
    <w:p w14:paraId="3C318FC4" w14:textId="2F70505B" w:rsidR="009B26B2" w:rsidRPr="00B11A55" w:rsidRDefault="009B26B2" w:rsidP="00411099">
      <w:r>
        <w:t>Therefore</w:t>
      </w:r>
      <w:r w:rsidR="009D4D2E">
        <w:t xml:space="preserve">, </w:t>
      </w:r>
      <w:r>
        <w:t xml:space="preserve">the </w:t>
      </w:r>
      <w:r w:rsidR="009D4D2E">
        <w:t>data</w:t>
      </w:r>
      <w:r>
        <w:t xml:space="preserve"> shown in the table </w:t>
      </w:r>
      <w:r w:rsidR="009D4D2E">
        <w:t>is</w:t>
      </w:r>
      <w:r>
        <w:t xml:space="preserve"> not a comprehensive understanding of the total numbers</w:t>
      </w:r>
      <w:r w:rsidR="00213E1D">
        <w:t xml:space="preserve"> of pregnant victims of domestic abuse. </w:t>
      </w:r>
    </w:p>
    <w:p w14:paraId="30ACD470" w14:textId="2CAAAEDB" w:rsidR="00B707B5" w:rsidRPr="00B707B5" w:rsidRDefault="00D00532" w:rsidP="00D00532">
      <w:r>
        <w:t>Table 1 - R</w:t>
      </w:r>
      <w:r w:rsidR="00B707B5">
        <w:t>e</w:t>
      </w:r>
      <w:r w:rsidR="00DE24E1">
        <w:t xml:space="preserve">corded </w:t>
      </w:r>
      <w:r w:rsidR="00B707B5">
        <w:t xml:space="preserve">domestic abuse incidents involving </w:t>
      </w:r>
      <w:r w:rsidR="00B824A2">
        <w:t xml:space="preserve">known and disclosed </w:t>
      </w:r>
      <w:r w:rsidR="00B707B5">
        <w:t xml:space="preserve">pregnancy </w:t>
      </w:r>
      <w:r>
        <w:t>-</w:t>
      </w:r>
      <w:r w:rsidR="00B707B5">
        <w:t xml:space="preserve"> </w:t>
      </w:r>
      <w:r w:rsidR="00C62B94">
        <w:t>1</w:t>
      </w:r>
      <w:r w:rsidR="00C62B94" w:rsidRPr="00C62B94">
        <w:rPr>
          <w:vertAlign w:val="superscript"/>
        </w:rPr>
        <w:t>st</w:t>
      </w:r>
      <w:r w:rsidR="00C62B94">
        <w:t xml:space="preserve"> January </w:t>
      </w:r>
      <w:r w:rsidR="00B707B5">
        <w:t>2019</w:t>
      </w:r>
      <w:r w:rsidR="00901D4E">
        <w:t xml:space="preserve"> </w:t>
      </w:r>
      <w:r w:rsidR="00B707B5">
        <w:t>-</w:t>
      </w:r>
      <w:r w:rsidR="00C62B94">
        <w:t xml:space="preserve"> 31</w:t>
      </w:r>
      <w:r w:rsidR="00C62B94" w:rsidRPr="00C62B94">
        <w:rPr>
          <w:vertAlign w:val="superscript"/>
        </w:rPr>
        <w:t>st</w:t>
      </w:r>
      <w:r w:rsidR="00C62B94">
        <w:t xml:space="preserve"> March </w:t>
      </w:r>
      <w:r w:rsidR="00B707B5">
        <w:t>202</w:t>
      </w:r>
      <w:r w:rsidR="00C62B94">
        <w:t>4.</w:t>
      </w:r>
    </w:p>
    <w:tbl>
      <w:tblPr>
        <w:tblStyle w:val="TableGrid"/>
        <w:tblW w:w="9864" w:type="dxa"/>
        <w:tblLayout w:type="fixed"/>
        <w:tblLook w:val="04A0" w:firstRow="1" w:lastRow="0" w:firstColumn="1" w:lastColumn="0" w:noHBand="0" w:noVBand="1"/>
      </w:tblPr>
      <w:tblGrid>
        <w:gridCol w:w="5146"/>
        <w:gridCol w:w="755"/>
        <w:gridCol w:w="814"/>
        <w:gridCol w:w="750"/>
        <w:gridCol w:w="808"/>
        <w:gridCol w:w="750"/>
        <w:gridCol w:w="841"/>
      </w:tblGrid>
      <w:tr w:rsidR="00955DDE" w:rsidRPr="00D00532" w14:paraId="239133CF" w14:textId="77777777" w:rsidTr="00D00532">
        <w:tc>
          <w:tcPr>
            <w:tcW w:w="5146" w:type="dxa"/>
            <w:shd w:val="clear" w:color="auto" w:fill="D0CECE" w:themeFill="background2" w:themeFillShade="E6"/>
          </w:tcPr>
          <w:p w14:paraId="1A90F576" w14:textId="2B286102" w:rsidR="00B707B5" w:rsidRPr="00D00532" w:rsidRDefault="00D00532" w:rsidP="00D00532">
            <w:pPr>
              <w:spacing w:line="240" w:lineRule="auto"/>
              <w:rPr>
                <w:b/>
                <w:bCs/>
              </w:rPr>
            </w:pPr>
            <w:r>
              <w:rPr>
                <w:b/>
                <w:bCs/>
              </w:rPr>
              <w:t>Domestic Abuse Incidents</w:t>
            </w:r>
          </w:p>
        </w:tc>
        <w:tc>
          <w:tcPr>
            <w:tcW w:w="755" w:type="dxa"/>
            <w:shd w:val="clear" w:color="auto" w:fill="D0CECE" w:themeFill="background2" w:themeFillShade="E6"/>
          </w:tcPr>
          <w:p w14:paraId="46256F08" w14:textId="42CEDE78" w:rsidR="00B707B5" w:rsidRPr="00D00532" w:rsidRDefault="00B707B5" w:rsidP="00D00532">
            <w:pPr>
              <w:spacing w:line="240" w:lineRule="auto"/>
              <w:rPr>
                <w:b/>
                <w:bCs/>
              </w:rPr>
            </w:pPr>
            <w:r w:rsidRPr="00D00532">
              <w:rPr>
                <w:b/>
                <w:bCs/>
              </w:rPr>
              <w:t>2019</w:t>
            </w:r>
          </w:p>
        </w:tc>
        <w:tc>
          <w:tcPr>
            <w:tcW w:w="814" w:type="dxa"/>
            <w:shd w:val="clear" w:color="auto" w:fill="D0CECE" w:themeFill="background2" w:themeFillShade="E6"/>
          </w:tcPr>
          <w:p w14:paraId="25216478" w14:textId="24FDF51A" w:rsidR="00B707B5" w:rsidRPr="00D00532" w:rsidRDefault="00B707B5" w:rsidP="00D00532">
            <w:pPr>
              <w:spacing w:line="240" w:lineRule="auto"/>
              <w:rPr>
                <w:b/>
                <w:bCs/>
              </w:rPr>
            </w:pPr>
            <w:r w:rsidRPr="00D00532">
              <w:rPr>
                <w:b/>
                <w:bCs/>
              </w:rPr>
              <w:t>2020</w:t>
            </w:r>
          </w:p>
        </w:tc>
        <w:tc>
          <w:tcPr>
            <w:tcW w:w="750" w:type="dxa"/>
            <w:shd w:val="clear" w:color="auto" w:fill="D0CECE" w:themeFill="background2" w:themeFillShade="E6"/>
          </w:tcPr>
          <w:p w14:paraId="0D180BEA" w14:textId="02979D4A" w:rsidR="00B707B5" w:rsidRPr="00D00532" w:rsidRDefault="00B707B5" w:rsidP="00D00532">
            <w:pPr>
              <w:spacing w:line="240" w:lineRule="auto"/>
              <w:rPr>
                <w:b/>
                <w:bCs/>
              </w:rPr>
            </w:pPr>
            <w:r w:rsidRPr="00D00532">
              <w:rPr>
                <w:b/>
                <w:bCs/>
              </w:rPr>
              <w:t>2021</w:t>
            </w:r>
          </w:p>
        </w:tc>
        <w:tc>
          <w:tcPr>
            <w:tcW w:w="808" w:type="dxa"/>
            <w:shd w:val="clear" w:color="auto" w:fill="D0CECE" w:themeFill="background2" w:themeFillShade="E6"/>
          </w:tcPr>
          <w:p w14:paraId="6E8DCBF3" w14:textId="55B88DC3" w:rsidR="00B707B5" w:rsidRPr="00D00532" w:rsidRDefault="00B707B5" w:rsidP="00D00532">
            <w:pPr>
              <w:spacing w:line="240" w:lineRule="auto"/>
              <w:rPr>
                <w:b/>
                <w:bCs/>
              </w:rPr>
            </w:pPr>
            <w:r w:rsidRPr="00D00532">
              <w:rPr>
                <w:b/>
                <w:bCs/>
              </w:rPr>
              <w:t>2022</w:t>
            </w:r>
          </w:p>
        </w:tc>
        <w:tc>
          <w:tcPr>
            <w:tcW w:w="750" w:type="dxa"/>
            <w:shd w:val="clear" w:color="auto" w:fill="D0CECE" w:themeFill="background2" w:themeFillShade="E6"/>
          </w:tcPr>
          <w:p w14:paraId="50D60F1B" w14:textId="7E0872FE" w:rsidR="00B707B5" w:rsidRPr="00D00532" w:rsidRDefault="00B707B5" w:rsidP="00D00532">
            <w:pPr>
              <w:spacing w:line="240" w:lineRule="auto"/>
              <w:rPr>
                <w:b/>
                <w:bCs/>
              </w:rPr>
            </w:pPr>
            <w:r w:rsidRPr="00D00532">
              <w:rPr>
                <w:b/>
                <w:bCs/>
              </w:rPr>
              <w:t>2023</w:t>
            </w:r>
          </w:p>
        </w:tc>
        <w:tc>
          <w:tcPr>
            <w:tcW w:w="841" w:type="dxa"/>
            <w:shd w:val="clear" w:color="auto" w:fill="D0CECE" w:themeFill="background2" w:themeFillShade="E6"/>
          </w:tcPr>
          <w:p w14:paraId="3F0E52F4" w14:textId="347E8077" w:rsidR="00B707B5" w:rsidRPr="00D00532" w:rsidRDefault="00B707B5" w:rsidP="00D00532">
            <w:pPr>
              <w:spacing w:line="240" w:lineRule="auto"/>
              <w:rPr>
                <w:b/>
                <w:bCs/>
              </w:rPr>
            </w:pPr>
            <w:r w:rsidRPr="00D00532">
              <w:rPr>
                <w:b/>
                <w:bCs/>
              </w:rPr>
              <w:t>2024</w:t>
            </w:r>
          </w:p>
        </w:tc>
      </w:tr>
      <w:tr w:rsidR="00955DDE" w14:paraId="64341520" w14:textId="77777777" w:rsidTr="00D00532">
        <w:tc>
          <w:tcPr>
            <w:tcW w:w="5146" w:type="dxa"/>
          </w:tcPr>
          <w:p w14:paraId="71939A81" w14:textId="73F76061" w:rsidR="00B707B5" w:rsidRDefault="00D00532" w:rsidP="00D00532">
            <w:pPr>
              <w:spacing w:line="240" w:lineRule="auto"/>
            </w:pPr>
            <w:r>
              <w:t>W</w:t>
            </w:r>
            <w:r w:rsidR="00213E1D">
              <w:t>ith a pregnancy marker</w:t>
            </w:r>
          </w:p>
        </w:tc>
        <w:tc>
          <w:tcPr>
            <w:tcW w:w="755" w:type="dxa"/>
          </w:tcPr>
          <w:p w14:paraId="469B37F8" w14:textId="6B645A0C" w:rsidR="00B707B5" w:rsidRDefault="00B707B5" w:rsidP="00D00532">
            <w:pPr>
              <w:spacing w:line="240" w:lineRule="auto"/>
            </w:pPr>
            <w:r>
              <w:t>1438</w:t>
            </w:r>
          </w:p>
        </w:tc>
        <w:tc>
          <w:tcPr>
            <w:tcW w:w="814" w:type="dxa"/>
          </w:tcPr>
          <w:p w14:paraId="4BBEF2F2" w14:textId="7A7356ED" w:rsidR="00B707B5" w:rsidRDefault="00B707B5" w:rsidP="00D00532">
            <w:pPr>
              <w:spacing w:line="240" w:lineRule="auto"/>
            </w:pPr>
            <w:r>
              <w:t>1473</w:t>
            </w:r>
          </w:p>
        </w:tc>
        <w:tc>
          <w:tcPr>
            <w:tcW w:w="750" w:type="dxa"/>
          </w:tcPr>
          <w:p w14:paraId="777AFD2F" w14:textId="326DB489" w:rsidR="00B707B5" w:rsidRDefault="00B707B5" w:rsidP="00D00532">
            <w:pPr>
              <w:spacing w:line="240" w:lineRule="auto"/>
            </w:pPr>
            <w:r>
              <w:t>1444</w:t>
            </w:r>
          </w:p>
        </w:tc>
        <w:tc>
          <w:tcPr>
            <w:tcW w:w="808" w:type="dxa"/>
          </w:tcPr>
          <w:p w14:paraId="444FFB05" w14:textId="4A13C491" w:rsidR="00B707B5" w:rsidRDefault="00B707B5" w:rsidP="00D00532">
            <w:pPr>
              <w:spacing w:line="240" w:lineRule="auto"/>
            </w:pPr>
            <w:r>
              <w:t>1296</w:t>
            </w:r>
          </w:p>
        </w:tc>
        <w:tc>
          <w:tcPr>
            <w:tcW w:w="750" w:type="dxa"/>
          </w:tcPr>
          <w:p w14:paraId="4B5DCDE6" w14:textId="4C158B60" w:rsidR="00B707B5" w:rsidRDefault="00B707B5" w:rsidP="00D00532">
            <w:pPr>
              <w:spacing w:line="240" w:lineRule="auto"/>
            </w:pPr>
            <w:r>
              <w:t>1323</w:t>
            </w:r>
          </w:p>
        </w:tc>
        <w:tc>
          <w:tcPr>
            <w:tcW w:w="841" w:type="dxa"/>
          </w:tcPr>
          <w:p w14:paraId="68B0DDA6" w14:textId="3C054BDB" w:rsidR="00B707B5" w:rsidRDefault="00B707B5" w:rsidP="00D00532">
            <w:pPr>
              <w:spacing w:line="240" w:lineRule="auto"/>
            </w:pPr>
            <w:r>
              <w:t>331</w:t>
            </w:r>
          </w:p>
        </w:tc>
      </w:tr>
    </w:tbl>
    <w:p w14:paraId="3BFD7340" w14:textId="77777777" w:rsidR="00411099" w:rsidRPr="00411099" w:rsidRDefault="00411099" w:rsidP="00411099">
      <w:pPr>
        <w:rPr>
          <w:sz w:val="12"/>
          <w:szCs w:val="12"/>
          <w:lang w:eastAsia="en-GB"/>
        </w:rPr>
      </w:pPr>
    </w:p>
    <w:p w14:paraId="53D89342" w14:textId="77777777" w:rsidR="005E0B92" w:rsidRDefault="00411099" w:rsidP="00411099">
      <w:pPr>
        <w:rPr>
          <w:lang w:eastAsia="en-GB"/>
        </w:rPr>
      </w:pPr>
      <w:r>
        <w:rPr>
          <w:lang w:eastAsia="en-GB"/>
        </w:rPr>
        <w:t>A</w:t>
      </w:r>
      <w:r w:rsidR="00955DDE">
        <w:rPr>
          <w:lang w:eastAsia="en-GB"/>
        </w:rPr>
        <w:t xml:space="preserve">ll </w:t>
      </w:r>
      <w:r>
        <w:rPr>
          <w:lang w:eastAsia="en-GB"/>
        </w:rPr>
        <w:t>data</w:t>
      </w:r>
      <w:r w:rsidR="00955DDE">
        <w:rPr>
          <w:lang w:eastAsia="en-GB"/>
        </w:rPr>
        <w:t xml:space="preserve"> are provisional and should be treated as management information. </w:t>
      </w:r>
      <w:r w:rsidR="00D00532">
        <w:rPr>
          <w:lang w:eastAsia="en-GB"/>
        </w:rPr>
        <w:br/>
      </w:r>
      <w:r w:rsidR="00955DDE">
        <w:rPr>
          <w:lang w:eastAsia="en-GB"/>
        </w:rPr>
        <w:t xml:space="preserve">All data </w:t>
      </w:r>
      <w:r>
        <w:rPr>
          <w:lang w:eastAsia="en-GB"/>
        </w:rPr>
        <w:t>were</w:t>
      </w:r>
      <w:r w:rsidR="00955DDE">
        <w:rPr>
          <w:lang w:eastAsia="en-GB"/>
        </w:rPr>
        <w:t xml:space="preserve"> extracted from Police Scotland systems and are correct as </w:t>
      </w:r>
      <w:proofErr w:type="gramStart"/>
      <w:r w:rsidR="00955DDE">
        <w:rPr>
          <w:lang w:eastAsia="en-GB"/>
        </w:rPr>
        <w:t>at</w:t>
      </w:r>
      <w:proofErr w:type="gramEnd"/>
      <w:r w:rsidR="00955DDE">
        <w:rPr>
          <w:lang w:eastAsia="en-GB"/>
        </w:rPr>
        <w:t xml:space="preserve"> 9 May 2024.</w:t>
      </w:r>
      <w:r>
        <w:rPr>
          <w:lang w:eastAsia="en-GB"/>
        </w:rPr>
        <w:br/>
      </w:r>
      <w:r w:rsidR="00C62B94" w:rsidRPr="00C62B94">
        <w:rPr>
          <w:lang w:eastAsia="en-GB"/>
        </w:rPr>
        <w:t>The data was extracted using the incident's raised date and extracted from iVPD by selecting Domestic</w:t>
      </w:r>
      <w:r w:rsidR="00D00532">
        <w:rPr>
          <w:lang w:eastAsia="en-GB"/>
        </w:rPr>
        <w:t xml:space="preserve"> </w:t>
      </w:r>
      <w:r w:rsidR="00C62B94" w:rsidRPr="00C62B94">
        <w:rPr>
          <w:lang w:eastAsia="en-GB"/>
        </w:rPr>
        <w:t xml:space="preserve">Incidents.  </w:t>
      </w:r>
      <w:r w:rsidR="00D00532">
        <w:rPr>
          <w:lang w:eastAsia="en-GB"/>
        </w:rPr>
        <w:br/>
      </w:r>
      <w:r w:rsidR="00C62B94" w:rsidRPr="00C62B94">
        <w:rPr>
          <w:lang w:eastAsia="en-GB"/>
        </w:rPr>
        <w:t xml:space="preserve">Incident Nominals with a 'Pregnancy'/'Pregnancy (Unborn Child)' marker recorded within the 'Incident Marker' or the 'At Risk' table were identified.  </w:t>
      </w:r>
      <w:r w:rsidR="00D00532">
        <w:rPr>
          <w:lang w:eastAsia="en-GB"/>
        </w:rPr>
        <w:br/>
      </w:r>
      <w:r w:rsidR="00C62B94" w:rsidRPr="00C62B94">
        <w:rPr>
          <w:lang w:eastAsia="en-GB"/>
        </w:rPr>
        <w:t>The Domestic Incidents with a 'Pregnancy' marker from either of the 2 identified tables (Incident Markers, At Risk) were then selected and displayed within Table 1.</w:t>
      </w:r>
    </w:p>
    <w:p w14:paraId="735AE156" w14:textId="14B3E157" w:rsidR="00C62B94" w:rsidRDefault="00C62B94" w:rsidP="00411099">
      <w:pPr>
        <w:rPr>
          <w:lang w:eastAsia="en-GB"/>
        </w:rPr>
      </w:pPr>
      <w:r w:rsidRPr="00C62B94">
        <w:rPr>
          <w:lang w:eastAsia="en-GB"/>
        </w:rPr>
        <w:lastRenderedPageBreak/>
        <w:t xml:space="preserve">Please note, more than one marker can be selected from the 'Incident Marker' table; and more than one marker can be selected from the 'At Risk' table; and more than one marker can be selected from the 'Incident Marker' table.  </w:t>
      </w:r>
      <w:r w:rsidR="00411099">
        <w:rPr>
          <w:lang w:eastAsia="en-GB"/>
        </w:rPr>
        <w:br/>
      </w:r>
      <w:r w:rsidRPr="00C62B94">
        <w:rPr>
          <w:lang w:eastAsia="en-GB"/>
        </w:rPr>
        <w:t>Table 1 is a count of unique domestic incidents, not markers.</w:t>
      </w:r>
    </w:p>
    <w:p w14:paraId="60E7C2AD" w14:textId="77777777" w:rsidR="00C00522" w:rsidRPr="00C62B94" w:rsidRDefault="00C00522" w:rsidP="00D5083C">
      <w:pPr>
        <w:jc w:val="both"/>
        <w:rPr>
          <w:lang w:eastAsia="en-GB"/>
        </w:rPr>
      </w:pPr>
    </w:p>
    <w:p w14:paraId="69E11F2A" w14:textId="5E9BF31C" w:rsidR="009B1433" w:rsidRDefault="009B1433" w:rsidP="00D5083C">
      <w:pPr>
        <w:pStyle w:val="Heading2"/>
        <w:jc w:val="both"/>
      </w:pPr>
      <w:r>
        <w:t xml:space="preserve">2. </w:t>
      </w:r>
      <w:r w:rsidR="00B707B5">
        <w:t xml:space="preserve">Of those reported </w:t>
      </w:r>
      <w:r w:rsidR="00C00522">
        <w:t>incidents…</w:t>
      </w:r>
    </w:p>
    <w:p w14:paraId="310CBAF5" w14:textId="3998FA53" w:rsidR="00B707B5" w:rsidRDefault="00B707B5" w:rsidP="00D5083C">
      <w:pPr>
        <w:pStyle w:val="Heading2"/>
        <w:numPr>
          <w:ilvl w:val="0"/>
          <w:numId w:val="6"/>
        </w:numPr>
        <w:jc w:val="both"/>
      </w:pPr>
      <w:r>
        <w:t>how many of those resulted in the perpetrator being</w:t>
      </w:r>
      <w:r w:rsidR="009B1433">
        <w:t xml:space="preserve"> </w:t>
      </w:r>
      <w:r>
        <w:t>charged with an offence? Please give a yearly breakdown and if within cost limits a breakdown of offence types. </w:t>
      </w:r>
    </w:p>
    <w:p w14:paraId="67B47A50" w14:textId="6F50E1F8" w:rsidR="00D00532" w:rsidRPr="00D00532" w:rsidRDefault="00D00532" w:rsidP="00D00532">
      <w:pPr>
        <w:pStyle w:val="Heading2"/>
        <w:numPr>
          <w:ilvl w:val="0"/>
          <w:numId w:val="6"/>
        </w:numPr>
        <w:jc w:val="both"/>
      </w:pPr>
      <w:r>
        <w:t xml:space="preserve">In relation to question </w:t>
      </w:r>
      <w:proofErr w:type="gramStart"/>
      <w:r>
        <w:t>2,</w:t>
      </w:r>
      <w:proofErr w:type="gramEnd"/>
      <w:r>
        <w:t xml:space="preserve"> of these, what was the gender, and if possible, age and geographic makeup of the suspected perpetrators.</w:t>
      </w:r>
    </w:p>
    <w:p w14:paraId="13FCFEC5" w14:textId="3ECC7D4B" w:rsidR="00D00532" w:rsidRPr="00453F0A" w:rsidRDefault="00D00532" w:rsidP="00411099">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w:t>
      </w:r>
      <w:r w:rsidR="005E0B92">
        <w:t xml:space="preserve">  </w:t>
      </w:r>
      <w:r>
        <w:t>I am therefore refusing to provide the information sought in terms of s</w:t>
      </w:r>
      <w:r w:rsidRPr="00453F0A">
        <w:t xml:space="preserve">ection 12(1) </w:t>
      </w:r>
      <w:r>
        <w:t xml:space="preserve">- </w:t>
      </w:r>
      <w:r w:rsidRPr="00453F0A">
        <w:t>Excessive Cost of Compliance.</w:t>
      </w:r>
    </w:p>
    <w:p w14:paraId="4CD6B4B6" w14:textId="2D6A823B" w:rsidR="008D0FD7" w:rsidRPr="008D0FD7" w:rsidRDefault="00D00532" w:rsidP="00411099">
      <w:r>
        <w:t>To explain, each report would have to be individually examined to determine whether an individual was charged</w:t>
      </w:r>
      <w:r w:rsidR="005E0B92">
        <w:t xml:space="preserve"> and if so,</w:t>
      </w:r>
      <w:r>
        <w:t xml:space="preserve"> extract their personal details and what the offence was.</w:t>
      </w:r>
    </w:p>
    <w:p w14:paraId="07B4B75A" w14:textId="77777777" w:rsidR="00D00532" w:rsidRDefault="00C00522" w:rsidP="00411099">
      <w:r w:rsidRPr="00C00522">
        <w:t>Notwithstanding, to be of assistance</w:t>
      </w:r>
      <w:r w:rsidR="00D00532">
        <w:t>,</w:t>
      </w:r>
      <w:r w:rsidRPr="00C00522">
        <w:t xml:space="preserve"> I have provided the number of detected offences</w:t>
      </w:r>
      <w:r>
        <w:t xml:space="preserve"> broken down into years.</w:t>
      </w:r>
      <w:r w:rsidR="008D0FD7" w:rsidRPr="008D0FD7">
        <w:t xml:space="preserve"> </w:t>
      </w:r>
    </w:p>
    <w:p w14:paraId="6BF2D3BF" w14:textId="715FEA84" w:rsidR="008D0FD7" w:rsidRDefault="008D0FD7" w:rsidP="00411099">
      <w:r>
        <w:t>Detected crimes are those</w:t>
      </w:r>
      <w:r w:rsidRPr="007D1918">
        <w:t xml:space="preserve"> where an accused has been identified and there exists a sufficiency of evidence under Scots Law to justify consideration of criminal proceedings.</w:t>
      </w:r>
    </w:p>
    <w:p w14:paraId="58D4FBB9" w14:textId="77777777" w:rsidR="00D00532" w:rsidRDefault="00130B79" w:rsidP="00411099">
      <w:r w:rsidRPr="008475B7">
        <w:t>I would ask you to note the caveats below the table</w:t>
      </w:r>
      <w:r w:rsidR="007B3192">
        <w:t>,</w:t>
      </w:r>
      <w:r w:rsidRPr="008475B7">
        <w:t xml:space="preserve"> but I would draw your particular attention to the fact that these statistics relate to any domestic incident where a pregnancy marker is attached to the incident and a crime is attached.  </w:t>
      </w:r>
    </w:p>
    <w:p w14:paraId="496D9437" w14:textId="3AEAB2AA" w:rsidR="00D5083C" w:rsidRDefault="00130B79" w:rsidP="00411099">
      <w:r w:rsidRPr="008475B7">
        <w:t>As the marker is applied to the incident and not the crime, the marker may not be specifically relevant to the crime.</w:t>
      </w:r>
      <w:r>
        <w:t xml:space="preserve"> </w:t>
      </w:r>
    </w:p>
    <w:p w14:paraId="73CFE289" w14:textId="24163AC7" w:rsidR="00130B79" w:rsidRPr="008475B7" w:rsidRDefault="00130B79" w:rsidP="00411099">
      <w:r>
        <w:t>In addition</w:t>
      </w:r>
      <w:r w:rsidR="007B3192">
        <w:t>,</w:t>
      </w:r>
      <w:r>
        <w:t xml:space="preserve"> please note that the numbers provided </w:t>
      </w:r>
      <w:r w:rsidR="00D5083C">
        <w:t xml:space="preserve">below </w:t>
      </w:r>
      <w:r>
        <w:t xml:space="preserve">are based on the recorded </w:t>
      </w:r>
      <w:r w:rsidR="00D5083C">
        <w:t>incidents of domestic abuse provided in question</w:t>
      </w:r>
      <w:r w:rsidR="007B3192">
        <w:t xml:space="preserve"> </w:t>
      </w:r>
      <w:r w:rsidR="00D5083C">
        <w:t xml:space="preserve">1 therefore they do not give a fully comprehensive overview of the </w:t>
      </w:r>
      <w:r w:rsidR="007B3192">
        <w:t xml:space="preserve">total </w:t>
      </w:r>
      <w:r w:rsidR="00D5083C">
        <w:t xml:space="preserve">amount of detected crimes due to this number being determined by only what has been disclosed to </w:t>
      </w:r>
      <w:r w:rsidR="00901D4E">
        <w:t>P</w:t>
      </w:r>
      <w:r w:rsidR="00D5083C">
        <w:t xml:space="preserve">olice Scotland regarding whether pregnancy is present. </w:t>
      </w:r>
    </w:p>
    <w:p w14:paraId="11A9830A" w14:textId="51B780C7" w:rsidR="00D5083C" w:rsidRDefault="00D5083C" w:rsidP="00D00532">
      <w:r>
        <w:lastRenderedPageBreak/>
        <w:t>Table 2</w:t>
      </w:r>
      <w:r w:rsidRPr="008475B7">
        <w:t>.</w:t>
      </w:r>
      <w:r>
        <w:t xml:space="preserve"> </w:t>
      </w:r>
      <w:r w:rsidR="00D00532">
        <w:t>De</w:t>
      </w:r>
      <w:r>
        <w:t xml:space="preserve">tected domestic abuse crime linked to a domestic abuse incident with a pregnancy marker </w:t>
      </w:r>
      <w:r w:rsidR="00D00532">
        <w:t>-</w:t>
      </w:r>
      <w:r>
        <w:t xml:space="preserve"> 1</w:t>
      </w:r>
      <w:r w:rsidRPr="00C62B94">
        <w:rPr>
          <w:vertAlign w:val="superscript"/>
        </w:rPr>
        <w:t>st</w:t>
      </w:r>
      <w:r>
        <w:t xml:space="preserve"> January 2019</w:t>
      </w:r>
      <w:r w:rsidR="00D00532">
        <w:t xml:space="preserve"> </w:t>
      </w:r>
      <w:r>
        <w:t>- 31</w:t>
      </w:r>
      <w:r w:rsidRPr="00C62B94">
        <w:rPr>
          <w:vertAlign w:val="superscript"/>
        </w:rPr>
        <w:t>st</w:t>
      </w:r>
      <w:r>
        <w:t xml:space="preserve"> March 2024. </w:t>
      </w:r>
    </w:p>
    <w:tbl>
      <w:tblPr>
        <w:tblStyle w:val="TableGrid"/>
        <w:tblW w:w="10450" w:type="dxa"/>
        <w:tblLook w:val="04A0" w:firstRow="1" w:lastRow="0" w:firstColumn="1" w:lastColumn="0" w:noHBand="0" w:noVBand="1"/>
      </w:tblPr>
      <w:tblGrid>
        <w:gridCol w:w="5913"/>
        <w:gridCol w:w="750"/>
        <w:gridCol w:w="752"/>
        <w:gridCol w:w="750"/>
        <w:gridCol w:w="750"/>
        <w:gridCol w:w="785"/>
        <w:gridCol w:w="750"/>
      </w:tblGrid>
      <w:tr w:rsidR="00D00532" w:rsidRPr="00D00532" w14:paraId="1D7CD709" w14:textId="77777777" w:rsidTr="00D00532">
        <w:tc>
          <w:tcPr>
            <w:tcW w:w="5913" w:type="dxa"/>
            <w:shd w:val="clear" w:color="auto" w:fill="D9D9D9" w:themeFill="background1" w:themeFillShade="D9"/>
          </w:tcPr>
          <w:p w14:paraId="5487D58A" w14:textId="33E475F1" w:rsidR="003F3ABB" w:rsidRPr="00D00532" w:rsidRDefault="00D00532" w:rsidP="00D00532">
            <w:pPr>
              <w:spacing w:line="240" w:lineRule="auto"/>
              <w:rPr>
                <w:b/>
                <w:bCs/>
              </w:rPr>
            </w:pPr>
            <w:r w:rsidRPr="00D00532">
              <w:rPr>
                <w:rFonts w:eastAsia="Times New Roman"/>
                <w:b/>
                <w:bCs/>
                <w:color w:val="000000"/>
                <w:lang w:eastAsia="en-GB"/>
              </w:rPr>
              <w:t xml:space="preserve">Detected Domestic </w:t>
            </w:r>
            <w:r w:rsidRPr="00D00532">
              <w:rPr>
                <w:rFonts w:eastAsia="Times New Roman"/>
                <w:b/>
                <w:bCs/>
                <w:color w:val="000000"/>
                <w:lang w:eastAsia="en-GB"/>
              </w:rPr>
              <w:t xml:space="preserve">Abuse </w:t>
            </w:r>
            <w:r w:rsidRPr="00D00532">
              <w:rPr>
                <w:rFonts w:eastAsia="Times New Roman"/>
                <w:b/>
                <w:bCs/>
                <w:color w:val="000000"/>
                <w:lang w:eastAsia="en-GB"/>
              </w:rPr>
              <w:t>Crimes</w:t>
            </w:r>
          </w:p>
        </w:tc>
        <w:tc>
          <w:tcPr>
            <w:tcW w:w="750" w:type="dxa"/>
            <w:shd w:val="clear" w:color="auto" w:fill="D9D9D9" w:themeFill="background1" w:themeFillShade="D9"/>
          </w:tcPr>
          <w:p w14:paraId="7A17E539" w14:textId="295950E0" w:rsidR="003F3ABB" w:rsidRPr="00D00532" w:rsidRDefault="003F3ABB" w:rsidP="00D00532">
            <w:pPr>
              <w:spacing w:line="240" w:lineRule="auto"/>
              <w:rPr>
                <w:b/>
                <w:bCs/>
              </w:rPr>
            </w:pPr>
            <w:r w:rsidRPr="00D00532">
              <w:rPr>
                <w:b/>
                <w:bCs/>
              </w:rPr>
              <w:t>2019</w:t>
            </w:r>
          </w:p>
        </w:tc>
        <w:tc>
          <w:tcPr>
            <w:tcW w:w="752" w:type="dxa"/>
            <w:shd w:val="clear" w:color="auto" w:fill="D9D9D9" w:themeFill="background1" w:themeFillShade="D9"/>
          </w:tcPr>
          <w:p w14:paraId="01C1B099" w14:textId="6140FE83" w:rsidR="003F3ABB" w:rsidRPr="00D00532" w:rsidRDefault="003F3ABB" w:rsidP="00D00532">
            <w:pPr>
              <w:spacing w:line="240" w:lineRule="auto"/>
              <w:rPr>
                <w:b/>
                <w:bCs/>
              </w:rPr>
            </w:pPr>
            <w:r w:rsidRPr="00D00532">
              <w:rPr>
                <w:b/>
                <w:bCs/>
              </w:rPr>
              <w:t>2020</w:t>
            </w:r>
          </w:p>
        </w:tc>
        <w:tc>
          <w:tcPr>
            <w:tcW w:w="750" w:type="dxa"/>
            <w:shd w:val="clear" w:color="auto" w:fill="D9D9D9" w:themeFill="background1" w:themeFillShade="D9"/>
          </w:tcPr>
          <w:p w14:paraId="7EA09ED7" w14:textId="7C6F6AB5" w:rsidR="003F3ABB" w:rsidRPr="00D00532" w:rsidRDefault="003F3ABB" w:rsidP="00D00532">
            <w:pPr>
              <w:spacing w:line="240" w:lineRule="auto"/>
              <w:rPr>
                <w:b/>
                <w:bCs/>
              </w:rPr>
            </w:pPr>
            <w:r w:rsidRPr="00D00532">
              <w:rPr>
                <w:b/>
                <w:bCs/>
              </w:rPr>
              <w:t>2021</w:t>
            </w:r>
          </w:p>
        </w:tc>
        <w:tc>
          <w:tcPr>
            <w:tcW w:w="750" w:type="dxa"/>
            <w:shd w:val="clear" w:color="auto" w:fill="D9D9D9" w:themeFill="background1" w:themeFillShade="D9"/>
          </w:tcPr>
          <w:p w14:paraId="72FAA653" w14:textId="180DD640" w:rsidR="003F3ABB" w:rsidRPr="00D00532" w:rsidRDefault="003F3ABB" w:rsidP="00D00532">
            <w:pPr>
              <w:spacing w:line="240" w:lineRule="auto"/>
              <w:rPr>
                <w:b/>
                <w:bCs/>
              </w:rPr>
            </w:pPr>
            <w:r w:rsidRPr="00D00532">
              <w:rPr>
                <w:b/>
                <w:bCs/>
              </w:rPr>
              <w:t>2022</w:t>
            </w:r>
          </w:p>
        </w:tc>
        <w:tc>
          <w:tcPr>
            <w:tcW w:w="785" w:type="dxa"/>
            <w:shd w:val="clear" w:color="auto" w:fill="D9D9D9" w:themeFill="background1" w:themeFillShade="D9"/>
          </w:tcPr>
          <w:p w14:paraId="14CBB79D" w14:textId="64BE2CB5" w:rsidR="003F3ABB" w:rsidRPr="00D00532" w:rsidRDefault="003F3ABB" w:rsidP="00D00532">
            <w:pPr>
              <w:spacing w:line="240" w:lineRule="auto"/>
              <w:rPr>
                <w:b/>
                <w:bCs/>
              </w:rPr>
            </w:pPr>
            <w:r w:rsidRPr="00D00532">
              <w:rPr>
                <w:b/>
                <w:bCs/>
              </w:rPr>
              <w:t>2023</w:t>
            </w:r>
          </w:p>
        </w:tc>
        <w:tc>
          <w:tcPr>
            <w:tcW w:w="750" w:type="dxa"/>
            <w:shd w:val="clear" w:color="auto" w:fill="D9D9D9" w:themeFill="background1" w:themeFillShade="D9"/>
          </w:tcPr>
          <w:p w14:paraId="664FC671" w14:textId="38C16775" w:rsidR="003F3ABB" w:rsidRPr="00D00532" w:rsidRDefault="003F3ABB" w:rsidP="00D00532">
            <w:pPr>
              <w:spacing w:line="240" w:lineRule="auto"/>
              <w:rPr>
                <w:b/>
                <w:bCs/>
              </w:rPr>
            </w:pPr>
            <w:r w:rsidRPr="00D00532">
              <w:rPr>
                <w:b/>
                <w:bCs/>
              </w:rPr>
              <w:t>2024</w:t>
            </w:r>
          </w:p>
        </w:tc>
      </w:tr>
      <w:tr w:rsidR="00D00532" w14:paraId="38BB4116" w14:textId="77777777" w:rsidTr="00D00532">
        <w:tc>
          <w:tcPr>
            <w:tcW w:w="5913" w:type="dxa"/>
          </w:tcPr>
          <w:p w14:paraId="59524305" w14:textId="6C997824" w:rsidR="003F3ABB" w:rsidRPr="00B824A2" w:rsidRDefault="003F3ABB" w:rsidP="00D00532">
            <w:pPr>
              <w:spacing w:line="240" w:lineRule="auto"/>
              <w:rPr>
                <w:rFonts w:eastAsia="Times New Roman"/>
                <w:color w:val="000000"/>
                <w:lang w:eastAsia="en-GB"/>
              </w:rPr>
            </w:pPr>
            <w:r w:rsidRPr="003F3ABB">
              <w:rPr>
                <w:rFonts w:eastAsia="Times New Roman"/>
                <w:color w:val="000000"/>
                <w:lang w:eastAsia="en-GB"/>
              </w:rPr>
              <w:t>Linked to Domestic Incidents</w:t>
            </w:r>
            <w:r w:rsidR="00D00532">
              <w:rPr>
                <w:rFonts w:eastAsia="Times New Roman"/>
                <w:color w:val="000000"/>
                <w:lang w:eastAsia="en-GB"/>
              </w:rPr>
              <w:t xml:space="preserve"> with pregnancy marker</w:t>
            </w:r>
          </w:p>
        </w:tc>
        <w:tc>
          <w:tcPr>
            <w:tcW w:w="750" w:type="dxa"/>
          </w:tcPr>
          <w:p w14:paraId="43E1ECFC" w14:textId="1078E6BC" w:rsidR="003F3ABB" w:rsidRDefault="003F3ABB" w:rsidP="00D00532">
            <w:pPr>
              <w:spacing w:line="240" w:lineRule="auto"/>
            </w:pPr>
            <w:r>
              <w:t>709</w:t>
            </w:r>
          </w:p>
        </w:tc>
        <w:tc>
          <w:tcPr>
            <w:tcW w:w="752" w:type="dxa"/>
          </w:tcPr>
          <w:p w14:paraId="4D4D550A" w14:textId="18754ABF" w:rsidR="003F3ABB" w:rsidRDefault="003F3ABB" w:rsidP="00D00532">
            <w:pPr>
              <w:spacing w:line="240" w:lineRule="auto"/>
            </w:pPr>
            <w:r>
              <w:t>812</w:t>
            </w:r>
          </w:p>
        </w:tc>
        <w:tc>
          <w:tcPr>
            <w:tcW w:w="750" w:type="dxa"/>
          </w:tcPr>
          <w:p w14:paraId="2AC44424" w14:textId="1A91F762" w:rsidR="003F3ABB" w:rsidRDefault="003F3ABB" w:rsidP="00D00532">
            <w:pPr>
              <w:spacing w:line="240" w:lineRule="auto"/>
            </w:pPr>
            <w:r>
              <w:t>687</w:t>
            </w:r>
          </w:p>
        </w:tc>
        <w:tc>
          <w:tcPr>
            <w:tcW w:w="750" w:type="dxa"/>
          </w:tcPr>
          <w:p w14:paraId="4676D4F2" w14:textId="7A3A919A" w:rsidR="003F3ABB" w:rsidRDefault="003F3ABB" w:rsidP="00D00532">
            <w:pPr>
              <w:spacing w:line="240" w:lineRule="auto"/>
            </w:pPr>
            <w:r>
              <w:t>640</w:t>
            </w:r>
          </w:p>
        </w:tc>
        <w:tc>
          <w:tcPr>
            <w:tcW w:w="785" w:type="dxa"/>
          </w:tcPr>
          <w:p w14:paraId="57D426C6" w14:textId="66D3C475" w:rsidR="003F3ABB" w:rsidRDefault="003F3ABB" w:rsidP="00D00532">
            <w:pPr>
              <w:spacing w:line="240" w:lineRule="auto"/>
            </w:pPr>
            <w:r>
              <w:t>595</w:t>
            </w:r>
          </w:p>
        </w:tc>
        <w:tc>
          <w:tcPr>
            <w:tcW w:w="750" w:type="dxa"/>
          </w:tcPr>
          <w:p w14:paraId="00E05220" w14:textId="257AE154" w:rsidR="003F3ABB" w:rsidRDefault="003F3ABB" w:rsidP="00D00532">
            <w:pPr>
              <w:spacing w:line="240" w:lineRule="auto"/>
            </w:pPr>
            <w:r>
              <w:t>123</w:t>
            </w:r>
          </w:p>
        </w:tc>
      </w:tr>
    </w:tbl>
    <w:p w14:paraId="4C2898EC" w14:textId="77777777" w:rsidR="00411099" w:rsidRPr="00411099" w:rsidRDefault="00411099" w:rsidP="00411099">
      <w:pPr>
        <w:rPr>
          <w:sz w:val="12"/>
          <w:szCs w:val="12"/>
        </w:rPr>
      </w:pPr>
    </w:p>
    <w:p w14:paraId="412D0EA3" w14:textId="5816AAA8" w:rsidR="00D00532" w:rsidRDefault="00D00532" w:rsidP="00411099">
      <w:r>
        <w:t xml:space="preserve">All statistics are provisional and should be treated as management information. </w:t>
      </w:r>
      <w:r>
        <w:br/>
      </w:r>
      <w:r>
        <w:t xml:space="preserve">All data have been extracted from Police Scotland internal systems and are correct as </w:t>
      </w:r>
      <w:proofErr w:type="gramStart"/>
      <w:r>
        <w:t>at</w:t>
      </w:r>
      <w:proofErr w:type="gramEnd"/>
      <w:r>
        <w:t xml:space="preserve"> 9th May 2024.</w:t>
      </w:r>
      <w:r w:rsidR="00411099">
        <w:br/>
      </w:r>
      <w:r>
        <w:t>1. The data was extracted using the incident's created date and extracted from iVPD by selecting Domestic Incidents.  Incident Nominals with a 'Pregnancy'/'Pregnancy (Unborn Child)' marker recorded within the 'Incident Marker' or the 'At Risk' table were identified.  The Domestic Incidents with a 'Pregnancy' marker from either of the 2 identified tables (Incident Markers, At Risk) were then selected.</w:t>
      </w:r>
      <w:r w:rsidR="00411099">
        <w:br/>
      </w:r>
      <w:r>
        <w:t>2. Please note, more than one marker can be selected from the 'Incident Marker' table; and more than one marker can be selected from the 'At Risk' table; and more than one marker can be selected from the 'Incident Marker' table.  Table 1 is a count of unique domestic incidents, not markers.</w:t>
      </w:r>
      <w:r w:rsidR="00411099">
        <w:br/>
      </w:r>
      <w:r>
        <w:t>3. Detected domest</w:t>
      </w:r>
      <w:r w:rsidR="00411099">
        <w:t>i</w:t>
      </w:r>
      <w:r>
        <w:t>c crimes were then extracted from iVPD using the detected date.  Detected domestic crimes linked to the incidents identified in Table 1 were then selected.  Please note, Table 2 is a count of detected domestic crimes linked to these incidents.</w:t>
      </w:r>
      <w:r w:rsidR="00411099">
        <w:br/>
      </w:r>
      <w:r>
        <w:t>4. Please note, each record will need to be read to confirm the circumstances relating to the domestic incident.</w:t>
      </w:r>
      <w:r w:rsidR="00411099">
        <w:br/>
      </w:r>
      <w:r>
        <w:t>5. Please note, the markers are not always populated.</w:t>
      </w:r>
    </w:p>
    <w:p w14:paraId="78975170" w14:textId="77777777" w:rsidR="00D00532" w:rsidRDefault="00D00532" w:rsidP="00411099">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61F90DE4" w14:textId="789DDD53" w:rsidR="00D00532" w:rsidRDefault="00D00532" w:rsidP="00411099">
      <w:r>
        <w:t xml:space="preserve">Please note that these data are collated from the Police Scotland iVPD system, which has an automated weeding and retention policy built on to it. </w:t>
      </w:r>
      <w:r w:rsidR="00411099">
        <w:br/>
      </w:r>
      <w:r>
        <w:t>A copy of the retention policy is available on the Police Scotland internet site.</w:t>
      </w:r>
    </w:p>
    <w:p w14:paraId="789D2540" w14:textId="77777777" w:rsidR="00D00532" w:rsidRDefault="00D00532" w:rsidP="00D5083C">
      <w:pPr>
        <w:jc w:val="both"/>
      </w:pPr>
    </w:p>
    <w:p w14:paraId="69E1E345" w14:textId="77777777" w:rsidR="00D8738E" w:rsidRDefault="00B707B5" w:rsidP="00D5083C">
      <w:pPr>
        <w:pStyle w:val="Heading2"/>
        <w:numPr>
          <w:ilvl w:val="0"/>
          <w:numId w:val="7"/>
        </w:numPr>
        <w:jc w:val="both"/>
      </w:pPr>
      <w:r>
        <w:lastRenderedPageBreak/>
        <w:t>If you do not currently keep such statistics on domestic violence in</w:t>
      </w:r>
      <w:r w:rsidR="009B1433">
        <w:t xml:space="preserve"> </w:t>
      </w:r>
      <w:r>
        <w:t>pregnancy, what is the reason for this?</w:t>
      </w:r>
    </w:p>
    <w:p w14:paraId="58C28D80" w14:textId="77777777" w:rsidR="00411099" w:rsidRDefault="00D8738E" w:rsidP="00411099">
      <w:r w:rsidRPr="00D8738E">
        <w:t>The Domestic Abuse Questions are our way of making a fast and accurate assessment of how much risk there is to a victim</w:t>
      </w:r>
      <w:r w:rsidR="00411099">
        <w:t>.</w:t>
      </w:r>
    </w:p>
    <w:p w14:paraId="43C733AE" w14:textId="77777777" w:rsidR="00411099" w:rsidRDefault="00411099" w:rsidP="00411099">
      <w:r>
        <w:t>These</w:t>
      </w:r>
      <w:r w:rsidR="00D8738E" w:rsidRPr="00D8738E">
        <w:t xml:space="preserve"> are asked of every victim at every domestic abuse incident and ask about pregnancy</w:t>
      </w:r>
      <w:r>
        <w:t>.</w:t>
      </w:r>
    </w:p>
    <w:p w14:paraId="54979BB6" w14:textId="335F5C81" w:rsidR="00D00532" w:rsidRDefault="00411099" w:rsidP="00411099">
      <w:r>
        <w:t>H</w:t>
      </w:r>
      <w:r w:rsidR="00D8738E" w:rsidRPr="00D8738E">
        <w:t>owever</w:t>
      </w:r>
      <w:r>
        <w:t>,</w:t>
      </w:r>
      <w:r w:rsidR="00D8738E" w:rsidRPr="00D8738E">
        <w:t xml:space="preserve"> if a victim chooses not to disclose to the police that they are pregnant</w:t>
      </w:r>
      <w:r>
        <w:t>,</w:t>
      </w:r>
      <w:r w:rsidR="00D8738E" w:rsidRPr="00D8738E">
        <w:t xml:space="preserve"> then that will not be recorded. </w:t>
      </w:r>
    </w:p>
    <w:p w14:paraId="6C85AB46" w14:textId="77777777" w:rsidR="00D00532" w:rsidRDefault="00D8738E" w:rsidP="00411099">
      <w:r w:rsidRPr="00D8738E">
        <w:t xml:space="preserve">Some victims may choose not to answer these questions. </w:t>
      </w:r>
    </w:p>
    <w:p w14:paraId="34BDABB8" w14:textId="12B17A53" w:rsidR="00255F1E" w:rsidRPr="00B11A55" w:rsidRDefault="00D8738E" w:rsidP="00411099">
      <w:r w:rsidRPr="00D8738E">
        <w:t xml:space="preserve">Where it is known that a victim is pregnant this is recorded within the </w:t>
      </w:r>
      <w:r w:rsidR="00411099">
        <w:t>iVPD</w:t>
      </w:r>
      <w:r w:rsidRPr="00D8738E">
        <w:t>.</w:t>
      </w:r>
    </w:p>
    <w:p w14:paraId="34BDABBD" w14:textId="77777777" w:rsidR="00BF6B81" w:rsidRPr="00B11A55" w:rsidRDefault="00BF6B81" w:rsidP="00D5083C">
      <w:pPr>
        <w:tabs>
          <w:tab w:val="left" w:pos="5400"/>
        </w:tabs>
        <w:jc w:val="both"/>
      </w:pPr>
    </w:p>
    <w:p w14:paraId="34BDABBE" w14:textId="320EAA83" w:rsidR="00496A08" w:rsidRPr="00BF6B81" w:rsidRDefault="00496A08" w:rsidP="00D5083C">
      <w:pPr>
        <w:jc w:val="both"/>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D5083C">
      <w:pPr>
        <w:jc w:val="both"/>
      </w:pPr>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D5083C">
      <w:pPr>
        <w:jc w:val="both"/>
      </w:pPr>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D5083C">
      <w:pPr>
        <w:jc w:val="both"/>
      </w:pPr>
      <w:r w:rsidRPr="007C470A">
        <w:t>Following an OSIC appeal, you can appeal to the Court of Session on a point of law only.</w:t>
      </w:r>
      <w:r w:rsidR="00D47E36">
        <w:t xml:space="preserve"> </w:t>
      </w:r>
    </w:p>
    <w:p w14:paraId="34BDABC2" w14:textId="77777777" w:rsidR="00B11A55" w:rsidRDefault="00B11A55" w:rsidP="00D5083C">
      <w:pPr>
        <w:jc w:val="both"/>
      </w:pPr>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D5083C">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D5083C">
      <w:pPr>
        <w:jc w:val="both"/>
      </w:pPr>
    </w:p>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A20FE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D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A1F1B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D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C8B49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D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A6D26A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D4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678EB2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D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558605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D4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03EC"/>
    <w:multiLevelType w:val="multilevel"/>
    <w:tmpl w:val="48DC7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31382A"/>
    <w:multiLevelType w:val="hybridMultilevel"/>
    <w:tmpl w:val="F1B0A8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72102A"/>
    <w:multiLevelType w:val="multilevel"/>
    <w:tmpl w:val="8376B4A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983A0D"/>
    <w:multiLevelType w:val="multilevel"/>
    <w:tmpl w:val="85E655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B8E1DD6"/>
    <w:multiLevelType w:val="hybridMultilevel"/>
    <w:tmpl w:val="9D94C56C"/>
    <w:lvl w:ilvl="0" w:tplc="3E9A190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A5A15D9"/>
    <w:multiLevelType w:val="hybridMultilevel"/>
    <w:tmpl w:val="D8DAC6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702511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451079">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16cid:durableId="481124927">
    <w:abstractNumId w:val="3"/>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481732636">
    <w:abstractNumId w:val="1"/>
  </w:num>
  <w:num w:numId="6" w16cid:durableId="886798424">
    <w:abstractNumId w:val="4"/>
  </w:num>
  <w:num w:numId="7" w16cid:durableId="18534471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6EF9"/>
    <w:rsid w:val="00090F3B"/>
    <w:rsid w:val="000E2F19"/>
    <w:rsid w:val="000E6526"/>
    <w:rsid w:val="000F53CC"/>
    <w:rsid w:val="00130B79"/>
    <w:rsid w:val="00141533"/>
    <w:rsid w:val="00167528"/>
    <w:rsid w:val="00195CC4"/>
    <w:rsid w:val="00207326"/>
    <w:rsid w:val="00213E1D"/>
    <w:rsid w:val="00222D67"/>
    <w:rsid w:val="00253DF6"/>
    <w:rsid w:val="00255F1E"/>
    <w:rsid w:val="002A54A7"/>
    <w:rsid w:val="002D13CE"/>
    <w:rsid w:val="0035524B"/>
    <w:rsid w:val="0036503B"/>
    <w:rsid w:val="003D6D03"/>
    <w:rsid w:val="003E12CA"/>
    <w:rsid w:val="003F3ABB"/>
    <w:rsid w:val="004010DC"/>
    <w:rsid w:val="00411099"/>
    <w:rsid w:val="004341F0"/>
    <w:rsid w:val="00456324"/>
    <w:rsid w:val="00475460"/>
    <w:rsid w:val="00480443"/>
    <w:rsid w:val="0048174A"/>
    <w:rsid w:val="00490317"/>
    <w:rsid w:val="00491644"/>
    <w:rsid w:val="00496A08"/>
    <w:rsid w:val="004E1605"/>
    <w:rsid w:val="004F653C"/>
    <w:rsid w:val="00540A52"/>
    <w:rsid w:val="00557306"/>
    <w:rsid w:val="005E0B92"/>
    <w:rsid w:val="00645CFA"/>
    <w:rsid w:val="006D5799"/>
    <w:rsid w:val="0072560F"/>
    <w:rsid w:val="00750D83"/>
    <w:rsid w:val="00785DBC"/>
    <w:rsid w:val="007877ED"/>
    <w:rsid w:val="00793DD5"/>
    <w:rsid w:val="007B3192"/>
    <w:rsid w:val="007B5593"/>
    <w:rsid w:val="007D55F6"/>
    <w:rsid w:val="007F490F"/>
    <w:rsid w:val="0086779C"/>
    <w:rsid w:val="00874BFD"/>
    <w:rsid w:val="00877742"/>
    <w:rsid w:val="00884CF7"/>
    <w:rsid w:val="008964EF"/>
    <w:rsid w:val="008D0FD7"/>
    <w:rsid w:val="00901D4E"/>
    <w:rsid w:val="00915E01"/>
    <w:rsid w:val="00955DDE"/>
    <w:rsid w:val="009631A4"/>
    <w:rsid w:val="00977296"/>
    <w:rsid w:val="009B1433"/>
    <w:rsid w:val="009B26B2"/>
    <w:rsid w:val="009D4D2E"/>
    <w:rsid w:val="00A25E93"/>
    <w:rsid w:val="00A320FF"/>
    <w:rsid w:val="00A41EFB"/>
    <w:rsid w:val="00A70AC0"/>
    <w:rsid w:val="00A84EA9"/>
    <w:rsid w:val="00AC443C"/>
    <w:rsid w:val="00B11A55"/>
    <w:rsid w:val="00B17211"/>
    <w:rsid w:val="00B461B2"/>
    <w:rsid w:val="00B52436"/>
    <w:rsid w:val="00B654B6"/>
    <w:rsid w:val="00B707B5"/>
    <w:rsid w:val="00B71B3C"/>
    <w:rsid w:val="00B824A2"/>
    <w:rsid w:val="00BC389E"/>
    <w:rsid w:val="00BE1888"/>
    <w:rsid w:val="00BF6B81"/>
    <w:rsid w:val="00C00522"/>
    <w:rsid w:val="00C077A8"/>
    <w:rsid w:val="00C14FF4"/>
    <w:rsid w:val="00C606A2"/>
    <w:rsid w:val="00C62B94"/>
    <w:rsid w:val="00C63872"/>
    <w:rsid w:val="00C84948"/>
    <w:rsid w:val="00CA7B1A"/>
    <w:rsid w:val="00CF1111"/>
    <w:rsid w:val="00D00532"/>
    <w:rsid w:val="00D05706"/>
    <w:rsid w:val="00D27DC5"/>
    <w:rsid w:val="00D47E36"/>
    <w:rsid w:val="00D5083C"/>
    <w:rsid w:val="00D8738E"/>
    <w:rsid w:val="00D936B2"/>
    <w:rsid w:val="00DE24E1"/>
    <w:rsid w:val="00E55D79"/>
    <w:rsid w:val="00EE2373"/>
    <w:rsid w:val="00EF4761"/>
    <w:rsid w:val="00F21D44"/>
    <w:rsid w:val="00F4009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B707B5"/>
    <w:pPr>
      <w:spacing w:before="0" w:after="0"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175">
      <w:bodyDiv w:val="1"/>
      <w:marLeft w:val="0"/>
      <w:marRight w:val="0"/>
      <w:marTop w:val="0"/>
      <w:marBottom w:val="0"/>
      <w:divBdr>
        <w:top w:val="none" w:sz="0" w:space="0" w:color="auto"/>
        <w:left w:val="none" w:sz="0" w:space="0" w:color="auto"/>
        <w:bottom w:val="none" w:sz="0" w:space="0" w:color="auto"/>
        <w:right w:val="none" w:sz="0" w:space="0" w:color="auto"/>
      </w:divBdr>
    </w:div>
    <w:div w:id="225116963">
      <w:bodyDiv w:val="1"/>
      <w:marLeft w:val="0"/>
      <w:marRight w:val="0"/>
      <w:marTop w:val="0"/>
      <w:marBottom w:val="0"/>
      <w:divBdr>
        <w:top w:val="none" w:sz="0" w:space="0" w:color="auto"/>
        <w:left w:val="none" w:sz="0" w:space="0" w:color="auto"/>
        <w:bottom w:val="none" w:sz="0" w:space="0" w:color="auto"/>
        <w:right w:val="none" w:sz="0" w:space="0" w:color="auto"/>
      </w:divBdr>
    </w:div>
    <w:div w:id="336425329">
      <w:bodyDiv w:val="1"/>
      <w:marLeft w:val="0"/>
      <w:marRight w:val="0"/>
      <w:marTop w:val="0"/>
      <w:marBottom w:val="0"/>
      <w:divBdr>
        <w:top w:val="none" w:sz="0" w:space="0" w:color="auto"/>
        <w:left w:val="none" w:sz="0" w:space="0" w:color="auto"/>
        <w:bottom w:val="none" w:sz="0" w:space="0" w:color="auto"/>
        <w:right w:val="none" w:sz="0" w:space="0" w:color="auto"/>
      </w:divBdr>
    </w:div>
    <w:div w:id="747382614">
      <w:bodyDiv w:val="1"/>
      <w:marLeft w:val="0"/>
      <w:marRight w:val="0"/>
      <w:marTop w:val="0"/>
      <w:marBottom w:val="0"/>
      <w:divBdr>
        <w:top w:val="none" w:sz="0" w:space="0" w:color="auto"/>
        <w:left w:val="none" w:sz="0" w:space="0" w:color="auto"/>
        <w:bottom w:val="none" w:sz="0" w:space="0" w:color="auto"/>
        <w:right w:val="none" w:sz="0" w:space="0" w:color="auto"/>
      </w:divBdr>
    </w:div>
    <w:div w:id="883295538">
      <w:bodyDiv w:val="1"/>
      <w:marLeft w:val="0"/>
      <w:marRight w:val="0"/>
      <w:marTop w:val="0"/>
      <w:marBottom w:val="0"/>
      <w:divBdr>
        <w:top w:val="none" w:sz="0" w:space="0" w:color="auto"/>
        <w:left w:val="none" w:sz="0" w:space="0" w:color="auto"/>
        <w:bottom w:val="none" w:sz="0" w:space="0" w:color="auto"/>
        <w:right w:val="none" w:sz="0" w:space="0" w:color="auto"/>
      </w:divBdr>
    </w:div>
    <w:div w:id="993872965">
      <w:bodyDiv w:val="1"/>
      <w:marLeft w:val="0"/>
      <w:marRight w:val="0"/>
      <w:marTop w:val="0"/>
      <w:marBottom w:val="0"/>
      <w:divBdr>
        <w:top w:val="none" w:sz="0" w:space="0" w:color="auto"/>
        <w:left w:val="none" w:sz="0" w:space="0" w:color="auto"/>
        <w:bottom w:val="none" w:sz="0" w:space="0" w:color="auto"/>
        <w:right w:val="none" w:sz="0" w:space="0" w:color="auto"/>
      </w:divBdr>
    </w:div>
    <w:div w:id="1245145424">
      <w:bodyDiv w:val="1"/>
      <w:marLeft w:val="0"/>
      <w:marRight w:val="0"/>
      <w:marTop w:val="0"/>
      <w:marBottom w:val="0"/>
      <w:divBdr>
        <w:top w:val="none" w:sz="0" w:space="0" w:color="auto"/>
        <w:left w:val="none" w:sz="0" w:space="0" w:color="auto"/>
        <w:bottom w:val="none" w:sz="0" w:space="0" w:color="auto"/>
        <w:right w:val="none" w:sz="0" w:space="0" w:color="auto"/>
      </w:divBdr>
    </w:div>
    <w:div w:id="1261836528">
      <w:bodyDiv w:val="1"/>
      <w:marLeft w:val="0"/>
      <w:marRight w:val="0"/>
      <w:marTop w:val="0"/>
      <w:marBottom w:val="0"/>
      <w:divBdr>
        <w:top w:val="none" w:sz="0" w:space="0" w:color="auto"/>
        <w:left w:val="none" w:sz="0" w:space="0" w:color="auto"/>
        <w:bottom w:val="none" w:sz="0" w:space="0" w:color="auto"/>
        <w:right w:val="none" w:sz="0" w:space="0" w:color="auto"/>
      </w:divBdr>
    </w:div>
    <w:div w:id="1284191349">
      <w:bodyDiv w:val="1"/>
      <w:marLeft w:val="0"/>
      <w:marRight w:val="0"/>
      <w:marTop w:val="0"/>
      <w:marBottom w:val="0"/>
      <w:divBdr>
        <w:top w:val="none" w:sz="0" w:space="0" w:color="auto"/>
        <w:left w:val="none" w:sz="0" w:space="0" w:color="auto"/>
        <w:bottom w:val="none" w:sz="0" w:space="0" w:color="auto"/>
        <w:right w:val="none" w:sz="0" w:space="0" w:color="auto"/>
      </w:divBdr>
    </w:div>
    <w:div w:id="1382972086">
      <w:bodyDiv w:val="1"/>
      <w:marLeft w:val="0"/>
      <w:marRight w:val="0"/>
      <w:marTop w:val="0"/>
      <w:marBottom w:val="0"/>
      <w:divBdr>
        <w:top w:val="none" w:sz="0" w:space="0" w:color="auto"/>
        <w:left w:val="none" w:sz="0" w:space="0" w:color="auto"/>
        <w:bottom w:val="none" w:sz="0" w:space="0" w:color="auto"/>
        <w:right w:val="none" w:sz="0" w:space="0" w:color="auto"/>
      </w:divBdr>
    </w:div>
    <w:div w:id="1479960949">
      <w:bodyDiv w:val="1"/>
      <w:marLeft w:val="0"/>
      <w:marRight w:val="0"/>
      <w:marTop w:val="0"/>
      <w:marBottom w:val="0"/>
      <w:divBdr>
        <w:top w:val="none" w:sz="0" w:space="0" w:color="auto"/>
        <w:left w:val="none" w:sz="0" w:space="0" w:color="auto"/>
        <w:bottom w:val="none" w:sz="0" w:space="0" w:color="auto"/>
        <w:right w:val="none" w:sz="0" w:space="0" w:color="auto"/>
      </w:divBdr>
    </w:div>
    <w:div w:id="16504038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dvice-and-information/domestic-abuse/what-is-domestic-abus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1497</Words>
  <Characters>8535</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2024-06-10T12:56:00Z</dcterms:created>
  <dcterms:modified xsi:type="dcterms:W3CDTF">2024-06-10T13:00:00Z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