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D1075D" w:rsidRPr="00D1075D" w14:paraId="20F07693" w14:textId="77777777" w:rsidTr="00540A52">
        <w:trPr>
          <w:trHeight w:val="2552"/>
          <w:tblHeader/>
        </w:trPr>
        <w:tc>
          <w:tcPr>
            <w:tcW w:w="2269" w:type="dxa"/>
          </w:tcPr>
          <w:p w14:paraId="73C21D27" w14:textId="77777777" w:rsidR="00B17211" w:rsidRPr="00D1075D" w:rsidRDefault="007F490F" w:rsidP="00973B87">
            <w:pPr>
              <w:pStyle w:val="Heading1"/>
              <w:spacing w:before="0" w:after="0"/>
              <w:rPr>
                <w:rFonts w:cs="Arial"/>
                <w:color w:val="000000" w:themeColor="text1"/>
                <w:sz w:val="24"/>
                <w:szCs w:val="24"/>
              </w:rPr>
            </w:pPr>
            <w:r w:rsidRPr="00D1075D">
              <w:rPr>
                <w:rFonts w:cs="Arial"/>
                <w:noProof/>
                <w:color w:val="000000" w:themeColor="text1"/>
                <w:sz w:val="24"/>
                <w:szCs w:val="24"/>
                <w:lang w:eastAsia="en-GB"/>
              </w:rPr>
              <w:drawing>
                <wp:inline distT="0" distB="0" distL="0" distR="0" wp14:anchorId="5525CB13" wp14:editId="25EC7C15">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8E5553B" w14:textId="77777777" w:rsidR="00456324" w:rsidRPr="00D1075D" w:rsidRDefault="00456324" w:rsidP="00973B87">
            <w:pPr>
              <w:pStyle w:val="Heading1"/>
              <w:spacing w:before="120"/>
              <w:rPr>
                <w:rFonts w:cs="Arial"/>
                <w:color w:val="000000" w:themeColor="text1"/>
                <w:sz w:val="24"/>
                <w:szCs w:val="24"/>
              </w:rPr>
            </w:pPr>
          </w:p>
          <w:p w14:paraId="1103A036" w14:textId="77777777" w:rsidR="00B17211" w:rsidRPr="00D1075D" w:rsidRDefault="007F490F" w:rsidP="00973B87">
            <w:pPr>
              <w:pStyle w:val="Heading1"/>
              <w:spacing w:before="120"/>
              <w:rPr>
                <w:rFonts w:cs="Arial"/>
                <w:color w:val="000000" w:themeColor="text1"/>
                <w:sz w:val="24"/>
                <w:szCs w:val="24"/>
              </w:rPr>
            </w:pPr>
            <w:r w:rsidRPr="00D1075D">
              <w:rPr>
                <w:rFonts w:cs="Arial"/>
                <w:color w:val="000000" w:themeColor="text1"/>
                <w:sz w:val="24"/>
                <w:szCs w:val="24"/>
              </w:rPr>
              <w:t>Freedom of Information Response</w:t>
            </w:r>
          </w:p>
          <w:p w14:paraId="5326011F" w14:textId="5A45B0DD" w:rsidR="00B17211" w:rsidRPr="00D1075D" w:rsidRDefault="00B17211" w:rsidP="00973B87">
            <w:pPr>
              <w:rPr>
                <w:color w:val="000000" w:themeColor="text1"/>
              </w:rPr>
            </w:pPr>
            <w:r w:rsidRPr="00D1075D">
              <w:rPr>
                <w:rStyle w:val="Heading2Char"/>
                <w:rFonts w:cs="Arial"/>
                <w:szCs w:val="24"/>
              </w:rPr>
              <w:t>Our reference:</w:t>
            </w:r>
            <w:r w:rsidRPr="00D1075D">
              <w:rPr>
                <w:color w:val="000000" w:themeColor="text1"/>
              </w:rPr>
              <w:t xml:space="preserve">  FOI 2</w:t>
            </w:r>
            <w:r w:rsidR="00E6386C" w:rsidRPr="00D1075D">
              <w:rPr>
                <w:color w:val="000000" w:themeColor="text1"/>
              </w:rPr>
              <w:t>5-345</w:t>
            </w:r>
            <w:r w:rsidR="00973B87" w:rsidRPr="00D1075D">
              <w:rPr>
                <w:color w:val="000000" w:themeColor="text1"/>
              </w:rPr>
              <w:t>2</w:t>
            </w:r>
          </w:p>
          <w:p w14:paraId="7405E35E" w14:textId="24415FEE" w:rsidR="00B17211" w:rsidRPr="00D1075D" w:rsidRDefault="00456324" w:rsidP="00973B87">
            <w:pPr>
              <w:rPr>
                <w:color w:val="000000" w:themeColor="text1"/>
              </w:rPr>
            </w:pPr>
            <w:r w:rsidRPr="00D1075D">
              <w:rPr>
                <w:rStyle w:val="Heading2Char"/>
                <w:rFonts w:cs="Arial"/>
                <w:szCs w:val="24"/>
              </w:rPr>
              <w:t>Respon</w:t>
            </w:r>
            <w:r w:rsidR="007D55F6" w:rsidRPr="00D1075D">
              <w:rPr>
                <w:rStyle w:val="Heading2Char"/>
                <w:rFonts w:cs="Arial"/>
                <w:szCs w:val="24"/>
              </w:rPr>
              <w:t>ded to:</w:t>
            </w:r>
            <w:r w:rsidR="007F490F" w:rsidRPr="00D1075D">
              <w:rPr>
                <w:color w:val="000000" w:themeColor="text1"/>
              </w:rPr>
              <w:t xml:space="preserve">  </w:t>
            </w:r>
            <w:r w:rsidR="0007432F" w:rsidRPr="00D1075D">
              <w:rPr>
                <w:color w:val="000000" w:themeColor="text1"/>
              </w:rPr>
              <w:t>30</w:t>
            </w:r>
            <w:r w:rsidRPr="00D1075D">
              <w:rPr>
                <w:color w:val="000000" w:themeColor="text1"/>
              </w:rPr>
              <w:t xml:space="preserve"> </w:t>
            </w:r>
            <w:r w:rsidR="00E6386C" w:rsidRPr="00D1075D">
              <w:rPr>
                <w:color w:val="000000" w:themeColor="text1"/>
              </w:rPr>
              <w:t>October 2025</w:t>
            </w:r>
          </w:p>
        </w:tc>
      </w:tr>
    </w:tbl>
    <w:p w14:paraId="4401AEC2" w14:textId="77777777" w:rsidR="00917684" w:rsidRPr="00D1075D" w:rsidRDefault="00917684" w:rsidP="00973B87">
      <w:pPr>
        <w:pStyle w:val="Heading2"/>
        <w:spacing w:before="120"/>
        <w:rPr>
          <w:rFonts w:eastAsiaTheme="minorHAnsi" w:cs="Arial"/>
          <w:b w:val="0"/>
          <w:szCs w:val="24"/>
        </w:rPr>
      </w:pPr>
      <w:r w:rsidRPr="00D1075D">
        <w:rPr>
          <w:rFonts w:eastAsiaTheme="minorHAnsi" w:cs="Arial"/>
          <w:b w:val="0"/>
          <w:szCs w:val="24"/>
        </w:rPr>
        <w:t>Your recent request for information is replicated below, together with our response.</w:t>
      </w:r>
    </w:p>
    <w:p w14:paraId="19B4E2D8" w14:textId="77777777" w:rsidR="00973B87" w:rsidRPr="00D1075D" w:rsidRDefault="00973B87" w:rsidP="00973B87">
      <w:pPr>
        <w:pStyle w:val="NormalWeb"/>
        <w:tabs>
          <w:tab w:val="num" w:pos="284"/>
        </w:tabs>
        <w:spacing w:before="0" w:beforeAutospacing="0" w:after="150" w:afterAutospacing="0" w:line="360" w:lineRule="auto"/>
        <w:ind w:right="-143"/>
        <w:rPr>
          <w:rFonts w:ascii="Arial" w:hAnsi="Arial" w:cs="Arial"/>
          <w:b/>
          <w:bCs/>
          <w:color w:val="000000" w:themeColor="text1"/>
        </w:rPr>
      </w:pPr>
      <w:r w:rsidRPr="00D1075D">
        <w:rPr>
          <w:rFonts w:ascii="Arial" w:hAnsi="Arial" w:cs="Arial"/>
          <w:b/>
          <w:bCs/>
          <w:color w:val="000000" w:themeColor="text1"/>
        </w:rPr>
        <w:t>For each calendar month of 2024 (January to December), please provide:</w:t>
      </w:r>
    </w:p>
    <w:p w14:paraId="0B07E1B5" w14:textId="77777777" w:rsidR="00973B87" w:rsidRPr="00D1075D" w:rsidRDefault="00973B87" w:rsidP="00973B87">
      <w:pPr>
        <w:pStyle w:val="NormalWeb"/>
        <w:numPr>
          <w:ilvl w:val="0"/>
          <w:numId w:val="3"/>
        </w:numPr>
        <w:spacing w:before="0" w:beforeAutospacing="0" w:after="150" w:afterAutospacing="0" w:line="360" w:lineRule="auto"/>
        <w:ind w:left="284" w:right="-143" w:hanging="284"/>
        <w:rPr>
          <w:rFonts w:ascii="Arial" w:hAnsi="Arial" w:cs="Arial"/>
          <w:b/>
          <w:bCs/>
          <w:color w:val="000000" w:themeColor="text1"/>
        </w:rPr>
      </w:pPr>
      <w:r w:rsidRPr="00D1075D">
        <w:rPr>
          <w:rFonts w:ascii="Arial" w:hAnsi="Arial" w:cs="Arial"/>
          <w:b/>
          <w:bCs/>
          <w:color w:val="000000" w:themeColor="text1"/>
        </w:rPr>
        <w:t>The number of roadside breath tests administered by Police Scotland for suspected drink driving.</w:t>
      </w:r>
    </w:p>
    <w:p w14:paraId="21F4904F" w14:textId="77777777" w:rsidR="00ED0ED8" w:rsidRPr="00D1075D" w:rsidRDefault="00ED0ED8" w:rsidP="00ED0ED8">
      <w:pPr>
        <w:rPr>
          <w:color w:val="000000" w:themeColor="text1"/>
        </w:rPr>
      </w:pPr>
      <w:r w:rsidRPr="00D1075D">
        <w:rPr>
          <w:color w:val="000000" w:themeColor="text1"/>
        </w:rPr>
        <w:t xml:space="preserve">Unfortunately, I estimate that it would cost well </w:t>
      </w:r>
      <w:proofErr w:type="gramStart"/>
      <w:r w:rsidRPr="00D1075D">
        <w:rPr>
          <w:color w:val="000000" w:themeColor="text1"/>
        </w:rPr>
        <w:t>in excess of</w:t>
      </w:r>
      <w:proofErr w:type="gramEnd"/>
      <w:r w:rsidRPr="00D1075D">
        <w:rPr>
          <w:color w:val="000000" w:themeColor="text1"/>
        </w:rPr>
        <w:t xml:space="preserve"> the current FOI cost threshold of £600 to process your request.  I am therefore refusing to provide the information sought in terms of section 12(1) of the Act - Excessive Cost of Compliance.</w:t>
      </w:r>
    </w:p>
    <w:p w14:paraId="70241630" w14:textId="5DF0F73A" w:rsidR="00ED0ED8" w:rsidRPr="00D1075D" w:rsidRDefault="00ED0ED8" w:rsidP="00ED0ED8">
      <w:pPr>
        <w:pStyle w:val="NormalWeb"/>
        <w:spacing w:before="0" w:beforeAutospacing="0" w:after="150" w:afterAutospacing="0" w:line="360" w:lineRule="auto"/>
        <w:ind w:right="-143"/>
        <w:rPr>
          <w:rFonts w:ascii="Arial" w:hAnsi="Arial" w:cs="Arial"/>
          <w:b/>
          <w:bCs/>
          <w:color w:val="000000" w:themeColor="text1"/>
        </w:rPr>
      </w:pPr>
      <w:r w:rsidRPr="00D1075D">
        <w:rPr>
          <w:rFonts w:ascii="Arial" w:hAnsi="Arial" w:cs="Arial"/>
          <w:color w:val="000000" w:themeColor="text1"/>
        </w:rPr>
        <w:t xml:space="preserve">To explain, </w:t>
      </w:r>
      <w:r w:rsidRPr="00D1075D">
        <w:rPr>
          <w:rFonts w:ascii="Arial" w:hAnsi="Arial" w:cs="Arial"/>
          <w:color w:val="000000" w:themeColor="text1"/>
          <w:shd w:val="clear" w:color="auto" w:fill="FFFFFF"/>
        </w:rPr>
        <w:t xml:space="preserve">we can provide statistics on the number of breathalysers carried out by road policing officers specifically but we are unable to provide similar data for local policing officers as not all traffic stops on suspicion of drunk or drug driving in the requested period will result in an incident or crime being recorded, </w:t>
      </w:r>
      <w:r w:rsidR="00AC4C25" w:rsidRPr="00D1075D">
        <w:rPr>
          <w:rFonts w:ascii="Arial" w:hAnsi="Arial" w:cs="Arial"/>
          <w:color w:val="000000" w:themeColor="text1"/>
          <w:shd w:val="clear" w:color="auto" w:fill="FFFFFF"/>
        </w:rPr>
        <w:t>therefore all police notebooks would need to be manually checked to ascertain whether a breathalyser was conducted.</w:t>
      </w:r>
    </w:p>
    <w:p w14:paraId="4F6471E6" w14:textId="77777777" w:rsidR="00973B87" w:rsidRPr="00D1075D" w:rsidRDefault="00973B87" w:rsidP="00FF460F">
      <w:pPr>
        <w:pStyle w:val="NormalWeb"/>
        <w:numPr>
          <w:ilvl w:val="0"/>
          <w:numId w:val="3"/>
        </w:numPr>
        <w:spacing w:before="0" w:beforeAutospacing="0" w:after="150" w:afterAutospacing="0" w:line="360" w:lineRule="auto"/>
        <w:ind w:left="284" w:right="-143" w:hanging="284"/>
        <w:rPr>
          <w:rFonts w:ascii="Arial" w:hAnsi="Arial" w:cs="Arial"/>
          <w:b/>
          <w:bCs/>
          <w:color w:val="000000" w:themeColor="text1"/>
        </w:rPr>
      </w:pPr>
      <w:r w:rsidRPr="00D1075D">
        <w:rPr>
          <w:rFonts w:ascii="Arial" w:hAnsi="Arial" w:cs="Arial"/>
          <w:b/>
          <w:bCs/>
          <w:color w:val="000000" w:themeColor="text1"/>
        </w:rPr>
        <w:t>The number of positive roadside breath test results (i.e. drivers over the legal limit).</w:t>
      </w:r>
    </w:p>
    <w:p w14:paraId="055357D3" w14:textId="30DDFDF5" w:rsidR="00973B87" w:rsidRPr="00D1075D" w:rsidRDefault="00973B87" w:rsidP="00FF460F">
      <w:pPr>
        <w:pStyle w:val="NormalWeb"/>
        <w:numPr>
          <w:ilvl w:val="0"/>
          <w:numId w:val="3"/>
        </w:numPr>
        <w:spacing w:before="0" w:beforeAutospacing="0" w:after="150" w:afterAutospacing="0" w:line="360" w:lineRule="auto"/>
        <w:ind w:left="284" w:right="-143" w:hanging="284"/>
        <w:rPr>
          <w:rFonts w:ascii="Arial" w:hAnsi="Arial" w:cs="Arial"/>
          <w:b/>
          <w:bCs/>
          <w:color w:val="000000" w:themeColor="text1"/>
        </w:rPr>
      </w:pPr>
      <w:r w:rsidRPr="00D1075D">
        <w:rPr>
          <w:rFonts w:ascii="Arial" w:hAnsi="Arial" w:cs="Arial"/>
          <w:b/>
          <w:bCs/>
          <w:color w:val="000000" w:themeColor="text1"/>
        </w:rPr>
        <w:t>The number of drivers who refused or failed to provide a specimen.</w:t>
      </w:r>
    </w:p>
    <w:p w14:paraId="037F2EFC" w14:textId="0084E50A" w:rsidR="00973B87" w:rsidRPr="00D1075D" w:rsidRDefault="00973B87" w:rsidP="00973B87">
      <w:pPr>
        <w:pStyle w:val="NormalWeb"/>
        <w:numPr>
          <w:ilvl w:val="0"/>
          <w:numId w:val="3"/>
        </w:numPr>
        <w:spacing w:before="0" w:beforeAutospacing="0" w:after="150" w:afterAutospacing="0" w:line="360" w:lineRule="auto"/>
        <w:ind w:left="284" w:right="-143" w:hanging="284"/>
        <w:rPr>
          <w:rFonts w:ascii="Arial" w:hAnsi="Arial" w:cs="Arial"/>
          <w:b/>
          <w:bCs/>
          <w:color w:val="000000" w:themeColor="text1"/>
        </w:rPr>
      </w:pPr>
      <w:r w:rsidRPr="00D1075D">
        <w:rPr>
          <w:rFonts w:ascii="Arial" w:hAnsi="Arial" w:cs="Arial"/>
          <w:b/>
          <w:bCs/>
          <w:color w:val="000000" w:themeColor="text1"/>
        </w:rPr>
        <w:t xml:space="preserve">The number of </w:t>
      </w:r>
      <w:proofErr w:type="gramStart"/>
      <w:r w:rsidRPr="00D1075D">
        <w:rPr>
          <w:rFonts w:ascii="Arial" w:hAnsi="Arial" w:cs="Arial"/>
          <w:b/>
          <w:bCs/>
          <w:color w:val="000000" w:themeColor="text1"/>
        </w:rPr>
        <w:t>drink</w:t>
      </w:r>
      <w:proofErr w:type="gramEnd"/>
      <w:r w:rsidRPr="00D1075D">
        <w:rPr>
          <w:rFonts w:ascii="Arial" w:hAnsi="Arial" w:cs="Arial"/>
          <w:b/>
          <w:bCs/>
          <w:color w:val="000000" w:themeColor="text1"/>
        </w:rPr>
        <w:t xml:space="preserve"> driving charges/reports submitted to the Crown Office and Procurator Fiscal Service.</w:t>
      </w:r>
    </w:p>
    <w:p w14:paraId="797A845A" w14:textId="77777777" w:rsidR="00AC4C25" w:rsidRPr="00D1075D" w:rsidRDefault="00973B87" w:rsidP="00AC4C25">
      <w:pPr>
        <w:pStyle w:val="NormalWeb"/>
        <w:spacing w:before="0" w:beforeAutospacing="0" w:after="150" w:afterAutospacing="0" w:line="360" w:lineRule="auto"/>
        <w:ind w:right="-143"/>
        <w:rPr>
          <w:rFonts w:ascii="Arial" w:hAnsi="Arial" w:cs="Arial"/>
          <w:b/>
          <w:bCs/>
          <w:color w:val="000000" w:themeColor="text1"/>
        </w:rPr>
      </w:pPr>
      <w:r w:rsidRPr="00D1075D">
        <w:rPr>
          <w:rFonts w:ascii="Arial" w:hAnsi="Arial" w:cs="Arial"/>
          <w:b/>
          <w:bCs/>
          <w:color w:val="000000" w:themeColor="text1"/>
        </w:rPr>
        <w:t>Please provide data for Scotland as a whole. If any part of the request is unclear or likely to exceed the cost limit, please advise how it may be refined.</w:t>
      </w:r>
    </w:p>
    <w:p w14:paraId="468492C4" w14:textId="0C4ECCB9" w:rsidR="00AC4C25" w:rsidRPr="00D1075D" w:rsidRDefault="00AC4C25" w:rsidP="00AC4C25">
      <w:pPr>
        <w:rPr>
          <w:color w:val="000000" w:themeColor="text1"/>
        </w:rPr>
      </w:pPr>
      <w:r w:rsidRPr="00D1075D">
        <w:rPr>
          <w:color w:val="000000" w:themeColor="text1"/>
        </w:rPr>
        <w:t>The information sought is held by Police Scotland, but I am refusing to provide it in terms of section 16(1) of the Act on the basis that the section 25(1) exemption applies:</w:t>
      </w:r>
    </w:p>
    <w:p w14:paraId="66FF3B9F" w14:textId="77777777" w:rsidR="00AC4C25" w:rsidRPr="00D1075D" w:rsidRDefault="00AC4C25" w:rsidP="00AC4C25">
      <w:pPr>
        <w:rPr>
          <w:color w:val="000000" w:themeColor="text1"/>
        </w:rPr>
      </w:pPr>
      <w:r w:rsidRPr="00D1075D">
        <w:rPr>
          <w:color w:val="000000" w:themeColor="text1"/>
        </w:rPr>
        <w:t>“Information which the applicant can reasonably obtain other than by requesting it […] is exempt information”.</w:t>
      </w:r>
    </w:p>
    <w:p w14:paraId="6325C7C0" w14:textId="30EDE0CD" w:rsidR="00AC4C25" w:rsidRPr="00D1075D" w:rsidRDefault="00AC4C25" w:rsidP="00AC4C25">
      <w:pPr>
        <w:pStyle w:val="Default"/>
        <w:rPr>
          <w:color w:val="000000" w:themeColor="text1"/>
        </w:rPr>
      </w:pPr>
      <w:r w:rsidRPr="00D1075D">
        <w:rPr>
          <w:color w:val="000000" w:themeColor="text1"/>
        </w:rPr>
        <w:lastRenderedPageBreak/>
        <w:t xml:space="preserve">Recorded and detected crime data for all drink / drug driving offences, including failure to provide a specimen, is publicly available: </w:t>
      </w:r>
      <w:hyperlink r:id="rId8" w:history="1">
        <w:r w:rsidRPr="00D1075D">
          <w:rPr>
            <w:rStyle w:val="Hyperlink"/>
            <w:color w:val="000000" w:themeColor="text1"/>
          </w:rPr>
          <w:t>Crime data - P</w:t>
        </w:r>
        <w:r w:rsidRPr="00D1075D">
          <w:rPr>
            <w:rStyle w:val="Hyperlink"/>
            <w:color w:val="000000" w:themeColor="text1"/>
          </w:rPr>
          <w:t>o</w:t>
        </w:r>
        <w:r w:rsidRPr="00D1075D">
          <w:rPr>
            <w:rStyle w:val="Hyperlink"/>
            <w:color w:val="000000" w:themeColor="text1"/>
          </w:rPr>
          <w:t>lice Scotland</w:t>
        </w:r>
      </w:hyperlink>
    </w:p>
    <w:p w14:paraId="1ED7DCD0" w14:textId="77777777" w:rsidR="00AC4C25" w:rsidRPr="00D1075D" w:rsidRDefault="00AC4C25" w:rsidP="00AC4C25">
      <w:pPr>
        <w:rPr>
          <w:color w:val="000000" w:themeColor="text1"/>
        </w:rPr>
      </w:pPr>
      <w:r w:rsidRPr="00D1075D">
        <w:rPr>
          <w:color w:val="000000" w:themeColor="text1"/>
        </w:rPr>
        <w:t>Detected crimes are those where an accused has been identified and there exists a sufficiency of evidence under Scots Law to justify consideration of criminal proceedings.</w:t>
      </w:r>
    </w:p>
    <w:p w14:paraId="4860645C" w14:textId="77777777" w:rsidR="00E6386C" w:rsidRPr="00D1075D" w:rsidRDefault="00E6386C" w:rsidP="00973B87">
      <w:pPr>
        <w:rPr>
          <w:color w:val="000000" w:themeColor="text1"/>
        </w:rPr>
      </w:pPr>
    </w:p>
    <w:p w14:paraId="5E9CB721" w14:textId="0A71BCB0" w:rsidR="00496A08" w:rsidRPr="00D1075D" w:rsidRDefault="00496A08" w:rsidP="00973B87">
      <w:pPr>
        <w:rPr>
          <w:color w:val="000000" w:themeColor="text1"/>
        </w:rPr>
      </w:pPr>
      <w:r w:rsidRPr="00D1075D">
        <w:rPr>
          <w:color w:val="000000" w:themeColor="text1"/>
        </w:rPr>
        <w:t>If you require any further assistance</w:t>
      </w:r>
      <w:r w:rsidR="00E20618" w:rsidRPr="00D1075D">
        <w:rPr>
          <w:color w:val="000000" w:themeColor="text1"/>
        </w:rPr>
        <w:t>,</w:t>
      </w:r>
      <w:r w:rsidRPr="00D1075D">
        <w:rPr>
          <w:color w:val="000000" w:themeColor="text1"/>
        </w:rPr>
        <w:t xml:space="preserve"> please contact us quoting the reference above.</w:t>
      </w:r>
    </w:p>
    <w:p w14:paraId="3D2A4EFF" w14:textId="77777777" w:rsidR="00496A08" w:rsidRPr="00D1075D" w:rsidRDefault="00496A08" w:rsidP="00973B87">
      <w:pPr>
        <w:rPr>
          <w:color w:val="000000" w:themeColor="text1"/>
        </w:rPr>
      </w:pPr>
      <w:r w:rsidRPr="00D1075D">
        <w:rPr>
          <w:color w:val="000000" w:themeColor="text1"/>
        </w:rPr>
        <w:t xml:space="preserve">You can request a review of this response within the next 40 working days by </w:t>
      </w:r>
      <w:hyperlink r:id="rId9" w:history="1">
        <w:r w:rsidRPr="00D1075D">
          <w:rPr>
            <w:rStyle w:val="Hyperlink"/>
            <w:color w:val="000000" w:themeColor="text1"/>
          </w:rPr>
          <w:t>email</w:t>
        </w:r>
      </w:hyperlink>
      <w:r w:rsidRPr="00D1075D">
        <w:rPr>
          <w:color w:val="000000" w:themeColor="text1"/>
        </w:rPr>
        <w:t xml:space="preserve"> or by letter (Information Management - FOI, Police Scotland, Clyde Gateway, 2 French Street, </w:t>
      </w:r>
      <w:proofErr w:type="spellStart"/>
      <w:r w:rsidRPr="00D1075D">
        <w:rPr>
          <w:color w:val="000000" w:themeColor="text1"/>
        </w:rPr>
        <w:t>Dalmarnock</w:t>
      </w:r>
      <w:proofErr w:type="spellEnd"/>
      <w:r w:rsidRPr="00D1075D">
        <w:rPr>
          <w:color w:val="000000" w:themeColor="text1"/>
        </w:rPr>
        <w:t>, G40 4EH).  Requests must include the reason for your dissatisfaction.</w:t>
      </w:r>
    </w:p>
    <w:p w14:paraId="1B255698" w14:textId="77777777" w:rsidR="00496A08" w:rsidRPr="00D1075D" w:rsidRDefault="00496A08" w:rsidP="00973B87">
      <w:pPr>
        <w:rPr>
          <w:color w:val="000000" w:themeColor="text1"/>
        </w:rPr>
      </w:pPr>
      <w:r w:rsidRPr="00D1075D">
        <w:rPr>
          <w:color w:val="000000" w:themeColor="text1"/>
        </w:rPr>
        <w:t xml:space="preserve">If you remain dissatisfied following our review response, you can appeal to the Office of the Scottish Information Commissioner (OSIC) within 6 months - </w:t>
      </w:r>
      <w:hyperlink r:id="rId10" w:history="1">
        <w:r w:rsidRPr="00D1075D">
          <w:rPr>
            <w:rStyle w:val="Hyperlink"/>
            <w:color w:val="000000" w:themeColor="text1"/>
          </w:rPr>
          <w:t>online</w:t>
        </w:r>
      </w:hyperlink>
      <w:r w:rsidRPr="00D1075D">
        <w:rPr>
          <w:color w:val="000000" w:themeColor="text1"/>
        </w:rPr>
        <w:t xml:space="preserve">, by </w:t>
      </w:r>
      <w:hyperlink r:id="rId11" w:history="1">
        <w:r w:rsidRPr="00D1075D">
          <w:rPr>
            <w:rStyle w:val="Hyperlink"/>
            <w:color w:val="000000" w:themeColor="text1"/>
          </w:rPr>
          <w:t>email</w:t>
        </w:r>
      </w:hyperlink>
      <w:r w:rsidRPr="00D1075D">
        <w:rPr>
          <w:color w:val="000000" w:themeColor="text1"/>
        </w:rPr>
        <w:t xml:space="preserve"> or by letter (OSIC, Kinburn Castle, </w:t>
      </w:r>
      <w:proofErr w:type="spellStart"/>
      <w:r w:rsidRPr="00D1075D">
        <w:rPr>
          <w:color w:val="000000" w:themeColor="text1"/>
        </w:rPr>
        <w:t>Doubledykes</w:t>
      </w:r>
      <w:proofErr w:type="spellEnd"/>
      <w:r w:rsidRPr="00D1075D">
        <w:rPr>
          <w:color w:val="000000" w:themeColor="text1"/>
        </w:rPr>
        <w:t xml:space="preserve"> Road, St Andrews, KY16 9DS).</w:t>
      </w:r>
    </w:p>
    <w:p w14:paraId="0277C36A" w14:textId="77777777" w:rsidR="00B461B2" w:rsidRPr="00D1075D" w:rsidRDefault="00496A08" w:rsidP="00973B87">
      <w:pPr>
        <w:rPr>
          <w:color w:val="000000" w:themeColor="text1"/>
        </w:rPr>
      </w:pPr>
      <w:r w:rsidRPr="00D1075D">
        <w:rPr>
          <w:color w:val="000000" w:themeColor="text1"/>
        </w:rPr>
        <w:t>Following an OSIC appeal, you can appeal to the Court of Session on a point of law only.</w:t>
      </w:r>
      <w:r w:rsidR="00D47E36" w:rsidRPr="00D1075D">
        <w:rPr>
          <w:color w:val="000000" w:themeColor="text1"/>
        </w:rPr>
        <w:t xml:space="preserve"> </w:t>
      </w:r>
    </w:p>
    <w:p w14:paraId="479063D8" w14:textId="77777777" w:rsidR="00B11A55" w:rsidRPr="00D1075D" w:rsidRDefault="00B11A55" w:rsidP="00973B87">
      <w:pPr>
        <w:rPr>
          <w:color w:val="000000" w:themeColor="text1"/>
        </w:rPr>
      </w:pPr>
      <w:r w:rsidRPr="00D1075D">
        <w:rPr>
          <w:color w:val="000000" w:themeColor="text1"/>
        </w:rPr>
        <w:t xml:space="preserve">This response will be added to our </w:t>
      </w:r>
      <w:hyperlink r:id="rId12" w:history="1">
        <w:r w:rsidRPr="00D1075D">
          <w:rPr>
            <w:rStyle w:val="Hyperlink"/>
            <w:color w:val="000000" w:themeColor="text1"/>
          </w:rPr>
          <w:t>Disclosure Log</w:t>
        </w:r>
      </w:hyperlink>
      <w:r w:rsidRPr="00D1075D">
        <w:rPr>
          <w:color w:val="000000" w:themeColor="text1"/>
        </w:rPr>
        <w:t xml:space="preserve"> in seven days' time.</w:t>
      </w:r>
    </w:p>
    <w:p w14:paraId="09532101" w14:textId="77777777" w:rsidR="007F490F" w:rsidRPr="00D1075D" w:rsidRDefault="007F490F" w:rsidP="00973B87">
      <w:pPr>
        <w:jc w:val="both"/>
        <w:rPr>
          <w:color w:val="000000" w:themeColor="text1"/>
        </w:rPr>
      </w:pPr>
      <w:r w:rsidRPr="00D1075D">
        <w:rPr>
          <w:color w:val="000000" w:themeColor="text1"/>
        </w:rPr>
        <w:t>Every effort has been taken to ensure our response is as accessible as possible. If you require this response to be provided in an alternative format, please let us know.</w:t>
      </w:r>
    </w:p>
    <w:sectPr w:rsidR="007F490F" w:rsidRPr="00D1075D"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66951" w14:textId="77777777" w:rsidR="00195CC4" w:rsidRDefault="00195CC4" w:rsidP="00491644">
      <w:r>
        <w:separator/>
      </w:r>
    </w:p>
  </w:endnote>
  <w:endnote w:type="continuationSeparator" w:id="0">
    <w:p w14:paraId="3F3EBFEC"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2CB7" w14:textId="77777777" w:rsidR="00491644" w:rsidRDefault="00491644">
    <w:pPr>
      <w:pStyle w:val="Footer"/>
    </w:pPr>
  </w:p>
  <w:p w14:paraId="464E2878"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5DB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74FA"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16D311" wp14:editId="6AABF82F">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625D0813" wp14:editId="260BBB6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6942813F"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5DB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F9BE" w14:textId="77777777" w:rsidR="00491644" w:rsidRDefault="00491644">
    <w:pPr>
      <w:pStyle w:val="Footer"/>
    </w:pPr>
  </w:p>
  <w:p w14:paraId="7F84D6B2"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5DB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35F7" w14:textId="77777777" w:rsidR="00195CC4" w:rsidRDefault="00195CC4" w:rsidP="00491644">
      <w:r>
        <w:separator/>
      </w:r>
    </w:p>
  </w:footnote>
  <w:footnote w:type="continuationSeparator" w:id="0">
    <w:p w14:paraId="3197959C"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F38A" w14:textId="7777777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5DB2">
      <w:rPr>
        <w:rFonts w:ascii="Times New Roman" w:hAnsi="Times New Roman" w:cs="Times New Roman"/>
        <w:b/>
        <w:color w:val="FF0000"/>
      </w:rPr>
      <w:t>OFFICIAL</w:t>
    </w:r>
    <w:r>
      <w:rPr>
        <w:rFonts w:ascii="Times New Roman" w:hAnsi="Times New Roman" w:cs="Times New Roman"/>
        <w:b/>
        <w:color w:val="FF0000"/>
      </w:rPr>
      <w:fldChar w:fldCharType="end"/>
    </w:r>
  </w:p>
  <w:p w14:paraId="31E5B965"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C2DD" w14:textId="7777777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5DB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6832" w14:textId="7777777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5DB2">
      <w:rPr>
        <w:rFonts w:ascii="Times New Roman" w:hAnsi="Times New Roman" w:cs="Times New Roman"/>
        <w:b/>
        <w:color w:val="FF0000"/>
      </w:rPr>
      <w:t>OFFICIAL</w:t>
    </w:r>
    <w:r>
      <w:rPr>
        <w:rFonts w:ascii="Times New Roman" w:hAnsi="Times New Roman" w:cs="Times New Roman"/>
        <w:b/>
        <w:color w:val="FF0000"/>
      </w:rPr>
      <w:fldChar w:fldCharType="end"/>
    </w:r>
  </w:p>
  <w:p w14:paraId="0CFD2CF8"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60C"/>
    <w:multiLevelType w:val="hybridMultilevel"/>
    <w:tmpl w:val="78AE0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BF4087"/>
    <w:multiLevelType w:val="multilevel"/>
    <w:tmpl w:val="66821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99436524">
    <w:abstractNumId w:val="2"/>
  </w:num>
  <w:num w:numId="2" w16cid:durableId="1603224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4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7432F"/>
    <w:rsid w:val="00090F3B"/>
    <w:rsid w:val="000B2F05"/>
    <w:rsid w:val="000E6526"/>
    <w:rsid w:val="00141533"/>
    <w:rsid w:val="00167528"/>
    <w:rsid w:val="00195CC4"/>
    <w:rsid w:val="00253DF6"/>
    <w:rsid w:val="00255F1E"/>
    <w:rsid w:val="0029247A"/>
    <w:rsid w:val="002D467C"/>
    <w:rsid w:val="00325450"/>
    <w:rsid w:val="003E12CA"/>
    <w:rsid w:val="003E75AF"/>
    <w:rsid w:val="004010DC"/>
    <w:rsid w:val="004341F0"/>
    <w:rsid w:val="00456324"/>
    <w:rsid w:val="00475460"/>
    <w:rsid w:val="00490317"/>
    <w:rsid w:val="00491644"/>
    <w:rsid w:val="00496A08"/>
    <w:rsid w:val="004E1605"/>
    <w:rsid w:val="004F653C"/>
    <w:rsid w:val="00540A52"/>
    <w:rsid w:val="00620927"/>
    <w:rsid w:val="00675DB2"/>
    <w:rsid w:val="00736936"/>
    <w:rsid w:val="00750D83"/>
    <w:rsid w:val="00793DD5"/>
    <w:rsid w:val="007C429B"/>
    <w:rsid w:val="007D55F6"/>
    <w:rsid w:val="007F490F"/>
    <w:rsid w:val="0086779C"/>
    <w:rsid w:val="00874BFD"/>
    <w:rsid w:val="008928AB"/>
    <w:rsid w:val="008964EF"/>
    <w:rsid w:val="00917684"/>
    <w:rsid w:val="00973B87"/>
    <w:rsid w:val="00977296"/>
    <w:rsid w:val="00A25E93"/>
    <w:rsid w:val="00A320FF"/>
    <w:rsid w:val="00A70AC0"/>
    <w:rsid w:val="00AC4C25"/>
    <w:rsid w:val="00B11A55"/>
    <w:rsid w:val="00B17211"/>
    <w:rsid w:val="00B461B2"/>
    <w:rsid w:val="00B71B3C"/>
    <w:rsid w:val="00BC389E"/>
    <w:rsid w:val="00BF6B81"/>
    <w:rsid w:val="00C077A8"/>
    <w:rsid w:val="00C606A2"/>
    <w:rsid w:val="00C84948"/>
    <w:rsid w:val="00CF1111"/>
    <w:rsid w:val="00D1075D"/>
    <w:rsid w:val="00D27DC5"/>
    <w:rsid w:val="00D47E36"/>
    <w:rsid w:val="00E006A1"/>
    <w:rsid w:val="00E20618"/>
    <w:rsid w:val="00E55D79"/>
    <w:rsid w:val="00E6386C"/>
    <w:rsid w:val="00E93796"/>
    <w:rsid w:val="00ED0ED8"/>
    <w:rsid w:val="00EF4761"/>
    <w:rsid w:val="00F25138"/>
    <w:rsid w:val="00F341F9"/>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DDAA6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unhideWhenUsed/>
    <w:rsid w:val="00973B87"/>
    <w:pPr>
      <w:spacing w:before="100" w:beforeAutospacing="1" w:after="100" w:afterAutospacing="1" w:line="240" w:lineRule="auto"/>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D107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066429">
      <w:bodyDiv w:val="1"/>
      <w:marLeft w:val="0"/>
      <w:marRight w:val="0"/>
      <w:marTop w:val="0"/>
      <w:marBottom w:val="0"/>
      <w:divBdr>
        <w:top w:val="none" w:sz="0" w:space="0" w:color="auto"/>
        <w:left w:val="none" w:sz="0" w:space="0" w:color="auto"/>
        <w:bottom w:val="none" w:sz="0" w:space="0" w:color="auto"/>
        <w:right w:val="none" w:sz="0" w:space="0" w:color="auto"/>
      </w:divBdr>
      <w:divsChild>
        <w:div w:id="653024505">
          <w:marLeft w:val="0"/>
          <w:marRight w:val="0"/>
          <w:marTop w:val="0"/>
          <w:marBottom w:val="0"/>
          <w:divBdr>
            <w:top w:val="none" w:sz="0" w:space="0" w:color="auto"/>
            <w:left w:val="none" w:sz="0" w:space="0" w:color="auto"/>
            <w:bottom w:val="none" w:sz="0" w:space="0" w:color="auto"/>
            <w:right w:val="none" w:sz="0" w:space="0" w:color="auto"/>
          </w:divBdr>
          <w:divsChild>
            <w:div w:id="814564878">
              <w:marLeft w:val="0"/>
              <w:marRight w:val="0"/>
              <w:marTop w:val="0"/>
              <w:marBottom w:val="0"/>
              <w:divBdr>
                <w:top w:val="none" w:sz="0" w:space="0" w:color="auto"/>
                <w:left w:val="none" w:sz="0" w:space="0" w:color="auto"/>
                <w:bottom w:val="none" w:sz="0" w:space="0" w:color="auto"/>
                <w:right w:val="none" w:sz="0" w:space="0" w:color="auto"/>
              </w:divBdr>
              <w:divsChild>
                <w:div w:id="13641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56340">
      <w:bodyDiv w:val="1"/>
      <w:marLeft w:val="0"/>
      <w:marRight w:val="0"/>
      <w:marTop w:val="0"/>
      <w:marBottom w:val="0"/>
      <w:divBdr>
        <w:top w:val="none" w:sz="0" w:space="0" w:color="auto"/>
        <w:left w:val="none" w:sz="0" w:space="0" w:color="auto"/>
        <w:bottom w:val="none" w:sz="0" w:space="0" w:color="auto"/>
        <w:right w:val="none" w:sz="0" w:space="0" w:color="auto"/>
      </w:divBdr>
    </w:div>
    <w:div w:id="174583089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how-we-do-it/crime-dat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2855</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2025-10-30T14:09:00Z</dcterms:created>
  <dcterms:modified xsi:type="dcterms:W3CDTF">2025-10-30T14:16:00Z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