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9088C">
              <w:t>0233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January 2023</w:t>
            </w:r>
          </w:p>
        </w:tc>
      </w:tr>
    </w:tbl>
    <w:p w:rsidR="00793DD5" w:rsidRPr="006F15E7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F15E7" w:rsidRPr="006F15E7" w:rsidRDefault="00E9088C" w:rsidP="006F15E7">
      <w:pPr>
        <w:pStyle w:val="Heading2"/>
      </w:pPr>
      <w:r w:rsidRPr="006F15E7">
        <w:t>What is the total cost of a single health care professional / practitioner - HCP- provision for custody per annum to the force</w:t>
      </w:r>
    </w:p>
    <w:p w:rsidR="00E9088C" w:rsidRPr="006F15E7" w:rsidRDefault="00E9088C" w:rsidP="006F15E7">
      <w:pPr>
        <w:pStyle w:val="Heading2"/>
      </w:pPr>
      <w:r w:rsidRPr="006F15E7">
        <w:t>What is the total cost for your complete healthcare Contract for custody – HCP - per annum across the force</w:t>
      </w:r>
    </w:p>
    <w:p w:rsidR="00E9088C" w:rsidRPr="006F15E7" w:rsidRDefault="00E9088C" w:rsidP="006F15E7">
      <w:pPr>
        <w:pStyle w:val="Heading2"/>
      </w:pPr>
      <w:r w:rsidRPr="006F15E7">
        <w:t>What is the total budget allocated to providing Healthcare professional cover for custody -HCP- custody care service to the force</w:t>
      </w:r>
    </w:p>
    <w:p w:rsidR="00E9088C" w:rsidRDefault="00E9088C" w:rsidP="00E9088C">
      <w:r>
        <w:t>In r</w:t>
      </w:r>
      <w:r w:rsidR="00A320FF" w:rsidRPr="00B11A55">
        <w:t>esponse</w:t>
      </w:r>
      <w:r>
        <w:t xml:space="preserve"> to your request, we can advise that </w:t>
      </w:r>
      <w:r w:rsidRPr="00E9088C">
        <w:t xml:space="preserve">there is no cost to Police Scotland. </w:t>
      </w:r>
      <w:r w:rsidR="006F15E7">
        <w:br/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6F15E7" w:rsidRDefault="006F15E7" w:rsidP="00E9088C">
      <w:r>
        <w:t>Since 1</w:t>
      </w:r>
      <w:r w:rsidR="00E9088C" w:rsidRPr="00E9088C">
        <w:t xml:space="preserve"> April 2014, each of</w:t>
      </w:r>
      <w:r>
        <w:t xml:space="preserve"> the 14 individual health board</w:t>
      </w:r>
      <w:r w:rsidR="00E9088C" w:rsidRPr="00E9088C">
        <w:t>s in Scotland have had responsibility to provide health care provisions for people in Police custody in Scotland. Each board operates their own model and manage</w:t>
      </w:r>
      <w:r>
        <w:t>s</w:t>
      </w:r>
      <w:r w:rsidR="00E9088C" w:rsidRPr="00E9088C">
        <w:t xml:space="preserve"> it accordingly</w:t>
      </w:r>
      <w:r>
        <w:t>.</w:t>
      </w:r>
    </w:p>
    <w:p w:rsidR="00E9088C" w:rsidRPr="00E9088C" w:rsidRDefault="006F15E7" w:rsidP="00E9088C">
      <w:r>
        <w:t>T</w:t>
      </w:r>
      <w:r w:rsidR="00E9088C" w:rsidRPr="00E9088C">
        <w:t xml:space="preserve">here are protocols in place with each </w:t>
      </w:r>
      <w:r>
        <w:t xml:space="preserve">board </w:t>
      </w:r>
      <w:r w:rsidR="00E9088C" w:rsidRPr="00E9088C">
        <w:t xml:space="preserve">as to how we refer people for assessment and whether it is a nurse or doctor that attends is the decision of the NHS. </w:t>
      </w:r>
    </w:p>
    <w:p w:rsidR="00E9088C" w:rsidRDefault="00E9088C" w:rsidP="00E9088C">
      <w:r w:rsidRPr="00E9088C">
        <w:t>You may wish to contact the relevant NHS health board</w:t>
      </w:r>
      <w:r w:rsidR="006F15E7">
        <w:t>s</w:t>
      </w:r>
      <w:r w:rsidRPr="00E9088C">
        <w:t>.</w:t>
      </w:r>
      <w:bookmarkStart w:id="0" w:name="_GoBack"/>
      <w:bookmarkEnd w:id="0"/>
    </w:p>
    <w:p w:rsidR="006F15E7" w:rsidRPr="00E9088C" w:rsidRDefault="006F15E7" w:rsidP="00E9088C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5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5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5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5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5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5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F15E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088C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E9088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365</Words>
  <Characters>2083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2023-01-26T15:48:00Z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