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934DA0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D4E0E">
              <w:t>5 - 0681</w:t>
            </w:r>
          </w:p>
          <w:p w14:paraId="34BDABA6" w14:textId="6E143D4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B2F6C">
              <w:t>22</w:t>
            </w:r>
            <w:r w:rsidR="002C08B5">
              <w:t xml:space="preserve"> April</w:t>
            </w:r>
            <w:r>
              <w:t xml:space="preserve"> 202</w:t>
            </w:r>
            <w:r w:rsidR="00BD4E0E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4F82787" w14:textId="77777777" w:rsidR="00BD4E0E" w:rsidRPr="00BD4E0E" w:rsidRDefault="00BD4E0E" w:rsidP="00BD4E0E">
      <w:pPr>
        <w:rPr>
          <w:rFonts w:eastAsiaTheme="majorEastAsia" w:cstheme="majorBidi"/>
          <w:b/>
          <w:color w:val="000000" w:themeColor="text1"/>
          <w:szCs w:val="26"/>
        </w:rPr>
      </w:pPr>
      <w:r w:rsidRPr="00BD4E0E">
        <w:rPr>
          <w:rFonts w:eastAsiaTheme="majorEastAsia" w:cstheme="majorBidi"/>
          <w:b/>
          <w:color w:val="000000" w:themeColor="text1"/>
          <w:szCs w:val="26"/>
        </w:rPr>
        <w:t>How many cases of sexual assault have been reported in public unisex facilities such as changing rooms and toilets in Scotland from 2018-2015 (present day).</w:t>
      </w:r>
    </w:p>
    <w:p w14:paraId="211AB1D0" w14:textId="4393CDF2" w:rsidR="00BD4E0E" w:rsidRPr="00BD4E0E" w:rsidRDefault="00BD4E0E" w:rsidP="00BD4E0E">
      <w:pPr>
        <w:rPr>
          <w:rFonts w:eastAsiaTheme="majorEastAsia" w:cstheme="majorBidi"/>
          <w:b/>
          <w:color w:val="000000" w:themeColor="text1"/>
          <w:szCs w:val="26"/>
        </w:rPr>
      </w:pPr>
      <w:r w:rsidRPr="00BD4E0E">
        <w:rPr>
          <w:rFonts w:eastAsiaTheme="majorEastAsia" w:cstheme="majorBidi"/>
          <w:b/>
          <w:color w:val="000000" w:themeColor="text1"/>
          <w:szCs w:val="26"/>
        </w:rPr>
        <w:t xml:space="preserve"> I would like this information displayed in a table showing the numbers of reported assaults fro</w:t>
      </w:r>
      <w:r w:rsidR="00032193">
        <w:rPr>
          <w:rFonts w:eastAsiaTheme="majorEastAsia" w:cstheme="majorBidi"/>
          <w:b/>
          <w:color w:val="000000" w:themeColor="text1"/>
          <w:szCs w:val="26"/>
        </w:rPr>
        <w:t>m</w:t>
      </w:r>
      <w:r w:rsidRPr="00BD4E0E">
        <w:rPr>
          <w:rFonts w:eastAsiaTheme="majorEastAsia" w:cstheme="majorBidi"/>
          <w:b/>
          <w:color w:val="000000" w:themeColor="text1"/>
          <w:szCs w:val="26"/>
        </w:rPr>
        <w:t xml:space="preserve"> 2018-2025 if possible. </w:t>
      </w:r>
    </w:p>
    <w:p w14:paraId="18C8C253" w14:textId="6D0049D3" w:rsidR="00032193" w:rsidRDefault="00032193" w:rsidP="00032193">
      <w:bookmarkStart w:id="0" w:name="_Hlk191376047"/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</w:t>
      </w:r>
      <w:r>
        <w:t xml:space="preserve">this part of </w:t>
      </w:r>
      <w:r>
        <w:t>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68D39AB4" w14:textId="44200DAC" w:rsidR="00032193" w:rsidRDefault="00032193" w:rsidP="00032193">
      <w:pPr>
        <w:rPr>
          <w:shd w:val="clear" w:color="auto" w:fill="FFFFFF"/>
        </w:rPr>
      </w:pPr>
      <w:r w:rsidRPr="00F6298A">
        <w:rPr>
          <w:shd w:val="clear" w:color="auto" w:fill="FFFFFF"/>
        </w:rPr>
        <w:t>To explain,</w:t>
      </w:r>
      <w:r w:rsidR="00F6298A" w:rsidRPr="00F6298A">
        <w:rPr>
          <w:color w:val="444444"/>
          <w:shd w:val="clear" w:color="auto" w:fill="FFFFFF"/>
        </w:rPr>
        <w:t xml:space="preserve"> there are </w:t>
      </w:r>
      <w:r w:rsidR="00F6298A" w:rsidRPr="00F6298A">
        <w:rPr>
          <w:shd w:val="clear" w:color="auto" w:fill="FFFFFF"/>
        </w:rPr>
        <w:t>no searchable fiel</w:t>
      </w:r>
      <w:r w:rsidR="00F6298A">
        <w:rPr>
          <w:shd w:val="clear" w:color="auto" w:fill="FFFFFF"/>
        </w:rPr>
        <w:t>ds or</w:t>
      </w:r>
      <w:r w:rsidR="00F6298A" w:rsidRPr="00F6298A">
        <w:rPr>
          <w:shd w:val="clear" w:color="auto" w:fill="FFFFFF"/>
        </w:rPr>
        <w:t xml:space="preserve"> markers which would indicate that a sexual assault took place in a changing room</w:t>
      </w:r>
      <w:r w:rsidR="00F6298A">
        <w:rPr>
          <w:shd w:val="clear" w:color="auto" w:fill="FFFFFF"/>
        </w:rPr>
        <w:t xml:space="preserve"> or toilet</w:t>
      </w:r>
      <w:r w:rsidR="00F6298A" w:rsidRPr="00F6298A">
        <w:rPr>
          <w:shd w:val="clear" w:color="auto" w:fill="FFFFFF"/>
        </w:rPr>
        <w:t xml:space="preserve"> - unisex or otherwise</w:t>
      </w:r>
      <w:r w:rsidR="00F6298A">
        <w:rPr>
          <w:shd w:val="clear" w:color="auto" w:fill="FFFFFF"/>
        </w:rPr>
        <w:t xml:space="preserve">. </w:t>
      </w:r>
    </w:p>
    <w:p w14:paraId="0D039E12" w14:textId="77777777" w:rsidR="00E20A58" w:rsidRDefault="00E20A58" w:rsidP="00032193">
      <w:pPr>
        <w:rPr>
          <w:shd w:val="clear" w:color="auto" w:fill="FFFFFF"/>
        </w:rPr>
      </w:pPr>
    </w:p>
    <w:bookmarkEnd w:id="0"/>
    <w:p w14:paraId="34BDABBD" w14:textId="555B1318" w:rsidR="00BF6B81" w:rsidRPr="00950381" w:rsidRDefault="00BD4E0E" w:rsidP="00BD4E0E">
      <w:pPr>
        <w:rPr>
          <w:rFonts w:eastAsiaTheme="majorEastAsia" w:cstheme="majorBidi"/>
          <w:b/>
          <w:color w:val="000000" w:themeColor="text1"/>
          <w:szCs w:val="26"/>
        </w:rPr>
      </w:pPr>
      <w:r w:rsidRPr="00BD4E0E">
        <w:rPr>
          <w:rFonts w:eastAsiaTheme="majorEastAsia" w:cstheme="majorBidi"/>
          <w:b/>
          <w:color w:val="000000" w:themeColor="text1"/>
          <w:szCs w:val="26"/>
        </w:rPr>
        <w:t>I would also like to request the number of reported hate crimes in Scotland with a transgender identity aggravator in the years 2018-2025, again displayed in a table format.</w:t>
      </w:r>
    </w:p>
    <w:p w14:paraId="5D0EF71C" w14:textId="3ABA32D2" w:rsidR="00E90585" w:rsidRDefault="002C08B5" w:rsidP="009949F7">
      <w:r>
        <w:t>The table below provide</w:t>
      </w:r>
      <w:r w:rsidR="00E20A58">
        <w:t>s</w:t>
      </w:r>
      <w:r>
        <w:t xml:space="preserve"> details of recorded </w:t>
      </w:r>
      <w:r w:rsidR="00F6298A">
        <w:t xml:space="preserve">and detected </w:t>
      </w:r>
      <w:r>
        <w:t xml:space="preserve">hate crimes with transgender aggravator </w:t>
      </w:r>
      <w:r w:rsidR="00E20A58">
        <w:t xml:space="preserve">broken down by year </w:t>
      </w:r>
      <w:r>
        <w:t>for the period 1</w:t>
      </w:r>
      <w:r>
        <w:rPr>
          <w:vertAlign w:val="superscript"/>
        </w:rPr>
        <w:t xml:space="preserve"> </w:t>
      </w:r>
      <w:r>
        <w:t>January 2018 to 31 March 202</w:t>
      </w:r>
      <w:r w:rsidR="00E20A58">
        <w:t>4</w:t>
      </w:r>
      <w:r w:rsidR="00950381">
        <w:t>.</w:t>
      </w:r>
    </w:p>
    <w:tbl>
      <w:tblPr>
        <w:tblStyle w:val="TableGrid"/>
        <w:tblW w:w="10321" w:type="dxa"/>
        <w:tblLook w:val="04A0" w:firstRow="1" w:lastRow="0" w:firstColumn="1" w:lastColumn="0" w:noHBand="0" w:noVBand="1"/>
        <w:tblCaption w:val="recorded &amp; detected  hate crimes with transgender aggravator for the period 1 Jan 2018 to 31 March 2024."/>
        <w:tblDescription w:val="recorded &amp; detected  hate crimes with transgender aggravator for the period 1 Jan 2018 to 31 March 2024."/>
      </w:tblPr>
      <w:tblGrid>
        <w:gridCol w:w="2551"/>
        <w:gridCol w:w="1110"/>
        <w:gridCol w:w="1110"/>
        <w:gridCol w:w="1110"/>
        <w:gridCol w:w="1110"/>
        <w:gridCol w:w="1110"/>
        <w:gridCol w:w="1110"/>
        <w:gridCol w:w="1110"/>
      </w:tblGrid>
      <w:tr w:rsidR="002C08B5" w:rsidRPr="00E90585" w14:paraId="452D6567" w14:textId="409FBB93" w:rsidTr="006921F5">
        <w:tc>
          <w:tcPr>
            <w:tcW w:w="2551" w:type="dxa"/>
            <w:shd w:val="clear" w:color="auto" w:fill="D9D9D9" w:themeFill="background1" w:themeFillShade="D9"/>
          </w:tcPr>
          <w:p w14:paraId="0BAF764A" w14:textId="77777777" w:rsidR="00E20A58" w:rsidRPr="00E20A58" w:rsidRDefault="00E20A58" w:rsidP="00E20A58">
            <w:pPr>
              <w:pStyle w:val="Heading2"/>
            </w:pPr>
            <w:bookmarkStart w:id="1" w:name="_Hlk196219407"/>
            <w:r w:rsidRPr="00E20A58">
              <w:t>Crime/Offence</w:t>
            </w:r>
          </w:p>
          <w:p w14:paraId="3C4FD3E1" w14:textId="02478130" w:rsidR="002C08B5" w:rsidRPr="00E20A58" w:rsidRDefault="00E20A58" w:rsidP="00E20A58">
            <w:pPr>
              <w:pStyle w:val="Heading2"/>
            </w:pPr>
            <w:r w:rsidRPr="00E20A58">
              <w:t>Hate Crimes</w:t>
            </w:r>
            <w:r w:rsidR="006921F5">
              <w:t xml:space="preserve"> with </w:t>
            </w:r>
            <w:r w:rsidR="00B86C3D">
              <w:t>t</w:t>
            </w:r>
            <w:r w:rsidR="006921F5">
              <w:t>ransgender aggravator</w:t>
            </w:r>
          </w:p>
        </w:tc>
        <w:tc>
          <w:tcPr>
            <w:tcW w:w="1110" w:type="dxa"/>
            <w:shd w:val="clear" w:color="auto" w:fill="D9D9D9" w:themeFill="background1" w:themeFillShade="D9"/>
          </w:tcPr>
          <w:p w14:paraId="5D802086" w14:textId="64DDDFD9" w:rsidR="002C08B5" w:rsidRPr="00E20A58" w:rsidRDefault="002C08B5" w:rsidP="00E20A58">
            <w:pPr>
              <w:pStyle w:val="Heading2"/>
            </w:pPr>
            <w:r w:rsidRPr="00E20A58">
              <w:t>2018</w:t>
            </w:r>
          </w:p>
        </w:tc>
        <w:tc>
          <w:tcPr>
            <w:tcW w:w="1110" w:type="dxa"/>
            <w:shd w:val="clear" w:color="auto" w:fill="D9D9D9" w:themeFill="background1" w:themeFillShade="D9"/>
          </w:tcPr>
          <w:p w14:paraId="176CA0F4" w14:textId="2EE16AAA" w:rsidR="002C08B5" w:rsidRPr="00E20A58" w:rsidRDefault="002C08B5" w:rsidP="00E20A58">
            <w:pPr>
              <w:pStyle w:val="Heading2"/>
            </w:pPr>
            <w:r w:rsidRPr="00E20A58">
              <w:t>2019</w:t>
            </w:r>
          </w:p>
        </w:tc>
        <w:tc>
          <w:tcPr>
            <w:tcW w:w="1110" w:type="dxa"/>
            <w:shd w:val="clear" w:color="auto" w:fill="D9D9D9" w:themeFill="background1" w:themeFillShade="D9"/>
          </w:tcPr>
          <w:p w14:paraId="3D67762D" w14:textId="18C5C5A4" w:rsidR="002C08B5" w:rsidRPr="00E20A58" w:rsidRDefault="002C08B5" w:rsidP="00E20A58">
            <w:pPr>
              <w:pStyle w:val="Heading2"/>
            </w:pPr>
            <w:r w:rsidRPr="00E20A58">
              <w:t>2020</w:t>
            </w:r>
          </w:p>
        </w:tc>
        <w:tc>
          <w:tcPr>
            <w:tcW w:w="1110" w:type="dxa"/>
            <w:shd w:val="clear" w:color="auto" w:fill="D9D9D9" w:themeFill="background1" w:themeFillShade="D9"/>
          </w:tcPr>
          <w:p w14:paraId="4F7F6D3E" w14:textId="763BDBCC" w:rsidR="002C08B5" w:rsidRPr="00E20A58" w:rsidRDefault="002C08B5" w:rsidP="00E20A58">
            <w:pPr>
              <w:pStyle w:val="Heading2"/>
            </w:pPr>
            <w:r w:rsidRPr="00E20A58">
              <w:t>2021</w:t>
            </w:r>
          </w:p>
        </w:tc>
        <w:tc>
          <w:tcPr>
            <w:tcW w:w="1110" w:type="dxa"/>
            <w:shd w:val="clear" w:color="auto" w:fill="D9D9D9" w:themeFill="background1" w:themeFillShade="D9"/>
          </w:tcPr>
          <w:p w14:paraId="773E8C29" w14:textId="716C1C4A" w:rsidR="002C08B5" w:rsidRPr="00E20A58" w:rsidRDefault="002C08B5" w:rsidP="00E20A58">
            <w:pPr>
              <w:pStyle w:val="Heading2"/>
            </w:pPr>
            <w:r w:rsidRPr="00E20A58">
              <w:t>2022</w:t>
            </w:r>
          </w:p>
        </w:tc>
        <w:tc>
          <w:tcPr>
            <w:tcW w:w="1110" w:type="dxa"/>
            <w:shd w:val="clear" w:color="auto" w:fill="D9D9D9" w:themeFill="background1" w:themeFillShade="D9"/>
          </w:tcPr>
          <w:p w14:paraId="3AB29BD6" w14:textId="5B863466" w:rsidR="002C08B5" w:rsidRPr="00E20A58" w:rsidRDefault="002C08B5" w:rsidP="00E20A58">
            <w:pPr>
              <w:pStyle w:val="Heading2"/>
            </w:pPr>
            <w:r w:rsidRPr="00E20A58">
              <w:t>2023</w:t>
            </w:r>
          </w:p>
        </w:tc>
        <w:tc>
          <w:tcPr>
            <w:tcW w:w="1110" w:type="dxa"/>
            <w:shd w:val="clear" w:color="auto" w:fill="D9D9D9" w:themeFill="background1" w:themeFillShade="D9"/>
          </w:tcPr>
          <w:p w14:paraId="4AEBCB5F" w14:textId="580A7D6D" w:rsidR="002C08B5" w:rsidRPr="00E20A58" w:rsidRDefault="002C08B5" w:rsidP="00E20A58">
            <w:pPr>
              <w:pStyle w:val="Heading2"/>
            </w:pPr>
            <w:r w:rsidRPr="00E20A58">
              <w:t>2024</w:t>
            </w:r>
          </w:p>
        </w:tc>
      </w:tr>
      <w:tr w:rsidR="002C08B5" w14:paraId="799BAFFA" w14:textId="52E5D49A" w:rsidTr="006921F5">
        <w:tc>
          <w:tcPr>
            <w:tcW w:w="2551" w:type="dxa"/>
          </w:tcPr>
          <w:p w14:paraId="64A97E4A" w14:textId="3726824C" w:rsidR="002C08B5" w:rsidRDefault="00E20A58" w:rsidP="002C08B5">
            <w:pPr>
              <w:spacing w:line="276" w:lineRule="auto"/>
            </w:pPr>
            <w:r>
              <w:t>Recorded</w:t>
            </w:r>
          </w:p>
        </w:tc>
        <w:tc>
          <w:tcPr>
            <w:tcW w:w="1110" w:type="dxa"/>
          </w:tcPr>
          <w:p w14:paraId="555EC09D" w14:textId="2F902903" w:rsidR="002C08B5" w:rsidRDefault="002C08B5" w:rsidP="002C08B5">
            <w:pPr>
              <w:spacing w:line="276" w:lineRule="auto"/>
            </w:pPr>
            <w:r w:rsidRPr="004515B9">
              <w:t>65</w:t>
            </w:r>
          </w:p>
        </w:tc>
        <w:tc>
          <w:tcPr>
            <w:tcW w:w="1110" w:type="dxa"/>
          </w:tcPr>
          <w:p w14:paraId="2F1017CF" w14:textId="48822976" w:rsidR="002C08B5" w:rsidRDefault="002C08B5" w:rsidP="002C08B5">
            <w:pPr>
              <w:spacing w:line="276" w:lineRule="auto"/>
            </w:pPr>
            <w:r w:rsidRPr="004515B9">
              <w:t>131</w:t>
            </w:r>
          </w:p>
        </w:tc>
        <w:tc>
          <w:tcPr>
            <w:tcW w:w="1110" w:type="dxa"/>
          </w:tcPr>
          <w:p w14:paraId="176E32B3" w14:textId="447D77BF" w:rsidR="002C08B5" w:rsidRDefault="002C08B5" w:rsidP="002C08B5">
            <w:pPr>
              <w:spacing w:line="276" w:lineRule="auto"/>
            </w:pPr>
            <w:r w:rsidRPr="004515B9">
              <w:t>114</w:t>
            </w:r>
          </w:p>
        </w:tc>
        <w:tc>
          <w:tcPr>
            <w:tcW w:w="1110" w:type="dxa"/>
          </w:tcPr>
          <w:p w14:paraId="1053644F" w14:textId="1C67B919" w:rsidR="002C08B5" w:rsidRDefault="002C08B5" w:rsidP="002C08B5">
            <w:pPr>
              <w:spacing w:line="276" w:lineRule="auto"/>
            </w:pPr>
            <w:r w:rsidRPr="004515B9">
              <w:t>165</w:t>
            </w:r>
          </w:p>
        </w:tc>
        <w:tc>
          <w:tcPr>
            <w:tcW w:w="1110" w:type="dxa"/>
          </w:tcPr>
          <w:p w14:paraId="07F2A551" w14:textId="5234BE56" w:rsidR="002C08B5" w:rsidRDefault="002C08B5" w:rsidP="002C08B5">
            <w:pPr>
              <w:spacing w:line="276" w:lineRule="auto"/>
            </w:pPr>
            <w:r w:rsidRPr="004515B9">
              <w:t>164</w:t>
            </w:r>
          </w:p>
        </w:tc>
        <w:tc>
          <w:tcPr>
            <w:tcW w:w="1110" w:type="dxa"/>
          </w:tcPr>
          <w:p w14:paraId="3C466035" w14:textId="4C76C34E" w:rsidR="002C08B5" w:rsidRDefault="002C08B5" w:rsidP="002C08B5">
            <w:pPr>
              <w:spacing w:line="276" w:lineRule="auto"/>
            </w:pPr>
            <w:r w:rsidRPr="004515B9">
              <w:t>180</w:t>
            </w:r>
          </w:p>
        </w:tc>
        <w:tc>
          <w:tcPr>
            <w:tcW w:w="1110" w:type="dxa"/>
          </w:tcPr>
          <w:p w14:paraId="5619F0A9" w14:textId="032F6DEB" w:rsidR="002C08B5" w:rsidRDefault="002C08B5" w:rsidP="002C08B5">
            <w:pPr>
              <w:spacing w:line="276" w:lineRule="auto"/>
            </w:pPr>
            <w:r w:rsidRPr="004515B9">
              <w:t>30</w:t>
            </w:r>
          </w:p>
        </w:tc>
      </w:tr>
      <w:tr w:rsidR="00E20A58" w14:paraId="6364F982" w14:textId="77777777" w:rsidTr="006921F5">
        <w:tc>
          <w:tcPr>
            <w:tcW w:w="2551" w:type="dxa"/>
          </w:tcPr>
          <w:p w14:paraId="0052CD0D" w14:textId="64D107F5" w:rsidR="00E20A58" w:rsidRDefault="00E20A58" w:rsidP="00E20A58">
            <w:pPr>
              <w:spacing w:line="276" w:lineRule="auto"/>
            </w:pPr>
            <w:r>
              <w:t>Detected</w:t>
            </w:r>
          </w:p>
        </w:tc>
        <w:tc>
          <w:tcPr>
            <w:tcW w:w="1110" w:type="dxa"/>
          </w:tcPr>
          <w:p w14:paraId="039112B0" w14:textId="332FA731" w:rsidR="00E20A58" w:rsidRPr="004515B9" w:rsidRDefault="00E20A58" w:rsidP="00E20A58">
            <w:pPr>
              <w:spacing w:line="276" w:lineRule="auto"/>
            </w:pPr>
            <w:r w:rsidRPr="000B1F2B">
              <w:t>42</w:t>
            </w:r>
          </w:p>
        </w:tc>
        <w:tc>
          <w:tcPr>
            <w:tcW w:w="1110" w:type="dxa"/>
          </w:tcPr>
          <w:p w14:paraId="6F86AECC" w14:textId="462DD226" w:rsidR="00E20A58" w:rsidRPr="004515B9" w:rsidRDefault="00E20A58" w:rsidP="00E20A58">
            <w:pPr>
              <w:spacing w:line="276" w:lineRule="auto"/>
            </w:pPr>
            <w:r w:rsidRPr="000B1F2B">
              <w:t>78</w:t>
            </w:r>
          </w:p>
        </w:tc>
        <w:tc>
          <w:tcPr>
            <w:tcW w:w="1110" w:type="dxa"/>
          </w:tcPr>
          <w:p w14:paraId="1CECAD8D" w14:textId="66E3E35B" w:rsidR="00E20A58" w:rsidRPr="004515B9" w:rsidRDefault="00E20A58" w:rsidP="00E20A58">
            <w:pPr>
              <w:spacing w:line="276" w:lineRule="auto"/>
            </w:pPr>
            <w:r w:rsidRPr="000B1F2B">
              <w:t>60</w:t>
            </w:r>
          </w:p>
        </w:tc>
        <w:tc>
          <w:tcPr>
            <w:tcW w:w="1110" w:type="dxa"/>
          </w:tcPr>
          <w:p w14:paraId="3ECABB09" w14:textId="4F95F4F2" w:rsidR="00E20A58" w:rsidRPr="004515B9" w:rsidRDefault="00E20A58" w:rsidP="00E20A58">
            <w:pPr>
              <w:spacing w:line="276" w:lineRule="auto"/>
            </w:pPr>
            <w:r w:rsidRPr="000B1F2B">
              <w:t>85</w:t>
            </w:r>
          </w:p>
        </w:tc>
        <w:tc>
          <w:tcPr>
            <w:tcW w:w="1110" w:type="dxa"/>
          </w:tcPr>
          <w:p w14:paraId="027626AF" w14:textId="46E2CE6A" w:rsidR="00E20A58" w:rsidRPr="004515B9" w:rsidRDefault="00E20A58" w:rsidP="00E20A58">
            <w:pPr>
              <w:spacing w:line="276" w:lineRule="auto"/>
            </w:pPr>
            <w:r w:rsidRPr="000B1F2B">
              <w:t>79</w:t>
            </w:r>
          </w:p>
        </w:tc>
        <w:tc>
          <w:tcPr>
            <w:tcW w:w="1110" w:type="dxa"/>
          </w:tcPr>
          <w:p w14:paraId="09B6B5F5" w14:textId="0615A4EF" w:rsidR="00E20A58" w:rsidRPr="004515B9" w:rsidRDefault="00E20A58" w:rsidP="00E20A58">
            <w:pPr>
              <w:spacing w:line="276" w:lineRule="auto"/>
            </w:pPr>
            <w:r w:rsidRPr="000B1F2B">
              <w:t>76</w:t>
            </w:r>
          </w:p>
        </w:tc>
        <w:tc>
          <w:tcPr>
            <w:tcW w:w="1110" w:type="dxa"/>
          </w:tcPr>
          <w:p w14:paraId="416F3C31" w14:textId="076511EF" w:rsidR="00E20A58" w:rsidRPr="004515B9" w:rsidRDefault="00E20A58" w:rsidP="00E20A58">
            <w:pPr>
              <w:spacing w:line="276" w:lineRule="auto"/>
            </w:pPr>
            <w:r w:rsidRPr="000B1F2B">
              <w:t>16</w:t>
            </w:r>
          </w:p>
        </w:tc>
      </w:tr>
      <w:bookmarkEnd w:id="1"/>
    </w:tbl>
    <w:p w14:paraId="61912830" w14:textId="77777777" w:rsidR="00E90585" w:rsidRDefault="00E90585" w:rsidP="009949F7"/>
    <w:p w14:paraId="6C4353B5" w14:textId="77777777" w:rsidR="00F6298A" w:rsidRDefault="00F6298A" w:rsidP="00F6298A">
      <w:r>
        <w:lastRenderedPageBreak/>
        <w:t>All statistics are provisional and should be treated as management information. All data have been extracted from Police Scotland internal systems and are correct as of 9th April 2025.</w:t>
      </w:r>
      <w:r>
        <w:tab/>
      </w:r>
      <w:r>
        <w:tab/>
      </w:r>
      <w:r>
        <w:tab/>
      </w:r>
      <w:r>
        <w:tab/>
      </w:r>
    </w:p>
    <w:p w14:paraId="6DEF478E" w14:textId="77777777" w:rsidR="00F6298A" w:rsidRDefault="00F6298A" w:rsidP="00F6298A">
      <w:r>
        <w:t>The data prior to the 1st April 2024 has been extracted from the Interim Vulnerable Persons Database (iVPD) using the ‘incident created’ date where a Transgender aggravator is present.</w:t>
      </w:r>
    </w:p>
    <w:p w14:paraId="6DCDE5D8" w14:textId="77777777" w:rsidR="00F6298A" w:rsidRDefault="00F6298A" w:rsidP="009949F7"/>
    <w:p w14:paraId="7A17534E" w14:textId="21D32578" w:rsidR="00F6298A" w:rsidRDefault="00F6298A" w:rsidP="00F6298A">
      <w:r>
        <w:t>The table below provide</w:t>
      </w:r>
      <w:r w:rsidR="00E20A58">
        <w:t>s</w:t>
      </w:r>
      <w:r>
        <w:t xml:space="preserve"> details of recorded and detected hate crimes with transgender aggravator for the period </w:t>
      </w:r>
      <w:r>
        <w:t>1 April 2024</w:t>
      </w:r>
      <w:r>
        <w:t xml:space="preserve"> to 31 March 2025.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corded &amp; detected  hate crimes with transgender aggravator for the period 1 April 2024 to 31 March 2025."/>
        <w:tblDescription w:val="recorded &amp; detected  hate crimes with transgender aggravator for the period 1 April 2024 to 31 March 2025."/>
      </w:tblPr>
      <w:tblGrid>
        <w:gridCol w:w="4819"/>
        <w:gridCol w:w="2126"/>
        <w:gridCol w:w="2126"/>
      </w:tblGrid>
      <w:tr w:rsidR="00E20A58" w:rsidRPr="005D2CB6" w14:paraId="0B080843" w14:textId="77777777" w:rsidTr="00E20A58">
        <w:tc>
          <w:tcPr>
            <w:tcW w:w="4819" w:type="dxa"/>
            <w:vMerge w:val="restart"/>
            <w:shd w:val="clear" w:color="auto" w:fill="D9D9D9" w:themeFill="background1" w:themeFillShade="D9"/>
          </w:tcPr>
          <w:p w14:paraId="18E6B77E" w14:textId="77777777" w:rsidR="00896A3B" w:rsidRPr="00E20A58" w:rsidRDefault="00896A3B" w:rsidP="00896A3B">
            <w:pPr>
              <w:pStyle w:val="Heading2"/>
            </w:pPr>
            <w:bookmarkStart w:id="2" w:name="_Hlk196221552"/>
            <w:r w:rsidRPr="00E20A58">
              <w:t>Crime/Offence</w:t>
            </w:r>
          </w:p>
          <w:p w14:paraId="55595CF8" w14:textId="380AA689" w:rsidR="005D2CB6" w:rsidRPr="005D2CB6" w:rsidRDefault="00896A3B" w:rsidP="00896A3B">
            <w:pPr>
              <w:pStyle w:val="Heading2"/>
              <w:rPr>
                <w:bCs/>
              </w:rPr>
            </w:pPr>
            <w:r w:rsidRPr="00E20A58">
              <w:t>Hate Crimes</w:t>
            </w:r>
            <w:r>
              <w:t xml:space="preserve"> with </w:t>
            </w:r>
            <w:r w:rsidR="00B86C3D">
              <w:t>t</w:t>
            </w:r>
            <w:r>
              <w:t>ransgender aggravator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</w:tcPr>
          <w:p w14:paraId="60507E3E" w14:textId="3D0FC3ED" w:rsidR="005D2CB6" w:rsidRPr="005D2CB6" w:rsidRDefault="00E20A58" w:rsidP="00E20A58">
            <w:pPr>
              <w:pStyle w:val="Heading2"/>
            </w:pPr>
            <w:r>
              <w:t>1 April 2024 to 31 March 2025</w:t>
            </w:r>
          </w:p>
        </w:tc>
      </w:tr>
      <w:tr w:rsidR="00E20A58" w:rsidRPr="005D2CB6" w14:paraId="246380AF" w14:textId="77777777" w:rsidTr="00E04F68">
        <w:tc>
          <w:tcPr>
            <w:tcW w:w="4819" w:type="dxa"/>
            <w:vMerge/>
          </w:tcPr>
          <w:p w14:paraId="62BEB007" w14:textId="77777777" w:rsidR="00E20A58" w:rsidRPr="005D2CB6" w:rsidRDefault="00E20A58" w:rsidP="005D2CB6">
            <w:pPr>
              <w:spacing w:line="276" w:lineRule="auto"/>
            </w:pPr>
          </w:p>
        </w:tc>
        <w:tc>
          <w:tcPr>
            <w:tcW w:w="2126" w:type="dxa"/>
          </w:tcPr>
          <w:p w14:paraId="1CD9F24C" w14:textId="77777777" w:rsidR="00E20A58" w:rsidRDefault="00E20A58" w:rsidP="005D2CB6">
            <w:pPr>
              <w:spacing w:line="276" w:lineRule="auto"/>
            </w:pPr>
            <w:r>
              <w:t>Recorded</w:t>
            </w:r>
          </w:p>
        </w:tc>
        <w:tc>
          <w:tcPr>
            <w:tcW w:w="2126" w:type="dxa"/>
          </w:tcPr>
          <w:p w14:paraId="4873FAA6" w14:textId="6E5BAC8D" w:rsidR="00E20A58" w:rsidRDefault="00E20A58" w:rsidP="005D2CB6">
            <w:pPr>
              <w:spacing w:line="276" w:lineRule="auto"/>
            </w:pPr>
            <w:r>
              <w:t>Detected</w:t>
            </w:r>
          </w:p>
        </w:tc>
      </w:tr>
      <w:tr w:rsidR="00E20A58" w:rsidRPr="005D2CB6" w14:paraId="67057851" w14:textId="77777777" w:rsidTr="00317E1C">
        <w:tc>
          <w:tcPr>
            <w:tcW w:w="4819" w:type="dxa"/>
          </w:tcPr>
          <w:p w14:paraId="4E31AFDB" w14:textId="73AE13D1" w:rsidR="00E20A58" w:rsidRPr="005D2CB6" w:rsidRDefault="00896A3B" w:rsidP="005D2CB6">
            <w:pPr>
              <w:spacing w:line="276" w:lineRule="auto"/>
            </w:pPr>
            <w:r>
              <w:t>Total</w:t>
            </w:r>
          </w:p>
        </w:tc>
        <w:tc>
          <w:tcPr>
            <w:tcW w:w="2126" w:type="dxa"/>
          </w:tcPr>
          <w:p w14:paraId="2BB334B2" w14:textId="77777777" w:rsidR="00E20A58" w:rsidRPr="005D2CB6" w:rsidRDefault="00E20A58" w:rsidP="005D2CB6">
            <w:pPr>
              <w:spacing w:line="276" w:lineRule="auto"/>
            </w:pPr>
            <w:r>
              <w:t>187</w:t>
            </w:r>
          </w:p>
        </w:tc>
        <w:tc>
          <w:tcPr>
            <w:tcW w:w="2126" w:type="dxa"/>
          </w:tcPr>
          <w:p w14:paraId="63344344" w14:textId="3C4FECE0" w:rsidR="00E20A58" w:rsidRPr="005D2CB6" w:rsidRDefault="00E20A58" w:rsidP="005D2CB6">
            <w:pPr>
              <w:spacing w:line="276" w:lineRule="auto"/>
            </w:pPr>
            <w:r>
              <w:t>75</w:t>
            </w:r>
          </w:p>
        </w:tc>
      </w:tr>
      <w:bookmarkEnd w:id="2"/>
    </w:tbl>
    <w:p w14:paraId="340775CA" w14:textId="77777777" w:rsidR="002850FD" w:rsidRDefault="002850FD" w:rsidP="009949F7"/>
    <w:p w14:paraId="26D709D6" w14:textId="77777777" w:rsidR="002C08B5" w:rsidRDefault="002C08B5" w:rsidP="002C08B5">
      <w:r>
        <w:t>All statistics are provisional and should be treated as management information. All data have been extracted from Police Scotland internal systems and are correct as of 9th April 2025.</w:t>
      </w:r>
      <w:r>
        <w:tab/>
      </w:r>
      <w:r>
        <w:tab/>
      </w:r>
      <w:r>
        <w:tab/>
      </w:r>
      <w:r>
        <w:tab/>
      </w:r>
    </w:p>
    <w:p w14:paraId="1230FAEE" w14:textId="5B9BF662" w:rsidR="00AA7C2D" w:rsidRDefault="00AA7C2D" w:rsidP="00AA7C2D">
      <w:r>
        <w:t>The data from the 1st April 2024 has been extracted from the National Crime Unifi database using the ‘date raised’.</w:t>
      </w:r>
      <w:r>
        <w:tab/>
      </w:r>
      <w:r>
        <w:tab/>
      </w:r>
      <w:r>
        <w:tab/>
      </w:r>
      <w:r>
        <w:tab/>
      </w:r>
    </w:p>
    <w:p w14:paraId="22A1189B" w14:textId="6AD6963B" w:rsidR="002C08B5" w:rsidRDefault="00AA7C2D" w:rsidP="00AA7C2D">
      <w:r>
        <w:t>Please note, the data from National Unifi Crime has been extracted based on crimes/offences which include a Transgender hate aggravator.</w:t>
      </w:r>
      <w:r>
        <w:tab/>
      </w:r>
      <w:r>
        <w:tab/>
      </w:r>
      <w:r w:rsidR="002C08B5">
        <w:tab/>
      </w:r>
      <w:r w:rsidR="002C08B5">
        <w:tab/>
      </w:r>
    </w:p>
    <w:p w14:paraId="2482A55F" w14:textId="1129428C" w:rsidR="002C08B5" w:rsidRDefault="00E20A58" w:rsidP="002C08B5">
      <w:r>
        <w:t>It is important to note that a</w:t>
      </w:r>
      <w:r w:rsidR="002C08B5">
        <w:t xml:space="preserve">s the recording of hate crimes has changed since the 1st of April </w:t>
      </w:r>
      <w:r w:rsidR="00950381">
        <w:t xml:space="preserve">2024 </w:t>
      </w:r>
      <w:r w:rsidR="002C08B5">
        <w:t>due to the recording of them on national Unifi from IVPD.</w:t>
      </w:r>
      <w:r w:rsidR="00950381">
        <w:t xml:space="preserve">  </w:t>
      </w:r>
      <w:r w:rsidR="002C08B5">
        <w:t>A direct comparison with both sets of data is not advised.</w:t>
      </w:r>
      <w:r w:rsidR="002C08B5">
        <w:tab/>
      </w:r>
    </w:p>
    <w:p w14:paraId="09D9F7B0" w14:textId="53A3A525" w:rsidR="002C08B5" w:rsidRPr="00B11A55" w:rsidRDefault="002C08B5" w:rsidP="002C08B5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88E75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05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F60C3F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05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1AE91B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05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EDF324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05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518F4F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05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90B875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05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2193"/>
    <w:rsid w:val="00090F3B"/>
    <w:rsid w:val="000B774D"/>
    <w:rsid w:val="000E2F19"/>
    <w:rsid w:val="000E6526"/>
    <w:rsid w:val="00112FEC"/>
    <w:rsid w:val="00141533"/>
    <w:rsid w:val="00167528"/>
    <w:rsid w:val="00195CC4"/>
    <w:rsid w:val="001B65AC"/>
    <w:rsid w:val="00207326"/>
    <w:rsid w:val="00253DF6"/>
    <w:rsid w:val="00255F1E"/>
    <w:rsid w:val="002850FD"/>
    <w:rsid w:val="002C08B5"/>
    <w:rsid w:val="0036503B"/>
    <w:rsid w:val="003B3893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D2CB6"/>
    <w:rsid w:val="00602590"/>
    <w:rsid w:val="00613283"/>
    <w:rsid w:val="00645CFA"/>
    <w:rsid w:val="006921F5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896A3B"/>
    <w:rsid w:val="00915E01"/>
    <w:rsid w:val="00933722"/>
    <w:rsid w:val="00950381"/>
    <w:rsid w:val="009631A4"/>
    <w:rsid w:val="00965517"/>
    <w:rsid w:val="00977296"/>
    <w:rsid w:val="009949F7"/>
    <w:rsid w:val="00A1065D"/>
    <w:rsid w:val="00A25E93"/>
    <w:rsid w:val="00A320FF"/>
    <w:rsid w:val="00A70AC0"/>
    <w:rsid w:val="00A84EA9"/>
    <w:rsid w:val="00AA7C2D"/>
    <w:rsid w:val="00AC443C"/>
    <w:rsid w:val="00B11A55"/>
    <w:rsid w:val="00B17211"/>
    <w:rsid w:val="00B461B2"/>
    <w:rsid w:val="00B654B6"/>
    <w:rsid w:val="00B71B3C"/>
    <w:rsid w:val="00B86C3D"/>
    <w:rsid w:val="00BC389E"/>
    <w:rsid w:val="00BD4E0E"/>
    <w:rsid w:val="00BE1888"/>
    <w:rsid w:val="00BF6B81"/>
    <w:rsid w:val="00C077A8"/>
    <w:rsid w:val="00C14FF4"/>
    <w:rsid w:val="00C606A2"/>
    <w:rsid w:val="00C63872"/>
    <w:rsid w:val="00C84948"/>
    <w:rsid w:val="00CB2F6C"/>
    <w:rsid w:val="00CC3C9D"/>
    <w:rsid w:val="00CF1111"/>
    <w:rsid w:val="00D05706"/>
    <w:rsid w:val="00D173B5"/>
    <w:rsid w:val="00D27DC5"/>
    <w:rsid w:val="00D340B6"/>
    <w:rsid w:val="00D47E36"/>
    <w:rsid w:val="00E20A58"/>
    <w:rsid w:val="00E52682"/>
    <w:rsid w:val="00E55D79"/>
    <w:rsid w:val="00E90585"/>
    <w:rsid w:val="00EE2373"/>
    <w:rsid w:val="00EF4761"/>
    <w:rsid w:val="00EF5C01"/>
    <w:rsid w:val="00F21D44"/>
    <w:rsid w:val="00F6298A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FD"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579</Words>
  <Characters>3305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2025-02-26T13:09:00Z</dcterms:created>
  <dcterms:modified xsi:type="dcterms:W3CDTF">2025-04-22T15:06:00Z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