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7A36E21" w:rsidR="00B17211" w:rsidRPr="00B17211" w:rsidRDefault="00B17211" w:rsidP="007F490F">
            <w:r w:rsidRPr="007F490F">
              <w:rPr>
                <w:rStyle w:val="Heading2Char"/>
              </w:rPr>
              <w:t>Our reference:</w:t>
            </w:r>
            <w:r>
              <w:t xml:space="preserve">  FOI 2</w:t>
            </w:r>
            <w:r w:rsidR="00EF0FBB">
              <w:t>5</w:t>
            </w:r>
            <w:r>
              <w:t>-</w:t>
            </w:r>
            <w:r w:rsidR="000D4754">
              <w:t>0471</w:t>
            </w:r>
          </w:p>
          <w:p w14:paraId="34BDABA6" w14:textId="22D58B51"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53666C7" w14:textId="1BE04759" w:rsidR="000D4754" w:rsidRPr="000D4754" w:rsidRDefault="000D4754" w:rsidP="000D4754">
      <w:pPr>
        <w:pStyle w:val="Heading2"/>
        <w:numPr>
          <w:ilvl w:val="0"/>
          <w:numId w:val="3"/>
        </w:numPr>
      </w:pPr>
      <w:r w:rsidRPr="000D4754">
        <w:t>The number of police officers who leave the force after six months or less of employment?</w:t>
      </w:r>
    </w:p>
    <w:p w14:paraId="0B9FAAB2" w14:textId="353F2576" w:rsidR="000D4754" w:rsidRPr="000D4754" w:rsidRDefault="000D4754" w:rsidP="000D4754">
      <w:pPr>
        <w:pStyle w:val="Heading2"/>
        <w:numPr>
          <w:ilvl w:val="0"/>
          <w:numId w:val="3"/>
        </w:numPr>
      </w:pPr>
      <w:r w:rsidRPr="000D4754">
        <w:t>The number of police officers who leave the force after 1 year or less of employment?</w:t>
      </w:r>
    </w:p>
    <w:p w14:paraId="2AE86970" w14:textId="55014353" w:rsidR="000D4754" w:rsidRPr="000D4754" w:rsidRDefault="000D4754" w:rsidP="000D4754">
      <w:pPr>
        <w:pStyle w:val="Heading2"/>
        <w:numPr>
          <w:ilvl w:val="0"/>
          <w:numId w:val="3"/>
        </w:numPr>
      </w:pPr>
      <w:r w:rsidRPr="000D4754">
        <w:t>The number of police officers who leave the force after 2 years or less of employment?</w:t>
      </w:r>
    </w:p>
    <w:p w14:paraId="741943F1" w14:textId="5F2BC451" w:rsidR="000D4754" w:rsidRPr="000D4754" w:rsidRDefault="000D4754" w:rsidP="000D4754">
      <w:pPr>
        <w:pStyle w:val="Heading2"/>
        <w:numPr>
          <w:ilvl w:val="0"/>
          <w:numId w:val="3"/>
        </w:numPr>
      </w:pPr>
      <w:r w:rsidRPr="000D4754">
        <w:t>The number of police officers who leave the force after 3 years or less of employment?</w:t>
      </w:r>
    </w:p>
    <w:p w14:paraId="100973F8" w14:textId="1B31E995" w:rsidR="000D4754" w:rsidRPr="000D4754" w:rsidRDefault="000D4754" w:rsidP="000D4754">
      <w:pPr>
        <w:pStyle w:val="Heading2"/>
        <w:numPr>
          <w:ilvl w:val="0"/>
          <w:numId w:val="3"/>
        </w:numPr>
      </w:pPr>
      <w:r w:rsidRPr="000D4754">
        <w:t>The number of police officers who leave the force after 4 years or less of employment?</w:t>
      </w:r>
    </w:p>
    <w:p w14:paraId="7C79B318" w14:textId="77F16DE3" w:rsidR="000D4754" w:rsidRDefault="000D4754" w:rsidP="000D4754">
      <w:pPr>
        <w:pStyle w:val="Heading2"/>
        <w:numPr>
          <w:ilvl w:val="0"/>
          <w:numId w:val="3"/>
        </w:numPr>
      </w:pPr>
      <w:r w:rsidRPr="000D4754">
        <w:t>The number of police officers who leave the force after 5 years or less of employment?</w:t>
      </w:r>
    </w:p>
    <w:p w14:paraId="3108CFD2" w14:textId="6B995EAD" w:rsidR="000D4754" w:rsidRDefault="0047254D" w:rsidP="000D4754">
      <w:r>
        <w:t>On seeking clarification from you, you advised:</w:t>
      </w:r>
    </w:p>
    <w:p w14:paraId="1374769D" w14:textId="7230AD47" w:rsidR="0047254D" w:rsidRPr="000D4754" w:rsidRDefault="0047254D" w:rsidP="0047254D">
      <w:pPr>
        <w:pStyle w:val="Heading2"/>
      </w:pPr>
      <w:r w:rsidRPr="0047254D">
        <w:t xml:space="preserve">Can I get this for the past five financial years? </w:t>
      </w:r>
    </w:p>
    <w:p w14:paraId="62F3D96B" w14:textId="79D85D21" w:rsidR="000D4754" w:rsidRDefault="000D4754" w:rsidP="000D4754">
      <w:r w:rsidRPr="000D4754">
        <w:t xml:space="preserve">Please find below table which provides a headcount of police officer leavers broken down by </w:t>
      </w:r>
      <w:r>
        <w:t xml:space="preserve">length of </w:t>
      </w:r>
      <w:r w:rsidRPr="000D4754">
        <w:t xml:space="preserve">service.  </w:t>
      </w:r>
    </w:p>
    <w:p w14:paraId="415065D1" w14:textId="25CF53C0" w:rsidR="000D4754" w:rsidRDefault="000D4754" w:rsidP="000D4754">
      <w:r>
        <w:t>Please note the caveats below.</w:t>
      </w:r>
    </w:p>
    <w:p w14:paraId="6191281C" w14:textId="77777777" w:rsidR="000D4754" w:rsidRDefault="000D4754" w:rsidP="000D4754">
      <w:r w:rsidRPr="000D4754">
        <w:t xml:space="preserve">Financial year is based on the leaving date.  </w:t>
      </w:r>
    </w:p>
    <w:p w14:paraId="18A06512" w14:textId="77777777" w:rsidR="000D4754" w:rsidRDefault="000D4754" w:rsidP="000D4754">
      <w:r w:rsidRPr="000D4754">
        <w:t xml:space="preserve">The data includes leavers for all reasons for leaving.  </w:t>
      </w:r>
    </w:p>
    <w:p w14:paraId="491170AE" w14:textId="18BCA8B2" w:rsidR="000D4754" w:rsidRPr="000D4754" w:rsidRDefault="000D4754" w:rsidP="000D4754">
      <w:r w:rsidRPr="000D4754">
        <w:t xml:space="preserve">Please note that the data counts leavers more than once where their length of service may fall into one or more service bracket (eg. if an officer leaves the organisation with 4 months’ service, they will be counted in each of the following service categories as it would </w:t>
      </w:r>
      <w:r w:rsidRPr="000D4754">
        <w:lastRenderedPageBreak/>
        <w:t>be true that they had a service length of ‘&lt; 6 months’, ‘1 year or less’, ‘2 years or less’, etc.).</w:t>
      </w:r>
    </w:p>
    <w:p w14:paraId="6F6AA28F" w14:textId="0E8A414F" w:rsidR="000D4754" w:rsidRPr="000D4754" w:rsidRDefault="000D4754" w:rsidP="000D4754">
      <w:r>
        <w:t>Number of Police Officer leavers by length of service, broken by financial year.</w:t>
      </w:r>
    </w:p>
    <w:tbl>
      <w:tblPr>
        <w:tblW w:w="9078" w:type="dxa"/>
        <w:tblCellMar>
          <w:left w:w="0" w:type="dxa"/>
          <w:right w:w="0" w:type="dxa"/>
        </w:tblCellMar>
        <w:tblLook w:val="04A0" w:firstRow="1" w:lastRow="0" w:firstColumn="1" w:lastColumn="0" w:noHBand="0" w:noVBand="1"/>
        <w:tblCaption w:val="Number of Police Officer leavers by length of service, broken by financial year."/>
        <w:tblDescription w:val="Number of Police Officer leavers by length of service, broken by financial year."/>
      </w:tblPr>
      <w:tblGrid>
        <w:gridCol w:w="1696"/>
        <w:gridCol w:w="1084"/>
        <w:gridCol w:w="1084"/>
        <w:gridCol w:w="1084"/>
        <w:gridCol w:w="1084"/>
        <w:gridCol w:w="3450"/>
      </w:tblGrid>
      <w:tr w:rsidR="000D4754" w:rsidRPr="000D4754" w14:paraId="071700FF" w14:textId="77777777" w:rsidTr="000D4754">
        <w:trPr>
          <w:trHeight w:val="290"/>
        </w:trPr>
        <w:tc>
          <w:tcPr>
            <w:tcW w:w="169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067F93D3" w14:textId="77777777" w:rsidR="000D4754" w:rsidRPr="000D4754" w:rsidRDefault="000D4754" w:rsidP="000D4754">
            <w:pPr>
              <w:spacing w:before="0" w:after="0" w:line="240" w:lineRule="auto"/>
              <w:jc w:val="center"/>
              <w:rPr>
                <w:rFonts w:eastAsia="Aptos"/>
                <w:b/>
                <w:bCs/>
                <w:color w:val="000000"/>
                <w:lang w:eastAsia="en-GB"/>
              </w:rPr>
            </w:pPr>
            <w:r w:rsidRPr="000D4754">
              <w:rPr>
                <w:rFonts w:eastAsia="Aptos"/>
                <w:b/>
                <w:bCs/>
                <w:color w:val="000000"/>
                <w:lang w:eastAsia="en-GB"/>
              </w:rPr>
              <w:t> </w:t>
            </w:r>
          </w:p>
        </w:tc>
        <w:tc>
          <w:tcPr>
            <w:tcW w:w="7382" w:type="dxa"/>
            <w:gridSpan w:val="5"/>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756C6D6" w14:textId="77777777" w:rsidR="000D4754" w:rsidRPr="000D4754" w:rsidRDefault="000D4754" w:rsidP="000D4754">
            <w:pPr>
              <w:spacing w:before="0" w:after="0" w:line="240" w:lineRule="auto"/>
              <w:jc w:val="center"/>
              <w:rPr>
                <w:rFonts w:eastAsia="Aptos"/>
                <w:b/>
                <w:bCs/>
                <w:color w:val="000000"/>
                <w:lang w:eastAsia="en-GB"/>
              </w:rPr>
            </w:pPr>
            <w:r w:rsidRPr="000D4754">
              <w:rPr>
                <w:rFonts w:eastAsia="Aptos"/>
                <w:b/>
                <w:bCs/>
                <w:color w:val="000000"/>
                <w:lang w:eastAsia="en-GB"/>
              </w:rPr>
              <w:t>Financial Year</w:t>
            </w:r>
          </w:p>
        </w:tc>
      </w:tr>
      <w:tr w:rsidR="000D4754" w:rsidRPr="000D4754" w14:paraId="4BF0B912" w14:textId="77777777" w:rsidTr="000D4754">
        <w:trPr>
          <w:trHeight w:val="290"/>
        </w:trPr>
        <w:tc>
          <w:tcPr>
            <w:tcW w:w="1696"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188DF6C7" w14:textId="77777777" w:rsidR="000D4754" w:rsidRPr="000D4754" w:rsidRDefault="000D4754" w:rsidP="000D4754">
            <w:pPr>
              <w:spacing w:before="0" w:after="0" w:line="240" w:lineRule="auto"/>
              <w:jc w:val="center"/>
              <w:rPr>
                <w:rFonts w:eastAsia="Aptos"/>
                <w:b/>
                <w:bCs/>
                <w:color w:val="000000"/>
                <w:lang w:eastAsia="en-GB"/>
              </w:rPr>
            </w:pPr>
            <w:r w:rsidRPr="000D4754">
              <w:rPr>
                <w:rFonts w:eastAsia="Aptos"/>
                <w:b/>
                <w:bCs/>
                <w:color w:val="000000"/>
                <w:lang w:eastAsia="en-GB"/>
              </w:rPr>
              <w:t>Actual Service</w:t>
            </w:r>
          </w:p>
        </w:tc>
        <w:tc>
          <w:tcPr>
            <w:tcW w:w="983"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1940F65B" w14:textId="77777777" w:rsidR="000D4754" w:rsidRPr="000D4754" w:rsidRDefault="000D4754" w:rsidP="000D4754">
            <w:pPr>
              <w:spacing w:before="0" w:after="0" w:line="240" w:lineRule="auto"/>
              <w:jc w:val="center"/>
              <w:rPr>
                <w:rFonts w:eastAsia="Aptos"/>
                <w:b/>
                <w:bCs/>
                <w:color w:val="000000"/>
                <w:lang w:eastAsia="en-GB"/>
              </w:rPr>
            </w:pPr>
            <w:r w:rsidRPr="000D4754">
              <w:rPr>
                <w:rFonts w:eastAsia="Aptos"/>
                <w:b/>
                <w:bCs/>
                <w:color w:val="000000"/>
                <w:lang w:eastAsia="en-GB"/>
              </w:rPr>
              <w:t>2020/21</w:t>
            </w:r>
          </w:p>
        </w:tc>
        <w:tc>
          <w:tcPr>
            <w:tcW w:w="983"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C37AE2A" w14:textId="77777777" w:rsidR="000D4754" w:rsidRPr="000D4754" w:rsidRDefault="000D4754" w:rsidP="000D4754">
            <w:pPr>
              <w:spacing w:before="0" w:after="0" w:line="240" w:lineRule="auto"/>
              <w:jc w:val="center"/>
              <w:rPr>
                <w:rFonts w:eastAsia="Aptos"/>
                <w:b/>
                <w:bCs/>
                <w:color w:val="000000"/>
                <w:lang w:eastAsia="en-GB"/>
              </w:rPr>
            </w:pPr>
            <w:r w:rsidRPr="000D4754">
              <w:rPr>
                <w:rFonts w:eastAsia="Aptos"/>
                <w:b/>
                <w:bCs/>
                <w:color w:val="000000"/>
                <w:lang w:eastAsia="en-GB"/>
              </w:rPr>
              <w:t>2021/22</w:t>
            </w:r>
          </w:p>
        </w:tc>
        <w:tc>
          <w:tcPr>
            <w:tcW w:w="983"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2F21686F" w14:textId="77777777" w:rsidR="000D4754" w:rsidRPr="000D4754" w:rsidRDefault="000D4754" w:rsidP="000D4754">
            <w:pPr>
              <w:spacing w:before="0" w:after="0" w:line="240" w:lineRule="auto"/>
              <w:jc w:val="center"/>
              <w:rPr>
                <w:rFonts w:eastAsia="Aptos"/>
                <w:b/>
                <w:bCs/>
                <w:color w:val="000000"/>
                <w:lang w:eastAsia="en-GB"/>
              </w:rPr>
            </w:pPr>
            <w:r w:rsidRPr="000D4754">
              <w:rPr>
                <w:rFonts w:eastAsia="Aptos"/>
                <w:b/>
                <w:bCs/>
                <w:color w:val="000000"/>
                <w:lang w:eastAsia="en-GB"/>
              </w:rPr>
              <w:t>2022/23</w:t>
            </w:r>
          </w:p>
        </w:tc>
        <w:tc>
          <w:tcPr>
            <w:tcW w:w="983"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2FB048CF" w14:textId="77777777" w:rsidR="000D4754" w:rsidRPr="000D4754" w:rsidRDefault="000D4754" w:rsidP="000D4754">
            <w:pPr>
              <w:spacing w:before="0" w:after="0" w:line="240" w:lineRule="auto"/>
              <w:jc w:val="center"/>
              <w:rPr>
                <w:rFonts w:eastAsia="Aptos"/>
                <w:b/>
                <w:bCs/>
                <w:color w:val="000000"/>
                <w:lang w:eastAsia="en-GB"/>
              </w:rPr>
            </w:pPr>
            <w:r w:rsidRPr="000D4754">
              <w:rPr>
                <w:rFonts w:eastAsia="Aptos"/>
                <w:b/>
                <w:bCs/>
                <w:color w:val="000000"/>
                <w:lang w:eastAsia="en-GB"/>
              </w:rPr>
              <w:t>2023/24</w:t>
            </w:r>
          </w:p>
        </w:tc>
        <w:tc>
          <w:tcPr>
            <w:tcW w:w="3450"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18E608EA" w14:textId="77777777" w:rsidR="000D4754" w:rsidRPr="000D4754" w:rsidRDefault="000D4754" w:rsidP="000D4754">
            <w:pPr>
              <w:spacing w:before="0" w:after="0" w:line="240" w:lineRule="auto"/>
              <w:jc w:val="center"/>
              <w:rPr>
                <w:rFonts w:eastAsia="Aptos"/>
                <w:b/>
                <w:bCs/>
                <w:color w:val="000000"/>
                <w:lang w:eastAsia="en-GB"/>
              </w:rPr>
            </w:pPr>
            <w:r w:rsidRPr="000D4754">
              <w:rPr>
                <w:rFonts w:eastAsia="Aptos"/>
                <w:b/>
                <w:bCs/>
                <w:color w:val="000000"/>
                <w:lang w:eastAsia="en-GB"/>
              </w:rPr>
              <w:t>2024/25 (1 April 2024 - 31 Jan 2025)</w:t>
            </w:r>
          </w:p>
        </w:tc>
      </w:tr>
      <w:tr w:rsidR="000D4754" w:rsidRPr="000D4754" w14:paraId="3CD2EA07" w14:textId="77777777" w:rsidTr="000D4754">
        <w:trPr>
          <w:trHeight w:val="290"/>
        </w:trPr>
        <w:tc>
          <w:tcPr>
            <w:tcW w:w="1696"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CF8CCFD"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&lt; 6 Months</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DD03DE"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5</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EA1C29"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17</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4739CB"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25</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8105FA"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27</w:t>
            </w:r>
          </w:p>
        </w:tc>
        <w:tc>
          <w:tcPr>
            <w:tcW w:w="3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CF0A81"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17</w:t>
            </w:r>
          </w:p>
        </w:tc>
      </w:tr>
      <w:tr w:rsidR="000D4754" w:rsidRPr="000D4754" w14:paraId="22D9566F" w14:textId="77777777" w:rsidTr="000D4754">
        <w:trPr>
          <w:trHeight w:val="290"/>
        </w:trPr>
        <w:tc>
          <w:tcPr>
            <w:tcW w:w="1696"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0268EF5B"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1 Year or less</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B31D40"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16</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75D3A8"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29</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458F60"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41</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9A2A52"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57</w:t>
            </w:r>
          </w:p>
        </w:tc>
        <w:tc>
          <w:tcPr>
            <w:tcW w:w="3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565A78"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32</w:t>
            </w:r>
          </w:p>
        </w:tc>
      </w:tr>
      <w:tr w:rsidR="000D4754" w:rsidRPr="000D4754" w14:paraId="1307C6CE" w14:textId="77777777" w:rsidTr="000D4754">
        <w:trPr>
          <w:trHeight w:val="290"/>
        </w:trPr>
        <w:tc>
          <w:tcPr>
            <w:tcW w:w="1696"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06D59394"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2 Years or less</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8B5188"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37</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C3B428"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52</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E355FF"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58</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66EDF5"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80</w:t>
            </w:r>
          </w:p>
        </w:tc>
        <w:tc>
          <w:tcPr>
            <w:tcW w:w="3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C38D12"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58</w:t>
            </w:r>
          </w:p>
        </w:tc>
      </w:tr>
      <w:tr w:rsidR="000D4754" w:rsidRPr="000D4754" w14:paraId="1B2622E8" w14:textId="77777777" w:rsidTr="000D4754">
        <w:trPr>
          <w:trHeight w:val="290"/>
        </w:trPr>
        <w:tc>
          <w:tcPr>
            <w:tcW w:w="1696"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2C628974"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3 Years or less</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3FFEF5"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46</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24D259"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72</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A675E7"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73</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05E307"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98</w:t>
            </w:r>
          </w:p>
        </w:tc>
        <w:tc>
          <w:tcPr>
            <w:tcW w:w="3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E361A7"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75</w:t>
            </w:r>
          </w:p>
        </w:tc>
      </w:tr>
      <w:tr w:rsidR="000D4754" w:rsidRPr="000D4754" w14:paraId="74DAC36C" w14:textId="77777777" w:rsidTr="000D4754">
        <w:trPr>
          <w:trHeight w:val="290"/>
        </w:trPr>
        <w:tc>
          <w:tcPr>
            <w:tcW w:w="1696"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2115CC97"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4 Years or less</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567A12"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55</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95EDBC"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87</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CE4667"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92</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6F8FB1"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125</w:t>
            </w:r>
          </w:p>
        </w:tc>
        <w:tc>
          <w:tcPr>
            <w:tcW w:w="3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E874EE"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85</w:t>
            </w:r>
          </w:p>
        </w:tc>
      </w:tr>
      <w:tr w:rsidR="000D4754" w:rsidRPr="000D4754" w14:paraId="77C0AEC6" w14:textId="77777777" w:rsidTr="000D4754">
        <w:trPr>
          <w:trHeight w:val="290"/>
        </w:trPr>
        <w:tc>
          <w:tcPr>
            <w:tcW w:w="1696"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0787F4D5"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5 Years or less</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C846C1"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66</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4F1681"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99</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1F3C23"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108</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52EC7E"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143</w:t>
            </w:r>
          </w:p>
        </w:tc>
        <w:tc>
          <w:tcPr>
            <w:tcW w:w="3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479F8D" w14:textId="77777777" w:rsidR="000D4754" w:rsidRPr="000D4754" w:rsidRDefault="000D4754" w:rsidP="000D4754">
            <w:pPr>
              <w:spacing w:before="0" w:after="0" w:line="240" w:lineRule="auto"/>
              <w:jc w:val="center"/>
              <w:rPr>
                <w:rFonts w:eastAsia="Aptos"/>
                <w:color w:val="000000"/>
                <w:lang w:eastAsia="en-GB"/>
              </w:rPr>
            </w:pPr>
            <w:r w:rsidRPr="000D4754">
              <w:rPr>
                <w:rFonts w:eastAsia="Aptos"/>
                <w:color w:val="000000"/>
                <w:lang w:eastAsia="en-GB"/>
              </w:rPr>
              <w:t>97</w:t>
            </w:r>
          </w:p>
        </w:tc>
      </w:tr>
    </w:tbl>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CAE28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25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A9CAB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25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BEC14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25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AF6BA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254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852699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254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229CAF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254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1A653D"/>
    <w:multiLevelType w:val="hybridMultilevel"/>
    <w:tmpl w:val="1E32C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E5114D"/>
    <w:multiLevelType w:val="hybridMultilevel"/>
    <w:tmpl w:val="11B467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389691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745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4754"/>
    <w:rsid w:val="000E2F19"/>
    <w:rsid w:val="000E6526"/>
    <w:rsid w:val="00141533"/>
    <w:rsid w:val="00151DD0"/>
    <w:rsid w:val="00167528"/>
    <w:rsid w:val="00195CC4"/>
    <w:rsid w:val="00207326"/>
    <w:rsid w:val="00236DE1"/>
    <w:rsid w:val="00253DF6"/>
    <w:rsid w:val="00255F1E"/>
    <w:rsid w:val="002F5274"/>
    <w:rsid w:val="0036503B"/>
    <w:rsid w:val="00376A4A"/>
    <w:rsid w:val="003D6D03"/>
    <w:rsid w:val="003E12CA"/>
    <w:rsid w:val="004010DC"/>
    <w:rsid w:val="004341F0"/>
    <w:rsid w:val="00456324"/>
    <w:rsid w:val="0047254D"/>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2436"/>
    <w:rsid w:val="008964EF"/>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16A83"/>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94170">
      <w:bodyDiv w:val="1"/>
      <w:marLeft w:val="0"/>
      <w:marRight w:val="0"/>
      <w:marTop w:val="0"/>
      <w:marBottom w:val="0"/>
      <w:divBdr>
        <w:top w:val="none" w:sz="0" w:space="0" w:color="auto"/>
        <w:left w:val="none" w:sz="0" w:space="0" w:color="auto"/>
        <w:bottom w:val="none" w:sz="0" w:space="0" w:color="auto"/>
        <w:right w:val="none" w:sz="0" w:space="0" w:color="auto"/>
      </w:divBdr>
    </w:div>
    <w:div w:id="939407883">
      <w:bodyDiv w:val="1"/>
      <w:marLeft w:val="0"/>
      <w:marRight w:val="0"/>
      <w:marTop w:val="0"/>
      <w:marBottom w:val="0"/>
      <w:divBdr>
        <w:top w:val="none" w:sz="0" w:space="0" w:color="auto"/>
        <w:left w:val="none" w:sz="0" w:space="0" w:color="auto"/>
        <w:bottom w:val="none" w:sz="0" w:space="0" w:color="auto"/>
        <w:right w:val="none" w:sz="0" w:space="0" w:color="auto"/>
      </w:divBdr>
    </w:div>
    <w:div w:id="1279679034">
      <w:bodyDiv w:val="1"/>
      <w:marLeft w:val="0"/>
      <w:marRight w:val="0"/>
      <w:marTop w:val="0"/>
      <w:marBottom w:val="0"/>
      <w:divBdr>
        <w:top w:val="none" w:sz="0" w:space="0" w:color="auto"/>
        <w:left w:val="none" w:sz="0" w:space="0" w:color="auto"/>
        <w:bottom w:val="none" w:sz="0" w:space="0" w:color="auto"/>
        <w:right w:val="none" w:sz="0" w:space="0" w:color="auto"/>
      </w:divBdr>
    </w:div>
    <w:div w:id="1609510694">
      <w:bodyDiv w:val="1"/>
      <w:marLeft w:val="0"/>
      <w:marRight w:val="0"/>
      <w:marTop w:val="0"/>
      <w:marBottom w:val="0"/>
      <w:divBdr>
        <w:top w:val="none" w:sz="0" w:space="0" w:color="auto"/>
        <w:left w:val="none" w:sz="0" w:space="0" w:color="auto"/>
        <w:bottom w:val="none" w:sz="0" w:space="0" w:color="auto"/>
        <w:right w:val="none" w:sz="0" w:space="0" w:color="auto"/>
      </w:divBdr>
    </w:div>
    <w:div w:id="1641032794">
      <w:bodyDiv w:val="1"/>
      <w:marLeft w:val="0"/>
      <w:marRight w:val="0"/>
      <w:marTop w:val="0"/>
      <w:marBottom w:val="0"/>
      <w:divBdr>
        <w:top w:val="none" w:sz="0" w:space="0" w:color="auto"/>
        <w:left w:val="none" w:sz="0" w:space="0" w:color="auto"/>
        <w:bottom w:val="none" w:sz="0" w:space="0" w:color="auto"/>
        <w:right w:val="none" w:sz="0" w:space="0" w:color="auto"/>
      </w:divBdr>
    </w:div>
    <w:div w:id="176252764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440</Words>
  <Characters>2510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