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7D2C2817" w:rsidR="00B17211" w:rsidRPr="00B17211" w:rsidRDefault="00B17211" w:rsidP="007F490F">
            <w:r w:rsidRPr="007F490F">
              <w:rPr>
                <w:rStyle w:val="Heading2Char"/>
              </w:rPr>
              <w:t>Our reference:</w:t>
            </w:r>
            <w:r>
              <w:t xml:space="preserve">  FOI 2</w:t>
            </w:r>
            <w:r w:rsidR="00AC443C">
              <w:t>3</w:t>
            </w:r>
            <w:r>
              <w:t>-</w:t>
            </w:r>
            <w:r w:rsidR="00A66025">
              <w:t>1915</w:t>
            </w:r>
          </w:p>
          <w:p w14:paraId="5979BB04" w14:textId="40BCA52F" w:rsidR="00B17211" w:rsidRDefault="00456324" w:rsidP="00EE2373">
            <w:r w:rsidRPr="007F490F">
              <w:rPr>
                <w:rStyle w:val="Heading2Char"/>
              </w:rPr>
              <w:t>Respon</w:t>
            </w:r>
            <w:r w:rsidR="007D55F6">
              <w:rPr>
                <w:rStyle w:val="Heading2Char"/>
              </w:rPr>
              <w:t>ded to:</w:t>
            </w:r>
            <w:r w:rsidR="007F490F">
              <w:t xml:space="preserve">  </w:t>
            </w:r>
            <w:r w:rsidR="00605361">
              <w:t>25</w:t>
            </w:r>
            <w:r w:rsidR="00605361" w:rsidRPr="00605361">
              <w:rPr>
                <w:vertAlign w:val="superscript"/>
              </w:rPr>
              <w:t>th</w:t>
            </w:r>
            <w:r w:rsidR="00605361">
              <w:t xml:space="preserve"> </w:t>
            </w:r>
            <w:r w:rsidR="00074F2E">
              <w:t>August</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5946F4D" w14:textId="674E3556" w:rsidR="00A66025" w:rsidRPr="00A66025" w:rsidRDefault="00A66025" w:rsidP="00A66025">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Original Request: [</w:t>
      </w:r>
      <w:r w:rsidRPr="00A66025">
        <w:rPr>
          <w:rFonts w:eastAsiaTheme="majorEastAsia" w:cstheme="majorBidi"/>
          <w:b/>
          <w:color w:val="000000" w:themeColor="text1"/>
          <w:szCs w:val="26"/>
        </w:rPr>
        <w:t>Under the Freedom of Information Act I am kindly requesting the following information (using * Co-op, Coop, Co-op Group, Co-operative, Co-operative Group)</w:t>
      </w:r>
      <w:r>
        <w:rPr>
          <w:rFonts w:eastAsiaTheme="majorEastAsia" w:cstheme="majorBidi"/>
          <w:b/>
          <w:color w:val="000000" w:themeColor="text1"/>
          <w:szCs w:val="26"/>
        </w:rPr>
        <w:t xml:space="preserve">.  </w:t>
      </w:r>
      <w:r w:rsidRPr="00A66025">
        <w:rPr>
          <w:rFonts w:eastAsiaTheme="majorEastAsia" w:cstheme="majorBidi"/>
          <w:b/>
          <w:color w:val="000000" w:themeColor="text1"/>
          <w:szCs w:val="26"/>
        </w:rPr>
        <w:t>In 2020, 2021, 2022 and 2023 (to March);</w:t>
      </w:r>
      <w:r w:rsidRPr="00A66025">
        <w:rPr>
          <w:rFonts w:eastAsiaTheme="majorEastAsia" w:cstheme="majorBidi"/>
          <w:b/>
          <w:color w:val="000000" w:themeColor="text1"/>
          <w:szCs w:val="26"/>
        </w:rPr>
        <w:br/>
        <w:t>(a) how many incidents at a Co-op* store have been reported to the Police Scotland and</w:t>
      </w:r>
      <w:r>
        <w:rPr>
          <w:rFonts w:eastAsiaTheme="majorEastAsia" w:cstheme="majorBidi"/>
          <w:b/>
          <w:color w:val="000000" w:themeColor="text1"/>
          <w:szCs w:val="26"/>
        </w:rPr>
        <w:t xml:space="preserve"> </w:t>
      </w:r>
      <w:r w:rsidRPr="00A66025">
        <w:rPr>
          <w:rFonts w:eastAsiaTheme="majorEastAsia" w:cstheme="majorBidi"/>
          <w:b/>
          <w:color w:val="000000" w:themeColor="text1"/>
          <w:szCs w:val="26"/>
        </w:rPr>
        <w:t>(b) how many times have the Police Scotland attended in person to an incident reported to them at a Co-op* store?</w:t>
      </w:r>
      <w:r>
        <w:rPr>
          <w:rFonts w:eastAsiaTheme="majorEastAsia" w:cstheme="majorBidi"/>
          <w:b/>
          <w:color w:val="000000" w:themeColor="text1"/>
          <w:szCs w:val="26"/>
        </w:rPr>
        <w:t>]</w:t>
      </w:r>
    </w:p>
    <w:p w14:paraId="61E417A4" w14:textId="0EA05672" w:rsidR="00A66025" w:rsidRPr="00A66025" w:rsidRDefault="00A66025" w:rsidP="00A66025">
      <w:pPr>
        <w:tabs>
          <w:tab w:val="left" w:pos="5400"/>
        </w:tabs>
        <w:rPr>
          <w:b/>
          <w:bCs/>
        </w:rPr>
      </w:pPr>
      <w:r w:rsidRPr="00A66025">
        <w:rPr>
          <w:b/>
          <w:bCs/>
        </w:rPr>
        <w:t>New Request: As per your advice, I have provided the address of the associated stores and hope this will prove useful in unlocking the request.</w:t>
      </w:r>
      <w:r>
        <w:rPr>
          <w:b/>
          <w:bCs/>
        </w:rPr>
        <w:t xml:space="preserve">  </w:t>
      </w:r>
      <w:r>
        <w:rPr>
          <w:b/>
          <w:bCs/>
        </w:rPr>
        <w:br/>
      </w:r>
      <w:r w:rsidRPr="00A66025">
        <w:rPr>
          <w:b/>
          <w:bCs/>
        </w:rPr>
        <w:t>N.b. Below are the stores held on Coop systems that fall into the Police Scotland Constabulary. In some instances there may be a variance with the detail held on Policing systems and Coops – should this be the case, where parity is not ‘like for like’, it would be welcomed that time is invested to locate the store on the policing system for data accuracy of the FOI.</w:t>
      </w:r>
      <w:r>
        <w:rPr>
          <w:b/>
          <w:bCs/>
        </w:rPr>
        <w:t xml:space="preserve"> [List of 331 stores and their addresses provided]</w:t>
      </w:r>
    </w:p>
    <w:p w14:paraId="066BEA5D" w14:textId="089FDEF8" w:rsidR="00A66025" w:rsidRDefault="005E4A3C" w:rsidP="00A66025">
      <w:pPr>
        <w:tabs>
          <w:tab w:val="left" w:pos="5400"/>
        </w:tabs>
      </w:pPr>
      <w:r>
        <w:t>Having considered your request in terms of the Act, I can provide you with the data below.</w:t>
      </w:r>
    </w:p>
    <w:p w14:paraId="4447CA45" w14:textId="77777777" w:rsidR="005E4A3C" w:rsidRDefault="005E4A3C" w:rsidP="00A66025">
      <w:pPr>
        <w:tabs>
          <w:tab w:val="left" w:pos="5400"/>
        </w:tabs>
      </w:pPr>
      <w:r>
        <w:t>Please note that Police Scotland do not consider keyword searching to be an accurate means of analysis and as was described in our response to your original request, a keyword search alone based on the locus would throw up substantial false positives.</w:t>
      </w:r>
    </w:p>
    <w:p w14:paraId="50095A44" w14:textId="7F0E5B2A" w:rsidR="005E4A3C" w:rsidRDefault="005E4A3C" w:rsidP="00A66025">
      <w:pPr>
        <w:tabs>
          <w:tab w:val="left" w:pos="5400"/>
        </w:tabs>
      </w:pPr>
      <w:r>
        <w:t>Most notably addresses including ’Coop’ or ‘Cooper’ etc which renders the further analysis required significantly time consuming to the extent that it was decided that section 12 of the Act - excessive cost - applied.</w:t>
      </w:r>
    </w:p>
    <w:p w14:paraId="099BD10E" w14:textId="2DDFC16E" w:rsidR="005E4A3C" w:rsidRDefault="005E4A3C" w:rsidP="00A66025">
      <w:pPr>
        <w:tabs>
          <w:tab w:val="left" w:pos="5400"/>
        </w:tabs>
      </w:pPr>
      <w:r>
        <w:t>However, with the provision of your list, we have been able to significantly reduce that initial hitlist.</w:t>
      </w:r>
    </w:p>
    <w:p w14:paraId="03E4FC6D" w14:textId="03E9574A" w:rsidR="005E4A3C" w:rsidRDefault="005E4A3C" w:rsidP="00A66025">
      <w:pPr>
        <w:tabs>
          <w:tab w:val="left" w:pos="5400"/>
        </w:tabs>
      </w:pPr>
      <w:r>
        <w:t>For the reasons outlined above the data may not be fully accurate but it is the best we can provide based on the parameters you have specified.</w:t>
      </w:r>
    </w:p>
    <w:p w14:paraId="08F53290" w14:textId="1BA5A217" w:rsidR="005E4A3C" w:rsidRDefault="005E4A3C" w:rsidP="00A66025">
      <w:pPr>
        <w:tabs>
          <w:tab w:val="left" w:pos="5400"/>
        </w:tabs>
      </w:pPr>
      <w:r w:rsidRPr="005E4A3C">
        <w:rPr>
          <w:b/>
          <w:bCs/>
        </w:rPr>
        <w:lastRenderedPageBreak/>
        <w:t>No. of incidents at Co-op</w:t>
      </w:r>
      <w:r w:rsidRPr="005E4A3C">
        <w:rPr>
          <w:b/>
          <w:bCs/>
          <w:vertAlign w:val="superscript"/>
        </w:rPr>
        <w:t>1</w:t>
      </w:r>
      <w:r w:rsidRPr="005E4A3C">
        <w:rPr>
          <w:b/>
          <w:bCs/>
        </w:rPr>
        <w:t xml:space="preserve">, Scotland </w:t>
      </w:r>
      <w:r>
        <w:rPr>
          <w:b/>
          <w:bCs/>
        </w:rPr>
        <w:t>i</w:t>
      </w:r>
      <w:r w:rsidRPr="005E4A3C">
        <w:rPr>
          <w:b/>
          <w:bCs/>
        </w:rPr>
        <w:t>ncluding those crimed and attended by police</w:t>
      </w:r>
      <w:r>
        <w:rPr>
          <w:b/>
          <w:bCs/>
        </w:rPr>
        <w:t xml:space="preserve"> - 2020/21, 2021/22 and 2022/23</w:t>
      </w:r>
    </w:p>
    <w:tbl>
      <w:tblPr>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1"/>
        <w:gridCol w:w="1492"/>
        <w:gridCol w:w="2386"/>
        <w:gridCol w:w="2599"/>
      </w:tblGrid>
      <w:tr w:rsidR="005E4A3C" w:rsidRPr="005E4A3C" w14:paraId="21BB5628" w14:textId="77777777" w:rsidTr="005E4A3C">
        <w:trPr>
          <w:trHeight w:val="375"/>
        </w:trPr>
        <w:tc>
          <w:tcPr>
            <w:tcW w:w="2911" w:type="dxa"/>
            <w:shd w:val="clear" w:color="auto" w:fill="auto"/>
            <w:noWrap/>
            <w:vAlign w:val="bottom"/>
            <w:hideMark/>
          </w:tcPr>
          <w:p w14:paraId="5221B4A4" w14:textId="77777777" w:rsidR="005E4A3C" w:rsidRPr="005E4A3C" w:rsidRDefault="005E4A3C" w:rsidP="005E4A3C">
            <w:pPr>
              <w:tabs>
                <w:tab w:val="left" w:pos="5400"/>
              </w:tabs>
              <w:spacing w:line="276" w:lineRule="auto"/>
              <w:rPr>
                <w:b/>
                <w:bCs/>
              </w:rPr>
            </w:pPr>
            <w:r w:rsidRPr="005E4A3C">
              <w:rPr>
                <w:b/>
                <w:bCs/>
              </w:rPr>
              <w:t>Financial year</w:t>
            </w:r>
          </w:p>
        </w:tc>
        <w:tc>
          <w:tcPr>
            <w:tcW w:w="1492" w:type="dxa"/>
            <w:shd w:val="clear" w:color="auto" w:fill="auto"/>
            <w:noWrap/>
            <w:vAlign w:val="bottom"/>
            <w:hideMark/>
          </w:tcPr>
          <w:p w14:paraId="721BC9EC" w14:textId="77777777" w:rsidR="005E4A3C" w:rsidRPr="005E4A3C" w:rsidRDefault="005E4A3C" w:rsidP="005E4A3C">
            <w:pPr>
              <w:tabs>
                <w:tab w:val="left" w:pos="5400"/>
              </w:tabs>
              <w:spacing w:line="276" w:lineRule="auto"/>
              <w:rPr>
                <w:b/>
                <w:bCs/>
              </w:rPr>
            </w:pPr>
            <w:r w:rsidRPr="005E4A3C">
              <w:rPr>
                <w:b/>
                <w:bCs/>
              </w:rPr>
              <w:t>Incidents</w:t>
            </w:r>
            <w:r w:rsidRPr="005E4A3C">
              <w:rPr>
                <w:b/>
                <w:bCs/>
                <w:vertAlign w:val="superscript"/>
              </w:rPr>
              <w:t>1</w:t>
            </w:r>
          </w:p>
        </w:tc>
        <w:tc>
          <w:tcPr>
            <w:tcW w:w="2386" w:type="dxa"/>
            <w:shd w:val="clear" w:color="auto" w:fill="auto"/>
            <w:noWrap/>
            <w:vAlign w:val="bottom"/>
            <w:hideMark/>
          </w:tcPr>
          <w:p w14:paraId="2F1E547A" w14:textId="77777777" w:rsidR="005E4A3C" w:rsidRPr="005E4A3C" w:rsidRDefault="005E4A3C" w:rsidP="005E4A3C">
            <w:pPr>
              <w:tabs>
                <w:tab w:val="left" w:pos="5400"/>
              </w:tabs>
              <w:spacing w:line="276" w:lineRule="auto"/>
              <w:rPr>
                <w:b/>
                <w:bCs/>
              </w:rPr>
            </w:pPr>
            <w:r w:rsidRPr="005E4A3C">
              <w:rPr>
                <w:b/>
                <w:bCs/>
              </w:rPr>
              <w:t>Crimed incidents</w:t>
            </w:r>
            <w:r w:rsidRPr="005E4A3C">
              <w:rPr>
                <w:b/>
                <w:bCs/>
                <w:vertAlign w:val="superscript"/>
              </w:rPr>
              <w:t>2</w:t>
            </w:r>
          </w:p>
        </w:tc>
        <w:tc>
          <w:tcPr>
            <w:tcW w:w="2599" w:type="dxa"/>
            <w:shd w:val="clear" w:color="auto" w:fill="auto"/>
            <w:noWrap/>
            <w:vAlign w:val="bottom"/>
            <w:hideMark/>
          </w:tcPr>
          <w:p w14:paraId="399B9BF8" w14:textId="77777777" w:rsidR="005E4A3C" w:rsidRPr="005E4A3C" w:rsidRDefault="005E4A3C" w:rsidP="005E4A3C">
            <w:pPr>
              <w:tabs>
                <w:tab w:val="left" w:pos="5400"/>
              </w:tabs>
              <w:spacing w:line="276" w:lineRule="auto"/>
              <w:rPr>
                <w:b/>
                <w:bCs/>
              </w:rPr>
            </w:pPr>
            <w:r w:rsidRPr="005E4A3C">
              <w:rPr>
                <w:b/>
                <w:bCs/>
              </w:rPr>
              <w:t>Attended incidents</w:t>
            </w:r>
            <w:r w:rsidRPr="005E4A3C">
              <w:rPr>
                <w:b/>
                <w:bCs/>
                <w:vertAlign w:val="superscript"/>
              </w:rPr>
              <w:t>3</w:t>
            </w:r>
          </w:p>
        </w:tc>
      </w:tr>
      <w:tr w:rsidR="005E4A3C" w:rsidRPr="005E4A3C" w14:paraId="3F85A4F1" w14:textId="77777777" w:rsidTr="005E4A3C">
        <w:trPr>
          <w:trHeight w:val="315"/>
        </w:trPr>
        <w:tc>
          <w:tcPr>
            <w:tcW w:w="2911" w:type="dxa"/>
            <w:shd w:val="clear" w:color="auto" w:fill="auto"/>
            <w:noWrap/>
            <w:vAlign w:val="bottom"/>
            <w:hideMark/>
          </w:tcPr>
          <w:p w14:paraId="612D57F7" w14:textId="77777777" w:rsidR="005E4A3C" w:rsidRPr="005E4A3C" w:rsidRDefault="005E4A3C" w:rsidP="005E4A3C">
            <w:pPr>
              <w:tabs>
                <w:tab w:val="left" w:pos="5400"/>
              </w:tabs>
              <w:spacing w:line="276" w:lineRule="auto"/>
            </w:pPr>
            <w:r w:rsidRPr="005E4A3C">
              <w:t>April 2020 - March 2021</w:t>
            </w:r>
          </w:p>
        </w:tc>
        <w:tc>
          <w:tcPr>
            <w:tcW w:w="1492" w:type="dxa"/>
            <w:shd w:val="clear" w:color="auto" w:fill="auto"/>
            <w:noWrap/>
            <w:vAlign w:val="bottom"/>
            <w:hideMark/>
          </w:tcPr>
          <w:p w14:paraId="23949B7D" w14:textId="77777777" w:rsidR="005E4A3C" w:rsidRPr="005E4A3C" w:rsidRDefault="005E4A3C" w:rsidP="005E4A3C">
            <w:pPr>
              <w:tabs>
                <w:tab w:val="left" w:pos="5400"/>
              </w:tabs>
              <w:spacing w:line="276" w:lineRule="auto"/>
            </w:pPr>
            <w:r w:rsidRPr="005E4A3C">
              <w:t>1346</w:t>
            </w:r>
          </w:p>
        </w:tc>
        <w:tc>
          <w:tcPr>
            <w:tcW w:w="2386" w:type="dxa"/>
            <w:shd w:val="clear" w:color="auto" w:fill="auto"/>
            <w:noWrap/>
            <w:vAlign w:val="bottom"/>
            <w:hideMark/>
          </w:tcPr>
          <w:p w14:paraId="171DCE73" w14:textId="77777777" w:rsidR="005E4A3C" w:rsidRPr="005E4A3C" w:rsidRDefault="005E4A3C" w:rsidP="005E4A3C">
            <w:pPr>
              <w:tabs>
                <w:tab w:val="left" w:pos="5400"/>
              </w:tabs>
              <w:spacing w:line="276" w:lineRule="auto"/>
            </w:pPr>
            <w:r w:rsidRPr="005E4A3C">
              <w:t>819</w:t>
            </w:r>
          </w:p>
        </w:tc>
        <w:tc>
          <w:tcPr>
            <w:tcW w:w="2599" w:type="dxa"/>
            <w:shd w:val="clear" w:color="auto" w:fill="auto"/>
            <w:noWrap/>
            <w:vAlign w:val="bottom"/>
            <w:hideMark/>
          </w:tcPr>
          <w:p w14:paraId="6D85C28E" w14:textId="77777777" w:rsidR="005E4A3C" w:rsidRPr="005E4A3C" w:rsidRDefault="005E4A3C" w:rsidP="005E4A3C">
            <w:pPr>
              <w:tabs>
                <w:tab w:val="left" w:pos="5400"/>
              </w:tabs>
              <w:spacing w:line="276" w:lineRule="auto"/>
            </w:pPr>
            <w:r w:rsidRPr="005E4A3C">
              <w:t>619</w:t>
            </w:r>
          </w:p>
        </w:tc>
      </w:tr>
      <w:tr w:rsidR="005E4A3C" w:rsidRPr="005E4A3C" w14:paraId="1343C4C6" w14:textId="77777777" w:rsidTr="005E4A3C">
        <w:trPr>
          <w:trHeight w:val="315"/>
        </w:trPr>
        <w:tc>
          <w:tcPr>
            <w:tcW w:w="2911" w:type="dxa"/>
            <w:shd w:val="clear" w:color="auto" w:fill="auto"/>
            <w:noWrap/>
            <w:vAlign w:val="bottom"/>
            <w:hideMark/>
          </w:tcPr>
          <w:p w14:paraId="05158600" w14:textId="77777777" w:rsidR="005E4A3C" w:rsidRPr="005E4A3C" w:rsidRDefault="005E4A3C" w:rsidP="005E4A3C">
            <w:pPr>
              <w:tabs>
                <w:tab w:val="left" w:pos="5400"/>
              </w:tabs>
              <w:spacing w:line="276" w:lineRule="auto"/>
            </w:pPr>
            <w:r w:rsidRPr="005E4A3C">
              <w:t>April 2021 - March 2022</w:t>
            </w:r>
          </w:p>
        </w:tc>
        <w:tc>
          <w:tcPr>
            <w:tcW w:w="1492" w:type="dxa"/>
            <w:shd w:val="clear" w:color="auto" w:fill="auto"/>
            <w:noWrap/>
            <w:vAlign w:val="bottom"/>
            <w:hideMark/>
          </w:tcPr>
          <w:p w14:paraId="25C25650" w14:textId="77777777" w:rsidR="005E4A3C" w:rsidRPr="005E4A3C" w:rsidRDefault="005E4A3C" w:rsidP="005E4A3C">
            <w:pPr>
              <w:tabs>
                <w:tab w:val="left" w:pos="5400"/>
              </w:tabs>
              <w:spacing w:line="276" w:lineRule="auto"/>
            </w:pPr>
            <w:r w:rsidRPr="005E4A3C">
              <w:t>1418</w:t>
            </w:r>
          </w:p>
        </w:tc>
        <w:tc>
          <w:tcPr>
            <w:tcW w:w="2386" w:type="dxa"/>
            <w:shd w:val="clear" w:color="auto" w:fill="auto"/>
            <w:noWrap/>
            <w:vAlign w:val="bottom"/>
            <w:hideMark/>
          </w:tcPr>
          <w:p w14:paraId="2B760A43" w14:textId="77777777" w:rsidR="005E4A3C" w:rsidRPr="005E4A3C" w:rsidRDefault="005E4A3C" w:rsidP="005E4A3C">
            <w:pPr>
              <w:tabs>
                <w:tab w:val="left" w:pos="5400"/>
              </w:tabs>
              <w:spacing w:line="276" w:lineRule="auto"/>
            </w:pPr>
            <w:r w:rsidRPr="005E4A3C">
              <w:t>867</w:t>
            </w:r>
          </w:p>
        </w:tc>
        <w:tc>
          <w:tcPr>
            <w:tcW w:w="2599" w:type="dxa"/>
            <w:shd w:val="clear" w:color="auto" w:fill="auto"/>
            <w:noWrap/>
            <w:vAlign w:val="bottom"/>
            <w:hideMark/>
          </w:tcPr>
          <w:p w14:paraId="6A7485F4" w14:textId="77777777" w:rsidR="005E4A3C" w:rsidRPr="005E4A3C" w:rsidRDefault="005E4A3C" w:rsidP="005E4A3C">
            <w:pPr>
              <w:tabs>
                <w:tab w:val="left" w:pos="5400"/>
              </w:tabs>
              <w:spacing w:line="276" w:lineRule="auto"/>
            </w:pPr>
            <w:r w:rsidRPr="005E4A3C">
              <w:t>628</w:t>
            </w:r>
          </w:p>
        </w:tc>
      </w:tr>
      <w:tr w:rsidR="005E4A3C" w:rsidRPr="005E4A3C" w14:paraId="2AE14247" w14:textId="77777777" w:rsidTr="005E4A3C">
        <w:trPr>
          <w:trHeight w:val="315"/>
        </w:trPr>
        <w:tc>
          <w:tcPr>
            <w:tcW w:w="2911" w:type="dxa"/>
            <w:shd w:val="clear" w:color="auto" w:fill="auto"/>
            <w:noWrap/>
            <w:vAlign w:val="bottom"/>
            <w:hideMark/>
          </w:tcPr>
          <w:p w14:paraId="29E09F52" w14:textId="77777777" w:rsidR="005E4A3C" w:rsidRPr="005E4A3C" w:rsidRDefault="005E4A3C" w:rsidP="005E4A3C">
            <w:pPr>
              <w:tabs>
                <w:tab w:val="left" w:pos="5400"/>
              </w:tabs>
              <w:spacing w:line="276" w:lineRule="auto"/>
            </w:pPr>
            <w:r w:rsidRPr="005E4A3C">
              <w:t>April 2022 - March 2023</w:t>
            </w:r>
          </w:p>
        </w:tc>
        <w:tc>
          <w:tcPr>
            <w:tcW w:w="1492" w:type="dxa"/>
            <w:shd w:val="clear" w:color="auto" w:fill="auto"/>
            <w:noWrap/>
            <w:vAlign w:val="bottom"/>
            <w:hideMark/>
          </w:tcPr>
          <w:p w14:paraId="294CD9E4" w14:textId="77777777" w:rsidR="005E4A3C" w:rsidRPr="005E4A3C" w:rsidRDefault="005E4A3C" w:rsidP="005E4A3C">
            <w:pPr>
              <w:tabs>
                <w:tab w:val="left" w:pos="5400"/>
              </w:tabs>
              <w:spacing w:line="276" w:lineRule="auto"/>
            </w:pPr>
            <w:r w:rsidRPr="005E4A3C">
              <w:t>1853</w:t>
            </w:r>
          </w:p>
        </w:tc>
        <w:tc>
          <w:tcPr>
            <w:tcW w:w="2386" w:type="dxa"/>
            <w:shd w:val="clear" w:color="auto" w:fill="auto"/>
            <w:noWrap/>
            <w:vAlign w:val="bottom"/>
            <w:hideMark/>
          </w:tcPr>
          <w:p w14:paraId="044FD626" w14:textId="77777777" w:rsidR="005E4A3C" w:rsidRPr="005E4A3C" w:rsidRDefault="005E4A3C" w:rsidP="005E4A3C">
            <w:pPr>
              <w:tabs>
                <w:tab w:val="left" w:pos="5400"/>
              </w:tabs>
              <w:spacing w:line="276" w:lineRule="auto"/>
            </w:pPr>
            <w:r w:rsidRPr="005E4A3C">
              <w:t>1306</w:t>
            </w:r>
          </w:p>
        </w:tc>
        <w:tc>
          <w:tcPr>
            <w:tcW w:w="2599" w:type="dxa"/>
            <w:shd w:val="clear" w:color="auto" w:fill="auto"/>
            <w:noWrap/>
            <w:vAlign w:val="bottom"/>
            <w:hideMark/>
          </w:tcPr>
          <w:p w14:paraId="05D72CE0" w14:textId="77777777" w:rsidR="005E4A3C" w:rsidRPr="005E4A3C" w:rsidRDefault="005E4A3C" w:rsidP="005E4A3C">
            <w:pPr>
              <w:tabs>
                <w:tab w:val="left" w:pos="5400"/>
              </w:tabs>
              <w:spacing w:line="276" w:lineRule="auto"/>
            </w:pPr>
            <w:r w:rsidRPr="005E4A3C">
              <w:t>711</w:t>
            </w:r>
          </w:p>
        </w:tc>
      </w:tr>
    </w:tbl>
    <w:p w14:paraId="39D6BC22" w14:textId="230C33D6" w:rsidR="00BF6B81" w:rsidRPr="005E4A3C" w:rsidRDefault="005E4A3C" w:rsidP="005E4A3C">
      <w:pPr>
        <w:tabs>
          <w:tab w:val="left" w:pos="5400"/>
        </w:tabs>
        <w:rPr>
          <w:i/>
          <w:iCs/>
          <w:sz w:val="20"/>
          <w:szCs w:val="20"/>
        </w:rPr>
      </w:pPr>
      <w:r w:rsidRPr="005E4A3C">
        <w:rPr>
          <w:i/>
          <w:iCs/>
          <w:sz w:val="20"/>
          <w:szCs w:val="20"/>
        </w:rPr>
        <w:t xml:space="preserve">All statistics are provisional and should be treated as management information. </w:t>
      </w:r>
      <w:r w:rsidR="005811F6">
        <w:rPr>
          <w:i/>
          <w:iCs/>
          <w:sz w:val="20"/>
          <w:szCs w:val="20"/>
        </w:rPr>
        <w:br/>
      </w:r>
      <w:r w:rsidRPr="005E4A3C">
        <w:rPr>
          <w:i/>
          <w:iCs/>
          <w:sz w:val="20"/>
          <w:szCs w:val="20"/>
        </w:rPr>
        <w:t>The data has been sourced from Storm Unity via the MIS database.</w:t>
      </w:r>
      <w:r w:rsidR="005811F6">
        <w:rPr>
          <w:i/>
          <w:iCs/>
          <w:sz w:val="20"/>
          <w:szCs w:val="20"/>
        </w:rPr>
        <w:br/>
      </w:r>
      <w:r w:rsidRPr="005E4A3C">
        <w:rPr>
          <w:i/>
          <w:iCs/>
          <w:sz w:val="20"/>
          <w:szCs w:val="20"/>
        </w:rPr>
        <w:t xml:space="preserve">1 Incidents were identified by undertaking keyword searches (see footnote 4 below) against the incident locus. Those incidents were then matched against the postcodes provided in the list supplied. </w:t>
      </w:r>
      <w:r w:rsidR="005811F6">
        <w:rPr>
          <w:i/>
          <w:iCs/>
          <w:sz w:val="20"/>
          <w:szCs w:val="20"/>
        </w:rPr>
        <w:br/>
      </w:r>
      <w:r w:rsidRPr="005E4A3C">
        <w:rPr>
          <w:i/>
          <w:iCs/>
          <w:sz w:val="20"/>
          <w:szCs w:val="20"/>
        </w:rPr>
        <w:t>2 Crimed incidents are defined as those where a disposal of 'SC01 - SCRS Crime report' has been added.</w:t>
      </w:r>
      <w:r w:rsidR="005811F6">
        <w:rPr>
          <w:i/>
          <w:iCs/>
          <w:sz w:val="20"/>
          <w:szCs w:val="20"/>
        </w:rPr>
        <w:br/>
      </w:r>
      <w:r w:rsidRPr="005E4A3C">
        <w:rPr>
          <w:i/>
          <w:iCs/>
          <w:sz w:val="20"/>
          <w:szCs w:val="20"/>
        </w:rPr>
        <w:t>3 Attended incidents are defined as those where the At Scene field has been populated.</w:t>
      </w:r>
      <w:r w:rsidR="005811F6">
        <w:rPr>
          <w:i/>
          <w:iCs/>
          <w:sz w:val="20"/>
          <w:szCs w:val="20"/>
        </w:rPr>
        <w:br/>
      </w:r>
      <w:r w:rsidRPr="005E4A3C">
        <w:rPr>
          <w:i/>
          <w:iCs/>
          <w:sz w:val="20"/>
          <w:szCs w:val="20"/>
        </w:rPr>
        <w:t>4 The keywords searched for are: CO-OP</w:t>
      </w:r>
      <w:r>
        <w:rPr>
          <w:i/>
          <w:iCs/>
          <w:sz w:val="20"/>
          <w:szCs w:val="20"/>
        </w:rPr>
        <w:t xml:space="preserve">, </w:t>
      </w:r>
      <w:r w:rsidRPr="005E4A3C">
        <w:rPr>
          <w:i/>
          <w:iCs/>
          <w:sz w:val="20"/>
          <w:szCs w:val="20"/>
        </w:rPr>
        <w:t>CO OP</w:t>
      </w:r>
      <w:r>
        <w:rPr>
          <w:i/>
          <w:iCs/>
          <w:sz w:val="20"/>
          <w:szCs w:val="20"/>
        </w:rPr>
        <w:t xml:space="preserve">, </w:t>
      </w:r>
      <w:r w:rsidRPr="005E4A3C">
        <w:rPr>
          <w:i/>
          <w:iCs/>
          <w:sz w:val="20"/>
          <w:szCs w:val="20"/>
        </w:rPr>
        <w:t>COOP</w:t>
      </w:r>
      <w:r>
        <w:rPr>
          <w:i/>
          <w:iCs/>
          <w:sz w:val="20"/>
          <w:szCs w:val="20"/>
        </w:rPr>
        <w:t xml:space="preserve">, </w:t>
      </w:r>
      <w:r w:rsidRPr="005E4A3C">
        <w:rPr>
          <w:i/>
          <w:iCs/>
          <w:sz w:val="20"/>
          <w:szCs w:val="20"/>
        </w:rPr>
        <w:t>CO-OP GROUP</w:t>
      </w:r>
      <w:r>
        <w:rPr>
          <w:i/>
          <w:iCs/>
          <w:sz w:val="20"/>
          <w:szCs w:val="20"/>
        </w:rPr>
        <w:t xml:space="preserve">, </w:t>
      </w:r>
      <w:r w:rsidRPr="005E4A3C">
        <w:rPr>
          <w:i/>
          <w:iCs/>
          <w:sz w:val="20"/>
          <w:szCs w:val="20"/>
        </w:rPr>
        <w:t>CO OP GROUP</w:t>
      </w:r>
      <w:r>
        <w:rPr>
          <w:i/>
          <w:iCs/>
          <w:sz w:val="20"/>
          <w:szCs w:val="20"/>
        </w:rPr>
        <w:t xml:space="preserve">, </w:t>
      </w:r>
      <w:r w:rsidRPr="005E4A3C">
        <w:rPr>
          <w:i/>
          <w:iCs/>
          <w:sz w:val="20"/>
          <w:szCs w:val="20"/>
        </w:rPr>
        <w:t>COOP GROUP</w:t>
      </w:r>
      <w:r>
        <w:rPr>
          <w:i/>
          <w:iCs/>
          <w:sz w:val="20"/>
          <w:szCs w:val="20"/>
        </w:rPr>
        <w:t xml:space="preserve">, </w:t>
      </w:r>
      <w:r w:rsidRPr="005E4A3C">
        <w:rPr>
          <w:i/>
          <w:iCs/>
          <w:sz w:val="20"/>
          <w:szCs w:val="20"/>
        </w:rPr>
        <w:t>CO-OPERATIVE</w:t>
      </w:r>
      <w:r>
        <w:rPr>
          <w:i/>
          <w:iCs/>
          <w:sz w:val="20"/>
          <w:szCs w:val="20"/>
        </w:rPr>
        <w:t xml:space="preserve">, </w:t>
      </w:r>
      <w:r w:rsidRPr="005E4A3C">
        <w:rPr>
          <w:i/>
          <w:iCs/>
          <w:sz w:val="20"/>
          <w:szCs w:val="20"/>
        </w:rPr>
        <w:t>CO OPERATIVE</w:t>
      </w:r>
      <w:r>
        <w:rPr>
          <w:i/>
          <w:iCs/>
          <w:sz w:val="20"/>
          <w:szCs w:val="20"/>
        </w:rPr>
        <w:t xml:space="preserve">, </w:t>
      </w:r>
      <w:r w:rsidRPr="005E4A3C">
        <w:rPr>
          <w:i/>
          <w:iCs/>
          <w:sz w:val="20"/>
          <w:szCs w:val="20"/>
        </w:rPr>
        <w:t>COOPERATIVE</w:t>
      </w:r>
      <w:r>
        <w:rPr>
          <w:i/>
          <w:iCs/>
          <w:sz w:val="20"/>
          <w:szCs w:val="20"/>
        </w:rPr>
        <w:t xml:space="preserve">, </w:t>
      </w:r>
      <w:r w:rsidRPr="005E4A3C">
        <w:rPr>
          <w:i/>
          <w:iCs/>
          <w:sz w:val="20"/>
          <w:szCs w:val="20"/>
        </w:rPr>
        <w:t>CO-OPERATIVE GROUP</w:t>
      </w:r>
      <w:r>
        <w:rPr>
          <w:i/>
          <w:iCs/>
          <w:sz w:val="20"/>
          <w:szCs w:val="20"/>
        </w:rPr>
        <w:t xml:space="preserve">, </w:t>
      </w:r>
      <w:r w:rsidRPr="005E4A3C">
        <w:rPr>
          <w:i/>
          <w:iCs/>
          <w:sz w:val="20"/>
          <w:szCs w:val="20"/>
        </w:rPr>
        <w:t>CO OPERATIVE GROUP</w:t>
      </w:r>
      <w:r>
        <w:rPr>
          <w:i/>
          <w:iCs/>
          <w:sz w:val="20"/>
          <w:szCs w:val="20"/>
        </w:rPr>
        <w:t xml:space="preserve">, </w:t>
      </w:r>
      <w:r w:rsidRPr="005E4A3C">
        <w:rPr>
          <w:i/>
          <w:iCs/>
          <w:sz w:val="20"/>
          <w:szCs w:val="20"/>
        </w:rPr>
        <w:t>COOPERATIVE GROUP</w:t>
      </w:r>
    </w:p>
    <w:p w14:paraId="04BDC175" w14:textId="77777777" w:rsidR="005E4A3C" w:rsidRPr="00B11A55" w:rsidRDefault="005E4A3C" w:rsidP="00793DD5">
      <w:pPr>
        <w:tabs>
          <w:tab w:val="left" w:pos="5400"/>
        </w:tabs>
      </w:pPr>
    </w:p>
    <w:p w14:paraId="7DFC36FE" w14:textId="77777777" w:rsidR="00496A08" w:rsidRPr="00BF6B81" w:rsidRDefault="00496A08" w:rsidP="00793DD5">
      <w:r>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315661F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536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76AC049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536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5442424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536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5969E66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5361">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6AFF20E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536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09F1A22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5361">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4507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4F2E"/>
    <w:rsid w:val="00090F3B"/>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811F6"/>
    <w:rsid w:val="005E4A3C"/>
    <w:rsid w:val="00605361"/>
    <w:rsid w:val="006D5799"/>
    <w:rsid w:val="00750D83"/>
    <w:rsid w:val="00793DD5"/>
    <w:rsid w:val="007D55F6"/>
    <w:rsid w:val="007F490F"/>
    <w:rsid w:val="0086779C"/>
    <w:rsid w:val="00874BFD"/>
    <w:rsid w:val="008964EF"/>
    <w:rsid w:val="009631A4"/>
    <w:rsid w:val="00977296"/>
    <w:rsid w:val="00A25E93"/>
    <w:rsid w:val="00A320FF"/>
    <w:rsid w:val="00A66025"/>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45493">
      <w:bodyDiv w:val="1"/>
      <w:marLeft w:val="0"/>
      <w:marRight w:val="0"/>
      <w:marTop w:val="0"/>
      <w:marBottom w:val="0"/>
      <w:divBdr>
        <w:top w:val="none" w:sz="0" w:space="0" w:color="auto"/>
        <w:left w:val="none" w:sz="0" w:space="0" w:color="auto"/>
        <w:bottom w:val="none" w:sz="0" w:space="0" w:color="auto"/>
        <w:right w:val="none" w:sz="0" w:space="0" w:color="auto"/>
      </w:divBdr>
    </w:div>
    <w:div w:id="210895169">
      <w:bodyDiv w:val="1"/>
      <w:marLeft w:val="0"/>
      <w:marRight w:val="0"/>
      <w:marTop w:val="0"/>
      <w:marBottom w:val="0"/>
      <w:divBdr>
        <w:top w:val="none" w:sz="0" w:space="0" w:color="auto"/>
        <w:left w:val="none" w:sz="0" w:space="0" w:color="auto"/>
        <w:bottom w:val="none" w:sz="0" w:space="0" w:color="auto"/>
        <w:right w:val="none" w:sz="0" w:space="0" w:color="auto"/>
      </w:divBdr>
    </w:div>
    <w:div w:id="278991566">
      <w:bodyDiv w:val="1"/>
      <w:marLeft w:val="0"/>
      <w:marRight w:val="0"/>
      <w:marTop w:val="0"/>
      <w:marBottom w:val="0"/>
      <w:divBdr>
        <w:top w:val="none" w:sz="0" w:space="0" w:color="auto"/>
        <w:left w:val="none" w:sz="0" w:space="0" w:color="auto"/>
        <w:bottom w:val="none" w:sz="0" w:space="0" w:color="auto"/>
        <w:right w:val="none" w:sz="0" w:space="0" w:color="auto"/>
      </w:divBdr>
    </w:div>
    <w:div w:id="171438525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2</Pages>
  <Words>624</Words>
  <Characters>3558</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2023-08-25T12:09:00Z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