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5BF541" w:rsidR="00B17211" w:rsidRPr="00B17211" w:rsidRDefault="00B17211" w:rsidP="007F490F">
            <w:r w:rsidRPr="007F490F">
              <w:rPr>
                <w:rStyle w:val="Heading2Char"/>
              </w:rPr>
              <w:t>Our reference:</w:t>
            </w:r>
            <w:r>
              <w:t xml:space="preserve">  FOI 2</w:t>
            </w:r>
            <w:r w:rsidR="00EF0FBB">
              <w:t>5</w:t>
            </w:r>
            <w:r>
              <w:t>-</w:t>
            </w:r>
            <w:r w:rsidR="00104D51">
              <w:t>0165</w:t>
            </w:r>
          </w:p>
          <w:p w14:paraId="34BDABA6" w14:textId="75FC3BC0" w:rsidR="00B17211" w:rsidRDefault="00456324" w:rsidP="00EE2373">
            <w:r w:rsidRPr="007F490F">
              <w:rPr>
                <w:rStyle w:val="Heading2Char"/>
              </w:rPr>
              <w:t>Respon</w:t>
            </w:r>
            <w:r w:rsidR="007D55F6">
              <w:rPr>
                <w:rStyle w:val="Heading2Char"/>
              </w:rPr>
              <w:t>ded to:</w:t>
            </w:r>
            <w:r w:rsidR="007F490F">
              <w:t xml:space="preserve">  </w:t>
            </w:r>
            <w:r w:rsidR="003A5063">
              <w:t xml:space="preserve">03 July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36B433" w14:textId="070E5B43" w:rsidR="00104D51" w:rsidRPr="00104D51" w:rsidRDefault="00104D51" w:rsidP="00104D51">
      <w:pPr>
        <w:pStyle w:val="Heading2"/>
      </w:pPr>
      <w:r w:rsidRPr="00104D51">
        <w:t xml:space="preserve">I am seeking information relating to confiscation orders under the Proceeds of Crime Act. </w:t>
      </w:r>
      <w:r w:rsidR="00B32D20">
        <w:t xml:space="preserve"> </w:t>
      </w:r>
      <w:r w:rsidRPr="00104D51">
        <w:t xml:space="preserve">For each year between 2022-2024 (2022, 2023 and 2024) please provide the 10 cases with the largest “criminal benefit”. Please detail for these ten cases the value of the criminal benefit, the value of the confiscation order obtained, and the total value that has been recovered to date. </w:t>
      </w:r>
    </w:p>
    <w:p w14:paraId="27063F61" w14:textId="4556FAB9" w:rsidR="00534962" w:rsidRDefault="00C2063C" w:rsidP="00793DD5">
      <w:pPr>
        <w:tabs>
          <w:tab w:val="left" w:pos="5400"/>
        </w:tabs>
        <w:rPr>
          <w:rFonts w:eastAsiaTheme="majorEastAsia" w:cstheme="majorBidi"/>
          <w:bCs/>
          <w:color w:val="000000" w:themeColor="text1"/>
          <w:szCs w:val="26"/>
        </w:rPr>
      </w:pPr>
      <w:r>
        <w:t xml:space="preserve">With respect to the total value that has been recovered to date, please be advised that Police Scotland does not hold this information, as such section 17 of the Act </w:t>
      </w:r>
      <w:r>
        <w:rPr>
          <w:rFonts w:eastAsiaTheme="majorEastAsia" w:cstheme="majorBidi"/>
          <w:bCs/>
          <w:color w:val="000000" w:themeColor="text1"/>
          <w:szCs w:val="26"/>
        </w:rPr>
        <w:t>applies.</w:t>
      </w:r>
      <w:r w:rsidR="00B32D20">
        <w:rPr>
          <w:rFonts w:eastAsiaTheme="majorEastAsia" w:cstheme="majorBidi"/>
          <w:bCs/>
          <w:color w:val="000000" w:themeColor="text1"/>
          <w:szCs w:val="26"/>
        </w:rPr>
        <w:t xml:space="preserve">  </w:t>
      </w:r>
      <w:r w:rsidR="00534962">
        <w:rPr>
          <w:rFonts w:eastAsiaTheme="majorEastAsia" w:cstheme="majorBidi"/>
          <w:bCs/>
          <w:color w:val="000000" w:themeColor="text1"/>
          <w:szCs w:val="26"/>
        </w:rPr>
        <w:t>You may wish to direct your request to the Scottish Courts Service.</w:t>
      </w:r>
    </w:p>
    <w:p w14:paraId="5D77565A" w14:textId="34DD5A1C" w:rsidR="00C2063C" w:rsidRDefault="00C2063C" w:rsidP="00793DD5">
      <w:pPr>
        <w:tabs>
          <w:tab w:val="left" w:pos="5400"/>
        </w:tabs>
      </w:pPr>
      <w:r>
        <w:rPr>
          <w:rFonts w:eastAsiaTheme="majorEastAsia" w:cstheme="majorBidi"/>
          <w:bCs/>
          <w:color w:val="000000" w:themeColor="text1"/>
          <w:szCs w:val="26"/>
        </w:rPr>
        <w:t>With regard to your other questions, p</w:t>
      </w:r>
      <w:r w:rsidR="003170B1">
        <w:t>lease see the table</w:t>
      </w:r>
      <w:r w:rsidR="00B32D20">
        <w:t>s</w:t>
      </w:r>
      <w:r w:rsidR="003170B1">
        <w:t xml:space="preserve"> below.</w:t>
      </w:r>
    </w:p>
    <w:p w14:paraId="64F73133" w14:textId="4D88B1B1" w:rsidR="003170B1" w:rsidRDefault="003170B1" w:rsidP="00793DD5">
      <w:pPr>
        <w:tabs>
          <w:tab w:val="left" w:pos="5400"/>
        </w:tabs>
      </w:pPr>
      <w:r>
        <w:t>Financial Year 1 April 2021 until 31 March 2022</w:t>
      </w:r>
    </w:p>
    <w:tbl>
      <w:tblPr>
        <w:tblStyle w:val="TableGrid"/>
        <w:tblW w:w="0" w:type="auto"/>
        <w:tblLook w:val="04A0" w:firstRow="1" w:lastRow="0" w:firstColumn="1" w:lastColumn="0" w:noHBand="0" w:noVBand="1"/>
        <w:tblCaption w:val="Value identified via Proceeds of Crime Act 2002 broken by year."/>
        <w:tblDescription w:val="Value identified via Proceeds of Crime Act 2002  broken by year."/>
      </w:tblPr>
      <w:tblGrid>
        <w:gridCol w:w="5765"/>
        <w:gridCol w:w="3524"/>
      </w:tblGrid>
      <w:tr w:rsidR="001E7379" w:rsidRPr="00B32D20" w14:paraId="1DDF2DFF" w14:textId="77777777" w:rsidTr="00B32D20">
        <w:trPr>
          <w:tblHeader/>
        </w:trPr>
        <w:tc>
          <w:tcPr>
            <w:tcW w:w="5765" w:type="dxa"/>
            <w:shd w:val="clear" w:color="auto" w:fill="D9D9D9" w:themeFill="background1" w:themeFillShade="D9"/>
          </w:tcPr>
          <w:p w14:paraId="1CAFBE01" w14:textId="7EFC6E05" w:rsidR="001E7379" w:rsidRPr="00B32D20" w:rsidRDefault="001E7379" w:rsidP="00B32D20">
            <w:pPr>
              <w:tabs>
                <w:tab w:val="left" w:pos="5400"/>
              </w:tabs>
              <w:spacing w:line="240" w:lineRule="auto"/>
              <w:rPr>
                <w:b/>
                <w:bCs/>
              </w:rPr>
            </w:pPr>
            <w:r w:rsidRPr="00B32D20">
              <w:rPr>
                <w:b/>
                <w:bCs/>
              </w:rPr>
              <w:t>Value identified via Proceeds of Crime Act 2002</w:t>
            </w:r>
          </w:p>
        </w:tc>
        <w:tc>
          <w:tcPr>
            <w:tcW w:w="3524" w:type="dxa"/>
            <w:shd w:val="clear" w:color="auto" w:fill="D9D9D9" w:themeFill="background1" w:themeFillShade="D9"/>
          </w:tcPr>
          <w:p w14:paraId="1D18FB0A" w14:textId="5C533A93" w:rsidR="001E7379" w:rsidRPr="00B32D20" w:rsidRDefault="001E7379" w:rsidP="00B32D20">
            <w:pPr>
              <w:tabs>
                <w:tab w:val="left" w:pos="5400"/>
              </w:tabs>
              <w:spacing w:line="240" w:lineRule="auto"/>
              <w:rPr>
                <w:b/>
                <w:bCs/>
              </w:rPr>
            </w:pPr>
            <w:r w:rsidRPr="00B32D20">
              <w:rPr>
                <w:b/>
                <w:bCs/>
              </w:rPr>
              <w:t>Value of Confiscation Order</w:t>
            </w:r>
          </w:p>
        </w:tc>
      </w:tr>
      <w:tr w:rsidR="001E7379" w14:paraId="33C81621" w14:textId="77777777" w:rsidTr="00B32D20">
        <w:tc>
          <w:tcPr>
            <w:tcW w:w="5765" w:type="dxa"/>
            <w:shd w:val="clear" w:color="auto" w:fill="auto"/>
          </w:tcPr>
          <w:p w14:paraId="5823F12B" w14:textId="29051039" w:rsidR="001E7379" w:rsidRDefault="003D5E61" w:rsidP="00B32D20">
            <w:pPr>
              <w:tabs>
                <w:tab w:val="left" w:pos="5400"/>
              </w:tabs>
              <w:spacing w:line="240" w:lineRule="auto"/>
            </w:pPr>
            <w:r w:rsidRPr="0058381C">
              <w:t>£1,722,366.64</w:t>
            </w:r>
          </w:p>
        </w:tc>
        <w:tc>
          <w:tcPr>
            <w:tcW w:w="3524" w:type="dxa"/>
          </w:tcPr>
          <w:p w14:paraId="75E7F215" w14:textId="3C3BE5B4" w:rsidR="001E7379" w:rsidRDefault="001E7379" w:rsidP="00B32D20">
            <w:pPr>
              <w:tabs>
                <w:tab w:val="left" w:pos="5400"/>
              </w:tabs>
              <w:spacing w:line="240" w:lineRule="auto"/>
            </w:pPr>
            <w:r>
              <w:t>£4,000.00</w:t>
            </w:r>
          </w:p>
        </w:tc>
      </w:tr>
      <w:tr w:rsidR="001E7379" w14:paraId="79B25CC9" w14:textId="77777777" w:rsidTr="00B32D20">
        <w:tc>
          <w:tcPr>
            <w:tcW w:w="5765" w:type="dxa"/>
          </w:tcPr>
          <w:p w14:paraId="5F53393B" w14:textId="77FF8B20" w:rsidR="001E7379" w:rsidRDefault="001E7379" w:rsidP="00B32D20">
            <w:pPr>
              <w:tabs>
                <w:tab w:val="left" w:pos="5400"/>
              </w:tabs>
              <w:spacing w:line="240" w:lineRule="auto"/>
            </w:pPr>
            <w:r>
              <w:t>£1,513,610.00</w:t>
            </w:r>
          </w:p>
        </w:tc>
        <w:tc>
          <w:tcPr>
            <w:tcW w:w="3524" w:type="dxa"/>
          </w:tcPr>
          <w:p w14:paraId="16C76441" w14:textId="1462324C" w:rsidR="001E7379" w:rsidRDefault="001E7379" w:rsidP="00B32D20">
            <w:pPr>
              <w:tabs>
                <w:tab w:val="left" w:pos="5400"/>
              </w:tabs>
              <w:spacing w:line="240" w:lineRule="auto"/>
            </w:pPr>
            <w:r>
              <w:t>£8,470.00</w:t>
            </w:r>
          </w:p>
        </w:tc>
      </w:tr>
      <w:tr w:rsidR="001E7379" w14:paraId="3FC1ED2A" w14:textId="77777777" w:rsidTr="00B32D20">
        <w:tc>
          <w:tcPr>
            <w:tcW w:w="5765" w:type="dxa"/>
          </w:tcPr>
          <w:p w14:paraId="3C1400B3" w14:textId="7BC51DC3" w:rsidR="001E7379" w:rsidRDefault="001E7379" w:rsidP="00B32D20">
            <w:pPr>
              <w:tabs>
                <w:tab w:val="left" w:pos="5400"/>
              </w:tabs>
              <w:spacing w:line="240" w:lineRule="auto"/>
            </w:pPr>
            <w:r>
              <w:t>£1,322,950.00</w:t>
            </w:r>
          </w:p>
        </w:tc>
        <w:tc>
          <w:tcPr>
            <w:tcW w:w="3524" w:type="dxa"/>
          </w:tcPr>
          <w:p w14:paraId="666BB0FC" w14:textId="003012A0" w:rsidR="001E7379" w:rsidRDefault="001E7379" w:rsidP="00B32D20">
            <w:pPr>
              <w:tabs>
                <w:tab w:val="left" w:pos="5400"/>
              </w:tabs>
              <w:spacing w:line="240" w:lineRule="auto"/>
            </w:pPr>
            <w:r>
              <w:t>£2,950.00</w:t>
            </w:r>
          </w:p>
        </w:tc>
      </w:tr>
      <w:tr w:rsidR="001E7379" w14:paraId="187C0464" w14:textId="77777777" w:rsidTr="00B32D20">
        <w:tc>
          <w:tcPr>
            <w:tcW w:w="5765" w:type="dxa"/>
          </w:tcPr>
          <w:p w14:paraId="5818073C" w14:textId="7B9FF63C" w:rsidR="001E7379" w:rsidRDefault="001E7379" w:rsidP="00B32D20">
            <w:pPr>
              <w:tabs>
                <w:tab w:val="left" w:pos="5400"/>
              </w:tabs>
              <w:spacing w:line="240" w:lineRule="auto"/>
            </w:pPr>
            <w:r>
              <w:t>£867,520.00</w:t>
            </w:r>
          </w:p>
        </w:tc>
        <w:tc>
          <w:tcPr>
            <w:tcW w:w="3524" w:type="dxa"/>
          </w:tcPr>
          <w:p w14:paraId="2CDA6662" w14:textId="0790AF37" w:rsidR="001E7379" w:rsidRDefault="001E7379" w:rsidP="00B32D20">
            <w:pPr>
              <w:tabs>
                <w:tab w:val="left" w:pos="5400"/>
              </w:tabs>
              <w:spacing w:line="240" w:lineRule="auto"/>
            </w:pPr>
            <w:r>
              <w:t>£867,520.00</w:t>
            </w:r>
          </w:p>
        </w:tc>
      </w:tr>
      <w:tr w:rsidR="001E7379" w14:paraId="01DA57F0" w14:textId="77777777" w:rsidTr="00B32D20">
        <w:tc>
          <w:tcPr>
            <w:tcW w:w="5765" w:type="dxa"/>
          </w:tcPr>
          <w:p w14:paraId="55987B39" w14:textId="2CAC3766" w:rsidR="001E7379" w:rsidRDefault="001E7379" w:rsidP="00B32D20">
            <w:pPr>
              <w:tabs>
                <w:tab w:val="left" w:pos="5400"/>
              </w:tabs>
              <w:spacing w:line="240" w:lineRule="auto"/>
            </w:pPr>
            <w:r>
              <w:t>£694,950.00</w:t>
            </w:r>
          </w:p>
        </w:tc>
        <w:tc>
          <w:tcPr>
            <w:tcW w:w="3524" w:type="dxa"/>
          </w:tcPr>
          <w:p w14:paraId="55BC0B3A" w14:textId="65D6138D" w:rsidR="001E7379" w:rsidRDefault="001E7379" w:rsidP="00B32D20">
            <w:pPr>
              <w:tabs>
                <w:tab w:val="left" w:pos="5400"/>
              </w:tabs>
              <w:spacing w:line="240" w:lineRule="auto"/>
            </w:pPr>
            <w:r>
              <w:t>£4,213.38</w:t>
            </w:r>
          </w:p>
        </w:tc>
      </w:tr>
      <w:tr w:rsidR="001E7379" w14:paraId="510AFDDC" w14:textId="77777777" w:rsidTr="00B32D20">
        <w:tc>
          <w:tcPr>
            <w:tcW w:w="5765" w:type="dxa"/>
          </w:tcPr>
          <w:p w14:paraId="4280360A" w14:textId="60B8FDB5" w:rsidR="001E7379" w:rsidRDefault="001E7379" w:rsidP="00B32D20">
            <w:pPr>
              <w:tabs>
                <w:tab w:val="left" w:pos="5400"/>
              </w:tabs>
              <w:spacing w:line="240" w:lineRule="auto"/>
            </w:pPr>
            <w:r>
              <w:t>£610,000.00</w:t>
            </w:r>
          </w:p>
        </w:tc>
        <w:tc>
          <w:tcPr>
            <w:tcW w:w="3524" w:type="dxa"/>
          </w:tcPr>
          <w:p w14:paraId="4BA5F200" w14:textId="33EA01C4" w:rsidR="001E7379" w:rsidRDefault="001E7379" w:rsidP="00B32D20">
            <w:pPr>
              <w:tabs>
                <w:tab w:val="left" w:pos="5400"/>
              </w:tabs>
              <w:spacing w:line="240" w:lineRule="auto"/>
            </w:pPr>
            <w:r>
              <w:t>£17,794.04</w:t>
            </w:r>
          </w:p>
        </w:tc>
      </w:tr>
      <w:tr w:rsidR="001E7379" w14:paraId="7BF381F1" w14:textId="77777777" w:rsidTr="00B32D20">
        <w:tc>
          <w:tcPr>
            <w:tcW w:w="5765" w:type="dxa"/>
          </w:tcPr>
          <w:p w14:paraId="49279D8C" w14:textId="0D2D3C0D" w:rsidR="001E7379" w:rsidRDefault="001E7379" w:rsidP="00B32D20">
            <w:pPr>
              <w:tabs>
                <w:tab w:val="left" w:pos="5400"/>
              </w:tabs>
              <w:spacing w:line="240" w:lineRule="auto"/>
            </w:pPr>
            <w:r>
              <w:t>£595,251.27</w:t>
            </w:r>
          </w:p>
        </w:tc>
        <w:tc>
          <w:tcPr>
            <w:tcW w:w="3524" w:type="dxa"/>
          </w:tcPr>
          <w:p w14:paraId="0FD3D7DB" w14:textId="525EB1EF" w:rsidR="001E7379" w:rsidRDefault="001E7379" w:rsidP="00B32D20">
            <w:pPr>
              <w:tabs>
                <w:tab w:val="left" w:pos="5400"/>
              </w:tabs>
              <w:spacing w:line="240" w:lineRule="auto"/>
            </w:pPr>
            <w:r>
              <w:t>£175,855.87</w:t>
            </w:r>
          </w:p>
        </w:tc>
      </w:tr>
      <w:tr w:rsidR="001E7379" w14:paraId="340D8A7E" w14:textId="77777777" w:rsidTr="00B32D20">
        <w:tc>
          <w:tcPr>
            <w:tcW w:w="5765" w:type="dxa"/>
          </w:tcPr>
          <w:p w14:paraId="1D5DB435" w14:textId="03B281CC" w:rsidR="001E7379" w:rsidRDefault="001E7379" w:rsidP="00B32D20">
            <w:pPr>
              <w:tabs>
                <w:tab w:val="left" w:pos="5400"/>
              </w:tabs>
              <w:spacing w:line="240" w:lineRule="auto"/>
            </w:pPr>
            <w:r>
              <w:t>£580,975.00</w:t>
            </w:r>
          </w:p>
        </w:tc>
        <w:tc>
          <w:tcPr>
            <w:tcW w:w="3524" w:type="dxa"/>
          </w:tcPr>
          <w:p w14:paraId="2ED704C3" w14:textId="5858FABA" w:rsidR="001E7379" w:rsidRDefault="003D5E61" w:rsidP="00B32D20">
            <w:pPr>
              <w:tabs>
                <w:tab w:val="left" w:pos="5400"/>
              </w:tabs>
              <w:spacing w:line="240" w:lineRule="auto"/>
            </w:pPr>
            <w:r w:rsidRPr="00096031">
              <w:t>£537,725.00</w:t>
            </w:r>
          </w:p>
        </w:tc>
      </w:tr>
      <w:tr w:rsidR="001E7379" w14:paraId="5389ACB1" w14:textId="77777777" w:rsidTr="00B32D20">
        <w:trPr>
          <w:trHeight w:val="347"/>
        </w:trPr>
        <w:tc>
          <w:tcPr>
            <w:tcW w:w="5765" w:type="dxa"/>
          </w:tcPr>
          <w:p w14:paraId="7FF915CE" w14:textId="5277F97F" w:rsidR="001E7379" w:rsidRDefault="001E7379" w:rsidP="00B32D20">
            <w:pPr>
              <w:tabs>
                <w:tab w:val="left" w:pos="5400"/>
              </w:tabs>
              <w:spacing w:line="240" w:lineRule="auto"/>
            </w:pPr>
            <w:r>
              <w:t>£513,200.00</w:t>
            </w:r>
          </w:p>
        </w:tc>
        <w:tc>
          <w:tcPr>
            <w:tcW w:w="3524" w:type="dxa"/>
          </w:tcPr>
          <w:p w14:paraId="11C68416" w14:textId="4E0EFA84" w:rsidR="001E7379" w:rsidRDefault="001E7379" w:rsidP="00B32D20">
            <w:pPr>
              <w:tabs>
                <w:tab w:val="left" w:pos="5400"/>
              </w:tabs>
              <w:spacing w:line="240" w:lineRule="auto"/>
            </w:pPr>
            <w:r>
              <w:t>£281,790.33</w:t>
            </w:r>
          </w:p>
        </w:tc>
      </w:tr>
      <w:tr w:rsidR="001E7379" w14:paraId="001EFE3B" w14:textId="77777777" w:rsidTr="00B32D20">
        <w:tc>
          <w:tcPr>
            <w:tcW w:w="5765" w:type="dxa"/>
          </w:tcPr>
          <w:p w14:paraId="60609AFD" w14:textId="467201C8" w:rsidR="001E7379" w:rsidRDefault="001E7379" w:rsidP="00B32D20">
            <w:pPr>
              <w:tabs>
                <w:tab w:val="left" w:pos="5400"/>
              </w:tabs>
              <w:spacing w:line="240" w:lineRule="auto"/>
            </w:pPr>
            <w:r>
              <w:t>£476,864.00</w:t>
            </w:r>
          </w:p>
        </w:tc>
        <w:tc>
          <w:tcPr>
            <w:tcW w:w="3524" w:type="dxa"/>
          </w:tcPr>
          <w:p w14:paraId="7526CA94" w14:textId="6D5941F0" w:rsidR="001E7379" w:rsidRDefault="001E7379" w:rsidP="00B32D20">
            <w:pPr>
              <w:tabs>
                <w:tab w:val="left" w:pos="5400"/>
              </w:tabs>
              <w:spacing w:line="240" w:lineRule="auto"/>
            </w:pPr>
            <w:r>
              <w:t>£20,948.20</w:t>
            </w:r>
          </w:p>
        </w:tc>
      </w:tr>
    </w:tbl>
    <w:p w14:paraId="0118A40A" w14:textId="77777777" w:rsidR="00EE2B41" w:rsidRDefault="00EE2B41" w:rsidP="00793DD5">
      <w:pPr>
        <w:tabs>
          <w:tab w:val="left" w:pos="5400"/>
        </w:tabs>
      </w:pPr>
    </w:p>
    <w:p w14:paraId="237BCE90" w14:textId="50C40C15" w:rsidR="00534962" w:rsidRDefault="00534962" w:rsidP="00793DD5">
      <w:pPr>
        <w:tabs>
          <w:tab w:val="left" w:pos="5400"/>
        </w:tabs>
      </w:pPr>
      <w:r>
        <w:lastRenderedPageBreak/>
        <w:t>Financial Year 1 April 2022 until 31 March 2023</w:t>
      </w:r>
    </w:p>
    <w:tbl>
      <w:tblPr>
        <w:tblStyle w:val="TableGrid"/>
        <w:tblW w:w="0" w:type="auto"/>
        <w:tblLook w:val="04A0" w:firstRow="1" w:lastRow="0" w:firstColumn="1" w:lastColumn="0" w:noHBand="0" w:noVBand="1"/>
        <w:tblCaption w:val="Value identified via Proceeds of Crime Act 2002 broken by year."/>
        <w:tblDescription w:val="Value identified via Proceeds of Crime Act 2002  broken by year."/>
      </w:tblPr>
      <w:tblGrid>
        <w:gridCol w:w="5807"/>
        <w:gridCol w:w="3524"/>
      </w:tblGrid>
      <w:tr w:rsidR="00534962" w:rsidRPr="00B32D20" w14:paraId="1C08B231" w14:textId="77777777" w:rsidTr="00B32D20">
        <w:trPr>
          <w:tblHeader/>
        </w:trPr>
        <w:tc>
          <w:tcPr>
            <w:tcW w:w="5807" w:type="dxa"/>
            <w:shd w:val="clear" w:color="auto" w:fill="D9D9D9" w:themeFill="background1" w:themeFillShade="D9"/>
          </w:tcPr>
          <w:p w14:paraId="0829F148" w14:textId="77777777" w:rsidR="00534962" w:rsidRPr="00B32D20" w:rsidRDefault="00534962" w:rsidP="00B32D20">
            <w:pPr>
              <w:tabs>
                <w:tab w:val="left" w:pos="5400"/>
              </w:tabs>
              <w:spacing w:line="240" w:lineRule="auto"/>
              <w:rPr>
                <w:b/>
                <w:bCs/>
              </w:rPr>
            </w:pPr>
            <w:r w:rsidRPr="00B32D20">
              <w:rPr>
                <w:b/>
                <w:bCs/>
              </w:rPr>
              <w:t>Value identified via Proceeds of Crime Act 2002</w:t>
            </w:r>
          </w:p>
        </w:tc>
        <w:tc>
          <w:tcPr>
            <w:tcW w:w="3524" w:type="dxa"/>
            <w:shd w:val="clear" w:color="auto" w:fill="D9D9D9" w:themeFill="background1" w:themeFillShade="D9"/>
          </w:tcPr>
          <w:p w14:paraId="4C19FCEB" w14:textId="77777777" w:rsidR="00534962" w:rsidRPr="00B32D20" w:rsidRDefault="00534962" w:rsidP="00B32D20">
            <w:pPr>
              <w:tabs>
                <w:tab w:val="left" w:pos="5400"/>
              </w:tabs>
              <w:spacing w:line="240" w:lineRule="auto"/>
              <w:rPr>
                <w:b/>
                <w:bCs/>
              </w:rPr>
            </w:pPr>
            <w:r w:rsidRPr="00B32D20">
              <w:rPr>
                <w:b/>
                <w:bCs/>
              </w:rPr>
              <w:t>Value of Confiscation Order</w:t>
            </w:r>
          </w:p>
        </w:tc>
      </w:tr>
      <w:tr w:rsidR="00534962" w14:paraId="5424366E" w14:textId="77777777" w:rsidTr="00B32D20">
        <w:tc>
          <w:tcPr>
            <w:tcW w:w="5807" w:type="dxa"/>
          </w:tcPr>
          <w:p w14:paraId="14A8CE15" w14:textId="5240726E" w:rsidR="00534962" w:rsidRDefault="000031C6" w:rsidP="00B32D20">
            <w:pPr>
              <w:tabs>
                <w:tab w:val="left" w:pos="5400"/>
              </w:tabs>
              <w:spacing w:line="240" w:lineRule="auto"/>
            </w:pPr>
            <w:r>
              <w:t>£13,281,</w:t>
            </w:r>
            <w:r w:rsidR="00C12E9A">
              <w:t>671.25</w:t>
            </w:r>
          </w:p>
        </w:tc>
        <w:tc>
          <w:tcPr>
            <w:tcW w:w="3524" w:type="dxa"/>
          </w:tcPr>
          <w:p w14:paraId="2AF6ABA9" w14:textId="6605D8C8" w:rsidR="00534962" w:rsidRDefault="00C12E9A" w:rsidP="00B32D20">
            <w:pPr>
              <w:tabs>
                <w:tab w:val="left" w:pos="5400"/>
              </w:tabs>
              <w:spacing w:line="240" w:lineRule="auto"/>
            </w:pPr>
            <w:r>
              <w:t>£814.33</w:t>
            </w:r>
          </w:p>
        </w:tc>
      </w:tr>
      <w:tr w:rsidR="00534962" w14:paraId="3C266DC4" w14:textId="77777777" w:rsidTr="00B32D20">
        <w:tc>
          <w:tcPr>
            <w:tcW w:w="5807" w:type="dxa"/>
          </w:tcPr>
          <w:p w14:paraId="0C48F11B" w14:textId="41C47CB4" w:rsidR="00534962" w:rsidRDefault="003D5E61" w:rsidP="00B32D20">
            <w:pPr>
              <w:tabs>
                <w:tab w:val="left" w:pos="5400"/>
              </w:tabs>
              <w:spacing w:line="240" w:lineRule="auto"/>
            </w:pPr>
            <w:r w:rsidRPr="0058381C">
              <w:t>£7,060,500.00</w:t>
            </w:r>
          </w:p>
        </w:tc>
        <w:tc>
          <w:tcPr>
            <w:tcW w:w="3524" w:type="dxa"/>
          </w:tcPr>
          <w:p w14:paraId="655655CC" w14:textId="551D680D" w:rsidR="00534962" w:rsidRDefault="00C12E9A" w:rsidP="00B32D20">
            <w:pPr>
              <w:tabs>
                <w:tab w:val="left" w:pos="5400"/>
              </w:tabs>
              <w:spacing w:line="240" w:lineRule="auto"/>
            </w:pPr>
            <w:r>
              <w:t>£75,557.41</w:t>
            </w:r>
          </w:p>
        </w:tc>
      </w:tr>
      <w:tr w:rsidR="00534962" w14:paraId="63E4CD28" w14:textId="77777777" w:rsidTr="00B32D20">
        <w:tc>
          <w:tcPr>
            <w:tcW w:w="5807" w:type="dxa"/>
          </w:tcPr>
          <w:p w14:paraId="294DDF4E" w14:textId="73AB28CF" w:rsidR="00534962" w:rsidRDefault="00C12E9A" w:rsidP="00B32D20">
            <w:pPr>
              <w:tabs>
                <w:tab w:val="left" w:pos="5400"/>
              </w:tabs>
              <w:spacing w:line="240" w:lineRule="auto"/>
            </w:pPr>
            <w:r>
              <w:t>£</w:t>
            </w:r>
            <w:r w:rsidRPr="00C12E9A">
              <w:t>1</w:t>
            </w:r>
            <w:r>
              <w:t>,</w:t>
            </w:r>
            <w:r w:rsidRPr="00C12E9A">
              <w:t>869</w:t>
            </w:r>
            <w:r>
              <w:t>,</w:t>
            </w:r>
            <w:r w:rsidRPr="00C12E9A">
              <w:t>258.39</w:t>
            </w:r>
          </w:p>
        </w:tc>
        <w:tc>
          <w:tcPr>
            <w:tcW w:w="3524" w:type="dxa"/>
          </w:tcPr>
          <w:p w14:paraId="2B7C8AC7" w14:textId="0AC686D9" w:rsidR="00534962" w:rsidRDefault="00C12E9A" w:rsidP="00B32D20">
            <w:pPr>
              <w:tabs>
                <w:tab w:val="left" w:pos="5400"/>
              </w:tabs>
              <w:spacing w:line="240" w:lineRule="auto"/>
            </w:pPr>
            <w:r>
              <w:t>£233,066.44</w:t>
            </w:r>
          </w:p>
        </w:tc>
      </w:tr>
      <w:tr w:rsidR="00534962" w14:paraId="5DD5BFA0" w14:textId="77777777" w:rsidTr="00B32D20">
        <w:tc>
          <w:tcPr>
            <w:tcW w:w="5807" w:type="dxa"/>
          </w:tcPr>
          <w:p w14:paraId="5B9F61B4" w14:textId="1ACCE6BA" w:rsidR="00534962" w:rsidRDefault="00C12E9A" w:rsidP="00B32D20">
            <w:pPr>
              <w:tabs>
                <w:tab w:val="left" w:pos="5400"/>
              </w:tabs>
              <w:spacing w:line="240" w:lineRule="auto"/>
            </w:pPr>
            <w:r>
              <w:t>£1,029,478.30</w:t>
            </w:r>
          </w:p>
        </w:tc>
        <w:tc>
          <w:tcPr>
            <w:tcW w:w="3524" w:type="dxa"/>
          </w:tcPr>
          <w:p w14:paraId="0C741EFE" w14:textId="34C6A403" w:rsidR="00534962" w:rsidRDefault="00C12E9A" w:rsidP="00B32D20">
            <w:pPr>
              <w:tabs>
                <w:tab w:val="left" w:pos="5400"/>
              </w:tabs>
              <w:spacing w:line="240" w:lineRule="auto"/>
            </w:pPr>
            <w:r>
              <w:t>£31,086.74</w:t>
            </w:r>
          </w:p>
        </w:tc>
      </w:tr>
      <w:tr w:rsidR="00534962" w14:paraId="444307A2" w14:textId="77777777" w:rsidTr="00B32D20">
        <w:tc>
          <w:tcPr>
            <w:tcW w:w="5807" w:type="dxa"/>
          </w:tcPr>
          <w:p w14:paraId="6C2556A8" w14:textId="2AAD32A1" w:rsidR="00534962" w:rsidRDefault="00C12E9A" w:rsidP="00B32D20">
            <w:pPr>
              <w:tabs>
                <w:tab w:val="left" w:pos="5400"/>
              </w:tabs>
              <w:spacing w:line="240" w:lineRule="auto"/>
            </w:pPr>
            <w:r>
              <w:t>£905,016.12</w:t>
            </w:r>
          </w:p>
        </w:tc>
        <w:tc>
          <w:tcPr>
            <w:tcW w:w="3524" w:type="dxa"/>
          </w:tcPr>
          <w:p w14:paraId="6F7A5CB2" w14:textId="38215793" w:rsidR="00534962" w:rsidRDefault="00C12E9A" w:rsidP="00B32D20">
            <w:pPr>
              <w:tabs>
                <w:tab w:val="left" w:pos="5400"/>
              </w:tabs>
              <w:spacing w:line="240" w:lineRule="auto"/>
            </w:pPr>
            <w:r>
              <w:t>£56,546.50</w:t>
            </w:r>
          </w:p>
        </w:tc>
      </w:tr>
      <w:tr w:rsidR="00534962" w14:paraId="759A8330" w14:textId="77777777" w:rsidTr="00B32D20">
        <w:tc>
          <w:tcPr>
            <w:tcW w:w="5807" w:type="dxa"/>
          </w:tcPr>
          <w:p w14:paraId="5A88AC24" w14:textId="5F12EADC" w:rsidR="00534962" w:rsidRDefault="00C12E9A" w:rsidP="00B32D20">
            <w:pPr>
              <w:tabs>
                <w:tab w:val="left" w:pos="5400"/>
              </w:tabs>
              <w:spacing w:line="240" w:lineRule="auto"/>
            </w:pPr>
            <w:r>
              <w:t>£625,000.00</w:t>
            </w:r>
          </w:p>
        </w:tc>
        <w:tc>
          <w:tcPr>
            <w:tcW w:w="3524" w:type="dxa"/>
          </w:tcPr>
          <w:p w14:paraId="4840B632" w14:textId="78897F0C" w:rsidR="00534962" w:rsidRDefault="00C12E9A" w:rsidP="00B32D20">
            <w:pPr>
              <w:tabs>
                <w:tab w:val="left" w:pos="5400"/>
              </w:tabs>
              <w:spacing w:line="240" w:lineRule="auto"/>
            </w:pPr>
            <w:r>
              <w:t>£75,641.33</w:t>
            </w:r>
          </w:p>
        </w:tc>
      </w:tr>
      <w:tr w:rsidR="00534962" w14:paraId="61B2350C" w14:textId="77777777" w:rsidTr="00B32D20">
        <w:tc>
          <w:tcPr>
            <w:tcW w:w="5807" w:type="dxa"/>
          </w:tcPr>
          <w:p w14:paraId="43A7BF46" w14:textId="12EE1EB0" w:rsidR="00534962" w:rsidRDefault="00C12E9A" w:rsidP="00B32D20">
            <w:pPr>
              <w:tabs>
                <w:tab w:val="left" w:pos="5400"/>
              </w:tabs>
              <w:spacing w:line="240" w:lineRule="auto"/>
            </w:pPr>
            <w:r>
              <w:t>£613,245.18</w:t>
            </w:r>
          </w:p>
        </w:tc>
        <w:tc>
          <w:tcPr>
            <w:tcW w:w="3524" w:type="dxa"/>
          </w:tcPr>
          <w:p w14:paraId="1561BD92" w14:textId="6FD97491" w:rsidR="00534962" w:rsidRDefault="00C12E9A" w:rsidP="00B32D20">
            <w:pPr>
              <w:tabs>
                <w:tab w:val="left" w:pos="5400"/>
              </w:tabs>
              <w:spacing w:line="240" w:lineRule="auto"/>
            </w:pPr>
            <w:r>
              <w:t>£1.00</w:t>
            </w:r>
          </w:p>
        </w:tc>
      </w:tr>
      <w:tr w:rsidR="00534962" w14:paraId="6DD42843" w14:textId="77777777" w:rsidTr="00B32D20">
        <w:tc>
          <w:tcPr>
            <w:tcW w:w="5807" w:type="dxa"/>
          </w:tcPr>
          <w:p w14:paraId="0CA9F13E" w14:textId="52FB56D7" w:rsidR="00534962" w:rsidRDefault="00C12E9A" w:rsidP="00B32D20">
            <w:pPr>
              <w:tabs>
                <w:tab w:val="left" w:pos="5400"/>
              </w:tabs>
              <w:spacing w:line="240" w:lineRule="auto"/>
            </w:pPr>
            <w:r>
              <w:t>£493,961.00</w:t>
            </w:r>
          </w:p>
        </w:tc>
        <w:tc>
          <w:tcPr>
            <w:tcW w:w="3524" w:type="dxa"/>
          </w:tcPr>
          <w:p w14:paraId="6E988FDE" w14:textId="1D63AFB6" w:rsidR="00534962" w:rsidRDefault="00C12E9A" w:rsidP="00B32D20">
            <w:pPr>
              <w:tabs>
                <w:tab w:val="left" w:pos="5400"/>
              </w:tabs>
              <w:spacing w:line="240" w:lineRule="auto"/>
            </w:pPr>
            <w:r>
              <w:t>£47,276.21</w:t>
            </w:r>
          </w:p>
        </w:tc>
      </w:tr>
      <w:tr w:rsidR="00534962" w14:paraId="47EAC285" w14:textId="77777777" w:rsidTr="00B32D20">
        <w:trPr>
          <w:trHeight w:val="347"/>
        </w:trPr>
        <w:tc>
          <w:tcPr>
            <w:tcW w:w="5807" w:type="dxa"/>
          </w:tcPr>
          <w:p w14:paraId="7F1992D7" w14:textId="419A12D4" w:rsidR="00534962" w:rsidRDefault="00C12E9A" w:rsidP="00B32D20">
            <w:pPr>
              <w:tabs>
                <w:tab w:val="left" w:pos="5400"/>
              </w:tabs>
              <w:spacing w:line="240" w:lineRule="auto"/>
            </w:pPr>
            <w:r>
              <w:t>£465,366.60</w:t>
            </w:r>
          </w:p>
        </w:tc>
        <w:tc>
          <w:tcPr>
            <w:tcW w:w="3524" w:type="dxa"/>
          </w:tcPr>
          <w:p w14:paraId="13232FBB" w14:textId="05480120" w:rsidR="00534962" w:rsidRDefault="00C12E9A" w:rsidP="00B32D20">
            <w:pPr>
              <w:tabs>
                <w:tab w:val="left" w:pos="5400"/>
              </w:tabs>
              <w:spacing w:line="240" w:lineRule="auto"/>
            </w:pPr>
            <w:r>
              <w:t>£275,871.30</w:t>
            </w:r>
          </w:p>
        </w:tc>
      </w:tr>
      <w:tr w:rsidR="00534962" w14:paraId="60A6E6E2" w14:textId="77777777" w:rsidTr="00B32D20">
        <w:tc>
          <w:tcPr>
            <w:tcW w:w="5807" w:type="dxa"/>
          </w:tcPr>
          <w:p w14:paraId="14353AE4" w14:textId="53BE132D" w:rsidR="00534962" w:rsidRDefault="00C12E9A" w:rsidP="00B32D20">
            <w:pPr>
              <w:tabs>
                <w:tab w:val="left" w:pos="5400"/>
              </w:tabs>
              <w:spacing w:line="240" w:lineRule="auto"/>
            </w:pPr>
            <w:r>
              <w:t>£400,000.00</w:t>
            </w:r>
          </w:p>
        </w:tc>
        <w:tc>
          <w:tcPr>
            <w:tcW w:w="3524" w:type="dxa"/>
          </w:tcPr>
          <w:p w14:paraId="5920F6BF" w14:textId="5B11C364" w:rsidR="00534962" w:rsidRDefault="00C12E9A" w:rsidP="00B32D20">
            <w:pPr>
              <w:tabs>
                <w:tab w:val="left" w:pos="5400"/>
              </w:tabs>
              <w:spacing w:line="240" w:lineRule="auto"/>
            </w:pPr>
            <w:r>
              <w:t>£1.00</w:t>
            </w:r>
          </w:p>
        </w:tc>
      </w:tr>
    </w:tbl>
    <w:p w14:paraId="3BDEC5EA" w14:textId="77777777" w:rsidR="00EE2B41" w:rsidRDefault="00EE2B41" w:rsidP="00793DD5">
      <w:pPr>
        <w:tabs>
          <w:tab w:val="left" w:pos="5400"/>
        </w:tabs>
      </w:pPr>
    </w:p>
    <w:p w14:paraId="1E1D1C30" w14:textId="6FEC213D" w:rsidR="00EE2B41" w:rsidRDefault="00EE2B41" w:rsidP="00793DD5">
      <w:pPr>
        <w:tabs>
          <w:tab w:val="left" w:pos="5400"/>
        </w:tabs>
      </w:pPr>
      <w:r>
        <w:t>Financial Year 1 April 2023 until 31 March 2024</w:t>
      </w:r>
    </w:p>
    <w:tbl>
      <w:tblPr>
        <w:tblStyle w:val="TableGrid"/>
        <w:tblW w:w="0" w:type="auto"/>
        <w:tblLook w:val="04A0" w:firstRow="1" w:lastRow="0" w:firstColumn="1" w:lastColumn="0" w:noHBand="0" w:noVBand="1"/>
        <w:tblCaption w:val="Value identified via Proceeds of Crime Act 2002 broken by year."/>
        <w:tblDescription w:val="Value identified via Proceeds of Crime Act 2002  broken by year."/>
      </w:tblPr>
      <w:tblGrid>
        <w:gridCol w:w="5765"/>
        <w:gridCol w:w="3524"/>
      </w:tblGrid>
      <w:tr w:rsidR="00EE2B41" w:rsidRPr="00B32D20" w14:paraId="22F0F8BB" w14:textId="77777777" w:rsidTr="00B32D20">
        <w:trPr>
          <w:tblHeader/>
        </w:trPr>
        <w:tc>
          <w:tcPr>
            <w:tcW w:w="5765" w:type="dxa"/>
            <w:shd w:val="clear" w:color="auto" w:fill="D9D9D9" w:themeFill="background1" w:themeFillShade="D9"/>
          </w:tcPr>
          <w:p w14:paraId="2FF12C7C" w14:textId="77777777" w:rsidR="00EE2B41" w:rsidRPr="00B32D20" w:rsidRDefault="00EE2B41" w:rsidP="00B32D20">
            <w:pPr>
              <w:tabs>
                <w:tab w:val="left" w:pos="5400"/>
              </w:tabs>
              <w:spacing w:line="240" w:lineRule="auto"/>
              <w:rPr>
                <w:b/>
                <w:bCs/>
              </w:rPr>
            </w:pPr>
            <w:r w:rsidRPr="00B32D20">
              <w:rPr>
                <w:b/>
                <w:bCs/>
              </w:rPr>
              <w:t>Value identified via Proceeds of Crime Act 2002</w:t>
            </w:r>
          </w:p>
        </w:tc>
        <w:tc>
          <w:tcPr>
            <w:tcW w:w="3524" w:type="dxa"/>
            <w:shd w:val="clear" w:color="auto" w:fill="D9D9D9" w:themeFill="background1" w:themeFillShade="D9"/>
          </w:tcPr>
          <w:p w14:paraId="52445801" w14:textId="77777777" w:rsidR="00EE2B41" w:rsidRPr="00B32D20" w:rsidRDefault="00EE2B41" w:rsidP="00B32D20">
            <w:pPr>
              <w:tabs>
                <w:tab w:val="left" w:pos="5400"/>
              </w:tabs>
              <w:spacing w:line="240" w:lineRule="auto"/>
              <w:rPr>
                <w:b/>
                <w:bCs/>
              </w:rPr>
            </w:pPr>
            <w:r w:rsidRPr="00B32D20">
              <w:rPr>
                <w:b/>
                <w:bCs/>
              </w:rPr>
              <w:t>Value of Confiscation Order</w:t>
            </w:r>
          </w:p>
        </w:tc>
      </w:tr>
      <w:tr w:rsidR="00EE2B41" w14:paraId="60BCE609" w14:textId="77777777" w:rsidTr="00B32D20">
        <w:tc>
          <w:tcPr>
            <w:tcW w:w="5765" w:type="dxa"/>
          </w:tcPr>
          <w:p w14:paraId="1182D3A9" w14:textId="1A867822" w:rsidR="00EE2B41" w:rsidRDefault="00921B43" w:rsidP="00B32D20">
            <w:pPr>
              <w:tabs>
                <w:tab w:val="left" w:pos="5400"/>
              </w:tabs>
              <w:spacing w:line="240" w:lineRule="auto"/>
            </w:pPr>
            <w:r>
              <w:t>£767,576.37</w:t>
            </w:r>
          </w:p>
        </w:tc>
        <w:tc>
          <w:tcPr>
            <w:tcW w:w="3524" w:type="dxa"/>
          </w:tcPr>
          <w:p w14:paraId="62FEB6EF" w14:textId="65EB9A2C" w:rsidR="00EE2B41" w:rsidRDefault="00921B43" w:rsidP="00B32D20">
            <w:pPr>
              <w:tabs>
                <w:tab w:val="left" w:pos="5400"/>
              </w:tabs>
              <w:spacing w:line="240" w:lineRule="auto"/>
            </w:pPr>
            <w:r>
              <w:t>£10,040.39</w:t>
            </w:r>
          </w:p>
        </w:tc>
      </w:tr>
      <w:tr w:rsidR="00EE2B41" w14:paraId="1F9AC668" w14:textId="77777777" w:rsidTr="00B32D20">
        <w:tc>
          <w:tcPr>
            <w:tcW w:w="5765" w:type="dxa"/>
          </w:tcPr>
          <w:p w14:paraId="49D1C0BC" w14:textId="33BB6447" w:rsidR="00EE2B41" w:rsidRDefault="00921B43" w:rsidP="00B32D20">
            <w:pPr>
              <w:tabs>
                <w:tab w:val="left" w:pos="5400"/>
              </w:tabs>
              <w:spacing w:line="240" w:lineRule="auto"/>
            </w:pPr>
            <w:r>
              <w:t>£692,800.41</w:t>
            </w:r>
          </w:p>
        </w:tc>
        <w:tc>
          <w:tcPr>
            <w:tcW w:w="3524" w:type="dxa"/>
          </w:tcPr>
          <w:p w14:paraId="0EDBC17E" w14:textId="3702CCEA" w:rsidR="00EE2B41" w:rsidRDefault="00921B43" w:rsidP="00B32D20">
            <w:pPr>
              <w:tabs>
                <w:tab w:val="left" w:pos="5400"/>
              </w:tabs>
              <w:spacing w:line="240" w:lineRule="auto"/>
            </w:pPr>
            <w:r>
              <w:t>£1.00</w:t>
            </w:r>
          </w:p>
        </w:tc>
      </w:tr>
      <w:tr w:rsidR="00EE2B41" w14:paraId="3164FD65" w14:textId="77777777" w:rsidTr="00B32D20">
        <w:tc>
          <w:tcPr>
            <w:tcW w:w="5765" w:type="dxa"/>
          </w:tcPr>
          <w:p w14:paraId="0FBA5023" w14:textId="017BEDAD" w:rsidR="00EE2B41" w:rsidRDefault="00921B43" w:rsidP="00B32D20">
            <w:pPr>
              <w:tabs>
                <w:tab w:val="left" w:pos="5400"/>
              </w:tabs>
              <w:spacing w:line="240" w:lineRule="auto"/>
            </w:pPr>
            <w:r>
              <w:t>£687,581.51</w:t>
            </w:r>
          </w:p>
        </w:tc>
        <w:tc>
          <w:tcPr>
            <w:tcW w:w="3524" w:type="dxa"/>
          </w:tcPr>
          <w:p w14:paraId="79A105B6" w14:textId="0A59AFF6" w:rsidR="00EE2B41" w:rsidRDefault="00921B43" w:rsidP="00B32D20">
            <w:pPr>
              <w:tabs>
                <w:tab w:val="left" w:pos="5400"/>
              </w:tabs>
              <w:spacing w:line="240" w:lineRule="auto"/>
            </w:pPr>
            <w:r>
              <w:t>£172,937.00</w:t>
            </w:r>
          </w:p>
        </w:tc>
      </w:tr>
      <w:tr w:rsidR="00EE2B41" w14:paraId="5116C3EF" w14:textId="77777777" w:rsidTr="00B32D20">
        <w:tc>
          <w:tcPr>
            <w:tcW w:w="5765" w:type="dxa"/>
          </w:tcPr>
          <w:p w14:paraId="0A59E349" w14:textId="3FA4AD36" w:rsidR="00EE2B41" w:rsidRDefault="00921B43" w:rsidP="00B32D20">
            <w:pPr>
              <w:tabs>
                <w:tab w:val="left" w:pos="5400"/>
              </w:tabs>
              <w:spacing w:line="240" w:lineRule="auto"/>
            </w:pPr>
            <w:r>
              <w:t>£575,702.93</w:t>
            </w:r>
          </w:p>
        </w:tc>
        <w:tc>
          <w:tcPr>
            <w:tcW w:w="3524" w:type="dxa"/>
          </w:tcPr>
          <w:p w14:paraId="357127F5" w14:textId="2DC026FE" w:rsidR="00EE2B41" w:rsidRDefault="00921B43" w:rsidP="00B32D20">
            <w:pPr>
              <w:tabs>
                <w:tab w:val="left" w:pos="5400"/>
              </w:tabs>
              <w:spacing w:line="240" w:lineRule="auto"/>
            </w:pPr>
            <w:r>
              <w:t>£1.00</w:t>
            </w:r>
          </w:p>
        </w:tc>
      </w:tr>
      <w:tr w:rsidR="00EE2B41" w14:paraId="05997CCC" w14:textId="77777777" w:rsidTr="00B32D20">
        <w:tc>
          <w:tcPr>
            <w:tcW w:w="5765" w:type="dxa"/>
          </w:tcPr>
          <w:p w14:paraId="7167912C" w14:textId="2B95C507" w:rsidR="00EE2B41" w:rsidRDefault="00921B43" w:rsidP="00B32D20">
            <w:pPr>
              <w:tabs>
                <w:tab w:val="left" w:pos="5400"/>
              </w:tabs>
              <w:spacing w:line="240" w:lineRule="auto"/>
            </w:pPr>
            <w:r>
              <w:t>£539,106.84</w:t>
            </w:r>
          </w:p>
        </w:tc>
        <w:tc>
          <w:tcPr>
            <w:tcW w:w="3524" w:type="dxa"/>
          </w:tcPr>
          <w:p w14:paraId="2D392DA9" w14:textId="2BB45597" w:rsidR="00EE2B41" w:rsidRDefault="00921B43" w:rsidP="00B32D20">
            <w:pPr>
              <w:tabs>
                <w:tab w:val="left" w:pos="5400"/>
              </w:tabs>
              <w:spacing w:line="240" w:lineRule="auto"/>
            </w:pPr>
            <w:r>
              <w:t>£2.00</w:t>
            </w:r>
          </w:p>
        </w:tc>
      </w:tr>
      <w:tr w:rsidR="00EE2B41" w14:paraId="36F0414D" w14:textId="77777777" w:rsidTr="00B32D20">
        <w:tc>
          <w:tcPr>
            <w:tcW w:w="5765" w:type="dxa"/>
          </w:tcPr>
          <w:p w14:paraId="6C554DC3" w14:textId="4044569A" w:rsidR="00EE2B41" w:rsidRDefault="00921B43" w:rsidP="00B32D20">
            <w:pPr>
              <w:tabs>
                <w:tab w:val="left" w:pos="5400"/>
              </w:tabs>
              <w:spacing w:line="240" w:lineRule="auto"/>
            </w:pPr>
            <w:r>
              <w:t>£503,678.58</w:t>
            </w:r>
          </w:p>
        </w:tc>
        <w:tc>
          <w:tcPr>
            <w:tcW w:w="3524" w:type="dxa"/>
          </w:tcPr>
          <w:p w14:paraId="1F951FC3" w14:textId="18BB1622" w:rsidR="00EE2B41" w:rsidRDefault="00921B43" w:rsidP="00B32D20">
            <w:pPr>
              <w:tabs>
                <w:tab w:val="left" w:pos="5400"/>
              </w:tabs>
              <w:spacing w:line="240" w:lineRule="auto"/>
            </w:pPr>
            <w:r>
              <w:t>£55,480.00</w:t>
            </w:r>
          </w:p>
        </w:tc>
      </w:tr>
      <w:tr w:rsidR="00EE2B41" w14:paraId="7123A0D8" w14:textId="77777777" w:rsidTr="00B32D20">
        <w:tc>
          <w:tcPr>
            <w:tcW w:w="5765" w:type="dxa"/>
          </w:tcPr>
          <w:p w14:paraId="3A05E90F" w14:textId="5C4CD511" w:rsidR="00EE2B41" w:rsidRDefault="00921B43" w:rsidP="00B32D20">
            <w:pPr>
              <w:tabs>
                <w:tab w:val="left" w:pos="5400"/>
              </w:tabs>
              <w:spacing w:line="240" w:lineRule="auto"/>
            </w:pPr>
            <w:r>
              <w:t>£347,450.00</w:t>
            </w:r>
          </w:p>
        </w:tc>
        <w:tc>
          <w:tcPr>
            <w:tcW w:w="3524" w:type="dxa"/>
          </w:tcPr>
          <w:p w14:paraId="0FCAC63C" w14:textId="0A96C84B" w:rsidR="00EE2B41" w:rsidRDefault="00921B43" w:rsidP="00B32D20">
            <w:pPr>
              <w:tabs>
                <w:tab w:val="left" w:pos="5400"/>
              </w:tabs>
              <w:spacing w:line="240" w:lineRule="auto"/>
            </w:pPr>
            <w:r>
              <w:t>£2,008.75</w:t>
            </w:r>
          </w:p>
        </w:tc>
      </w:tr>
      <w:tr w:rsidR="00EE2B41" w14:paraId="34457C2C" w14:textId="77777777" w:rsidTr="00B32D20">
        <w:tc>
          <w:tcPr>
            <w:tcW w:w="5765" w:type="dxa"/>
          </w:tcPr>
          <w:p w14:paraId="7EDE6F62" w14:textId="558E93ED" w:rsidR="00EE2B41" w:rsidRDefault="00921B43" w:rsidP="00B32D20">
            <w:pPr>
              <w:tabs>
                <w:tab w:val="left" w:pos="5400"/>
              </w:tabs>
              <w:spacing w:line="240" w:lineRule="auto"/>
            </w:pPr>
            <w:r>
              <w:t>£340,671.00</w:t>
            </w:r>
          </w:p>
        </w:tc>
        <w:tc>
          <w:tcPr>
            <w:tcW w:w="3524" w:type="dxa"/>
          </w:tcPr>
          <w:p w14:paraId="3663F89D" w14:textId="59CDCB28" w:rsidR="00EE2B41" w:rsidRDefault="00921B43" w:rsidP="00B32D20">
            <w:pPr>
              <w:tabs>
                <w:tab w:val="left" w:pos="5400"/>
              </w:tabs>
              <w:spacing w:line="240" w:lineRule="auto"/>
            </w:pPr>
            <w:r>
              <w:t>£114,072.98</w:t>
            </w:r>
          </w:p>
        </w:tc>
      </w:tr>
      <w:tr w:rsidR="00EE2B41" w14:paraId="53B560E5" w14:textId="77777777" w:rsidTr="00B32D20">
        <w:trPr>
          <w:trHeight w:val="347"/>
        </w:trPr>
        <w:tc>
          <w:tcPr>
            <w:tcW w:w="5765" w:type="dxa"/>
          </w:tcPr>
          <w:p w14:paraId="68B9755B" w14:textId="428F3667" w:rsidR="00EE2B41" w:rsidRDefault="00921B43" w:rsidP="00B32D20">
            <w:pPr>
              <w:tabs>
                <w:tab w:val="left" w:pos="5400"/>
              </w:tabs>
              <w:spacing w:line="240" w:lineRule="auto"/>
            </w:pPr>
            <w:r>
              <w:t>£323,877.85</w:t>
            </w:r>
          </w:p>
        </w:tc>
        <w:tc>
          <w:tcPr>
            <w:tcW w:w="3524" w:type="dxa"/>
          </w:tcPr>
          <w:p w14:paraId="2DD807F0" w14:textId="46F79220" w:rsidR="00EE2B41" w:rsidRDefault="00921B43" w:rsidP="00B32D20">
            <w:pPr>
              <w:tabs>
                <w:tab w:val="left" w:pos="5400"/>
              </w:tabs>
              <w:spacing w:line="240" w:lineRule="auto"/>
            </w:pPr>
            <w:r>
              <w:t>£1,875.00</w:t>
            </w:r>
          </w:p>
        </w:tc>
      </w:tr>
      <w:tr w:rsidR="00EE2B41" w14:paraId="2CC2DD11" w14:textId="77777777" w:rsidTr="00B32D20">
        <w:tc>
          <w:tcPr>
            <w:tcW w:w="5765" w:type="dxa"/>
          </w:tcPr>
          <w:p w14:paraId="705321CE" w14:textId="55C9BD5E" w:rsidR="00EE2B41" w:rsidRDefault="00921B43" w:rsidP="00B32D20">
            <w:pPr>
              <w:tabs>
                <w:tab w:val="left" w:pos="5400"/>
              </w:tabs>
              <w:spacing w:line="240" w:lineRule="auto"/>
            </w:pPr>
            <w:r>
              <w:t>£300,000.00</w:t>
            </w:r>
          </w:p>
        </w:tc>
        <w:tc>
          <w:tcPr>
            <w:tcW w:w="3524" w:type="dxa"/>
          </w:tcPr>
          <w:p w14:paraId="4044DC43" w14:textId="3FAA8B7F" w:rsidR="00EE2B41" w:rsidRDefault="00921B43" w:rsidP="00B32D20">
            <w:pPr>
              <w:tabs>
                <w:tab w:val="left" w:pos="5400"/>
              </w:tabs>
              <w:spacing w:line="240" w:lineRule="auto"/>
            </w:pPr>
            <w:r>
              <w:t>£158,000.00</w:t>
            </w:r>
          </w:p>
        </w:tc>
      </w:tr>
    </w:tbl>
    <w:p w14:paraId="7449027B" w14:textId="77777777" w:rsidR="00EE2B41" w:rsidRDefault="00EE2B41" w:rsidP="00793DD5">
      <w:pPr>
        <w:tabs>
          <w:tab w:val="left" w:pos="5400"/>
        </w:tabs>
      </w:pPr>
    </w:p>
    <w:p w14:paraId="4F8C19F7" w14:textId="1E37DE6E" w:rsidR="00921B43" w:rsidRDefault="00921B43" w:rsidP="00921B43">
      <w:pPr>
        <w:tabs>
          <w:tab w:val="left" w:pos="5400"/>
        </w:tabs>
      </w:pPr>
      <w:r>
        <w:lastRenderedPageBreak/>
        <w:t>Financial Year 01 April 2024 until 31 March 2025</w:t>
      </w:r>
    </w:p>
    <w:tbl>
      <w:tblPr>
        <w:tblStyle w:val="TableGrid"/>
        <w:tblW w:w="0" w:type="auto"/>
        <w:tblLook w:val="04A0" w:firstRow="1" w:lastRow="0" w:firstColumn="1" w:lastColumn="0" w:noHBand="0" w:noVBand="1"/>
        <w:tblCaption w:val="Value identified via Proceeds of Crime Act 2002 broken by year."/>
        <w:tblDescription w:val="Value identified via Proceeds of Crime Act 2002  broken by year."/>
      </w:tblPr>
      <w:tblGrid>
        <w:gridCol w:w="5765"/>
        <w:gridCol w:w="3524"/>
      </w:tblGrid>
      <w:tr w:rsidR="00921B43" w:rsidRPr="00B32D20" w14:paraId="12B61F52" w14:textId="77777777" w:rsidTr="00B32D20">
        <w:trPr>
          <w:tblHeader/>
        </w:trPr>
        <w:tc>
          <w:tcPr>
            <w:tcW w:w="5765" w:type="dxa"/>
            <w:shd w:val="clear" w:color="auto" w:fill="D9D9D9" w:themeFill="background1" w:themeFillShade="D9"/>
          </w:tcPr>
          <w:p w14:paraId="2D26926A" w14:textId="77777777" w:rsidR="00921B43" w:rsidRPr="00B32D20" w:rsidRDefault="00921B43" w:rsidP="00B32D20">
            <w:pPr>
              <w:tabs>
                <w:tab w:val="left" w:pos="5400"/>
              </w:tabs>
              <w:spacing w:line="240" w:lineRule="auto"/>
              <w:rPr>
                <w:b/>
                <w:bCs/>
              </w:rPr>
            </w:pPr>
            <w:r w:rsidRPr="00B32D20">
              <w:rPr>
                <w:b/>
                <w:bCs/>
              </w:rPr>
              <w:t>Value identified via Proceeds of Crime Act 2002</w:t>
            </w:r>
          </w:p>
        </w:tc>
        <w:tc>
          <w:tcPr>
            <w:tcW w:w="3524" w:type="dxa"/>
            <w:shd w:val="clear" w:color="auto" w:fill="D9D9D9" w:themeFill="background1" w:themeFillShade="D9"/>
          </w:tcPr>
          <w:p w14:paraId="3BCBC0F4" w14:textId="77777777" w:rsidR="00921B43" w:rsidRPr="00B32D20" w:rsidRDefault="00921B43" w:rsidP="00B32D20">
            <w:pPr>
              <w:tabs>
                <w:tab w:val="left" w:pos="5400"/>
              </w:tabs>
              <w:spacing w:line="240" w:lineRule="auto"/>
              <w:rPr>
                <w:b/>
                <w:bCs/>
              </w:rPr>
            </w:pPr>
            <w:r w:rsidRPr="00B32D20">
              <w:rPr>
                <w:b/>
                <w:bCs/>
              </w:rPr>
              <w:t>Value of Confiscation Order</w:t>
            </w:r>
          </w:p>
        </w:tc>
      </w:tr>
      <w:tr w:rsidR="001B4441" w:rsidRPr="00B113EB" w14:paraId="00147FE5" w14:textId="77777777" w:rsidTr="00B32D20">
        <w:tc>
          <w:tcPr>
            <w:tcW w:w="5765" w:type="dxa"/>
            <w:shd w:val="clear" w:color="auto" w:fill="auto"/>
          </w:tcPr>
          <w:p w14:paraId="1AB6D33A" w14:textId="3EDFE6D7" w:rsidR="001B4441" w:rsidRPr="0058381C" w:rsidRDefault="001B4441" w:rsidP="00B32D20">
            <w:pPr>
              <w:tabs>
                <w:tab w:val="left" w:pos="5400"/>
              </w:tabs>
              <w:spacing w:line="240" w:lineRule="auto"/>
            </w:pPr>
            <w:r>
              <w:t>£7,503,763.52</w:t>
            </w:r>
          </w:p>
        </w:tc>
        <w:tc>
          <w:tcPr>
            <w:tcW w:w="3524" w:type="dxa"/>
            <w:shd w:val="clear" w:color="auto" w:fill="auto"/>
          </w:tcPr>
          <w:p w14:paraId="72D21249" w14:textId="4C8453FF" w:rsidR="001B4441" w:rsidRPr="0058381C" w:rsidRDefault="001B4441" w:rsidP="00B32D20">
            <w:pPr>
              <w:tabs>
                <w:tab w:val="left" w:pos="5400"/>
              </w:tabs>
              <w:spacing w:line="240" w:lineRule="auto"/>
            </w:pPr>
            <w:r>
              <w:t>£2,665.00</w:t>
            </w:r>
          </w:p>
        </w:tc>
      </w:tr>
      <w:tr w:rsidR="001B4441" w:rsidRPr="00B113EB" w14:paraId="2CC73714" w14:textId="77777777" w:rsidTr="00B32D20">
        <w:tc>
          <w:tcPr>
            <w:tcW w:w="5765" w:type="dxa"/>
            <w:shd w:val="clear" w:color="auto" w:fill="auto"/>
          </w:tcPr>
          <w:p w14:paraId="15B78373" w14:textId="711B727A" w:rsidR="001B4441" w:rsidRPr="0058381C" w:rsidRDefault="001B4441" w:rsidP="00B32D20">
            <w:pPr>
              <w:tabs>
                <w:tab w:val="left" w:pos="5400"/>
              </w:tabs>
              <w:spacing w:line="240" w:lineRule="auto"/>
            </w:pPr>
            <w:r>
              <w:t>£1,841,903.69</w:t>
            </w:r>
          </w:p>
        </w:tc>
        <w:tc>
          <w:tcPr>
            <w:tcW w:w="3524" w:type="dxa"/>
            <w:shd w:val="clear" w:color="auto" w:fill="auto"/>
          </w:tcPr>
          <w:p w14:paraId="3C3A89DA" w14:textId="6AC40BC9" w:rsidR="001B4441" w:rsidRPr="0058381C" w:rsidRDefault="001B4441" w:rsidP="00B32D20">
            <w:pPr>
              <w:tabs>
                <w:tab w:val="left" w:pos="5400"/>
              </w:tabs>
              <w:spacing w:line="240" w:lineRule="auto"/>
            </w:pPr>
            <w:r>
              <w:t>£125,970.96</w:t>
            </w:r>
          </w:p>
        </w:tc>
      </w:tr>
      <w:tr w:rsidR="00921B43" w:rsidRPr="00B113EB" w14:paraId="60E279CA" w14:textId="77777777" w:rsidTr="00B32D20">
        <w:tc>
          <w:tcPr>
            <w:tcW w:w="5765" w:type="dxa"/>
            <w:shd w:val="clear" w:color="auto" w:fill="auto"/>
          </w:tcPr>
          <w:p w14:paraId="6FDC359F" w14:textId="702AAA12" w:rsidR="00921B43" w:rsidRPr="0058381C" w:rsidRDefault="00921B43" w:rsidP="00B32D20">
            <w:pPr>
              <w:tabs>
                <w:tab w:val="left" w:pos="5400"/>
              </w:tabs>
              <w:spacing w:line="240" w:lineRule="auto"/>
            </w:pPr>
            <w:r w:rsidRPr="0058381C">
              <w:t>£1,476,657.45</w:t>
            </w:r>
          </w:p>
        </w:tc>
        <w:tc>
          <w:tcPr>
            <w:tcW w:w="3524" w:type="dxa"/>
            <w:shd w:val="clear" w:color="auto" w:fill="auto"/>
          </w:tcPr>
          <w:p w14:paraId="6E0214BD" w14:textId="62447589" w:rsidR="00921B43" w:rsidRPr="0058381C" w:rsidRDefault="00921B43" w:rsidP="00B32D20">
            <w:pPr>
              <w:tabs>
                <w:tab w:val="left" w:pos="5400"/>
              </w:tabs>
              <w:spacing w:line="240" w:lineRule="auto"/>
            </w:pPr>
            <w:r w:rsidRPr="0058381C">
              <w:t>£8</w:t>
            </w:r>
            <w:r w:rsidR="001B4441">
              <w:t>7</w:t>
            </w:r>
            <w:r w:rsidRPr="0058381C">
              <w:t>,500.18</w:t>
            </w:r>
          </w:p>
        </w:tc>
      </w:tr>
      <w:tr w:rsidR="001B4441" w:rsidRPr="00B113EB" w14:paraId="1CC9F9A7" w14:textId="77777777" w:rsidTr="00B32D20">
        <w:tc>
          <w:tcPr>
            <w:tcW w:w="5765" w:type="dxa"/>
            <w:shd w:val="clear" w:color="auto" w:fill="auto"/>
          </w:tcPr>
          <w:p w14:paraId="430C9CC5" w14:textId="205E87C0" w:rsidR="001B4441" w:rsidRPr="0058381C" w:rsidRDefault="001B4441" w:rsidP="00B32D20">
            <w:pPr>
              <w:tabs>
                <w:tab w:val="left" w:pos="5400"/>
              </w:tabs>
              <w:spacing w:line="240" w:lineRule="auto"/>
            </w:pPr>
            <w:r>
              <w:t>£1,271,625.62</w:t>
            </w:r>
          </w:p>
        </w:tc>
        <w:tc>
          <w:tcPr>
            <w:tcW w:w="3524" w:type="dxa"/>
            <w:shd w:val="clear" w:color="auto" w:fill="auto"/>
          </w:tcPr>
          <w:p w14:paraId="55E712D3" w14:textId="0A6D9AC5" w:rsidR="001B4441" w:rsidRPr="0058381C" w:rsidRDefault="001B4441" w:rsidP="00B32D20">
            <w:pPr>
              <w:tabs>
                <w:tab w:val="left" w:pos="5400"/>
              </w:tabs>
              <w:spacing w:line="240" w:lineRule="auto"/>
            </w:pPr>
            <w:r>
              <w:t>£70,000.00</w:t>
            </w:r>
          </w:p>
        </w:tc>
      </w:tr>
      <w:tr w:rsidR="00921B43" w:rsidRPr="00B113EB" w14:paraId="633AB148" w14:textId="77777777" w:rsidTr="00B32D20">
        <w:tc>
          <w:tcPr>
            <w:tcW w:w="5765" w:type="dxa"/>
            <w:shd w:val="clear" w:color="auto" w:fill="auto"/>
          </w:tcPr>
          <w:p w14:paraId="6B672035" w14:textId="2FCB5952" w:rsidR="00921B43" w:rsidRPr="0058381C" w:rsidRDefault="00921B43" w:rsidP="00B32D20">
            <w:pPr>
              <w:tabs>
                <w:tab w:val="left" w:pos="5400"/>
              </w:tabs>
              <w:spacing w:line="240" w:lineRule="auto"/>
            </w:pPr>
            <w:r w:rsidRPr="0058381C">
              <w:t>£1,092,290.00</w:t>
            </w:r>
          </w:p>
        </w:tc>
        <w:tc>
          <w:tcPr>
            <w:tcW w:w="3524" w:type="dxa"/>
            <w:shd w:val="clear" w:color="auto" w:fill="auto"/>
          </w:tcPr>
          <w:p w14:paraId="6E4B8BAF" w14:textId="4AE63FBA" w:rsidR="00921B43" w:rsidRPr="0058381C" w:rsidRDefault="00921B43" w:rsidP="00B32D20">
            <w:pPr>
              <w:tabs>
                <w:tab w:val="left" w:pos="5400"/>
              </w:tabs>
              <w:spacing w:line="240" w:lineRule="auto"/>
            </w:pPr>
            <w:r w:rsidRPr="0058381C">
              <w:t>£1,092,290.00</w:t>
            </w:r>
          </w:p>
        </w:tc>
      </w:tr>
      <w:tr w:rsidR="001B4441" w:rsidRPr="00B113EB" w14:paraId="7BF82974" w14:textId="77777777" w:rsidTr="00B32D20">
        <w:tc>
          <w:tcPr>
            <w:tcW w:w="5765" w:type="dxa"/>
            <w:shd w:val="clear" w:color="auto" w:fill="auto"/>
          </w:tcPr>
          <w:p w14:paraId="275079CD" w14:textId="5CECB538" w:rsidR="001B4441" w:rsidRPr="0058381C" w:rsidRDefault="001B4441" w:rsidP="00B32D20">
            <w:pPr>
              <w:tabs>
                <w:tab w:val="left" w:pos="5400"/>
              </w:tabs>
              <w:spacing w:line="240" w:lineRule="auto"/>
            </w:pPr>
            <w:r>
              <w:t>£950,000.00</w:t>
            </w:r>
          </w:p>
        </w:tc>
        <w:tc>
          <w:tcPr>
            <w:tcW w:w="3524" w:type="dxa"/>
            <w:shd w:val="clear" w:color="auto" w:fill="auto"/>
          </w:tcPr>
          <w:p w14:paraId="555D6BAA" w14:textId="68D9802F" w:rsidR="001B4441" w:rsidRPr="0058381C" w:rsidRDefault="001B4441" w:rsidP="00B32D20">
            <w:pPr>
              <w:tabs>
                <w:tab w:val="left" w:pos="5400"/>
              </w:tabs>
              <w:spacing w:line="240" w:lineRule="auto"/>
            </w:pPr>
            <w:r>
              <w:t>£521,202.59</w:t>
            </w:r>
          </w:p>
        </w:tc>
      </w:tr>
      <w:tr w:rsidR="001B4441" w:rsidRPr="00B113EB" w14:paraId="35544BC8" w14:textId="77777777" w:rsidTr="00B32D20">
        <w:tc>
          <w:tcPr>
            <w:tcW w:w="5765" w:type="dxa"/>
            <w:shd w:val="clear" w:color="auto" w:fill="auto"/>
          </w:tcPr>
          <w:p w14:paraId="0AB628E5" w14:textId="2FC2FAE5" w:rsidR="001B4441" w:rsidRPr="0058381C" w:rsidRDefault="001B4441" w:rsidP="00B32D20">
            <w:pPr>
              <w:tabs>
                <w:tab w:val="left" w:pos="5400"/>
              </w:tabs>
              <w:spacing w:line="240" w:lineRule="auto"/>
            </w:pPr>
            <w:r>
              <w:t>£937,635.73</w:t>
            </w:r>
          </w:p>
        </w:tc>
        <w:tc>
          <w:tcPr>
            <w:tcW w:w="3524" w:type="dxa"/>
            <w:shd w:val="clear" w:color="auto" w:fill="auto"/>
          </w:tcPr>
          <w:p w14:paraId="094BA060" w14:textId="0314CB09" w:rsidR="001B4441" w:rsidRPr="0058381C" w:rsidRDefault="001B4441" w:rsidP="00B32D20">
            <w:pPr>
              <w:tabs>
                <w:tab w:val="left" w:pos="5400"/>
              </w:tabs>
              <w:spacing w:line="240" w:lineRule="auto"/>
            </w:pPr>
            <w:r>
              <w:t>£31,050.31</w:t>
            </w:r>
          </w:p>
        </w:tc>
      </w:tr>
      <w:tr w:rsidR="00921B43" w:rsidRPr="00B113EB" w14:paraId="6B2A6519" w14:textId="77777777" w:rsidTr="00B32D20">
        <w:tc>
          <w:tcPr>
            <w:tcW w:w="5765" w:type="dxa"/>
            <w:shd w:val="clear" w:color="auto" w:fill="auto"/>
          </w:tcPr>
          <w:p w14:paraId="5DB008F9" w14:textId="272E5E1B" w:rsidR="00921B43" w:rsidRPr="0058381C" w:rsidRDefault="00921B43" w:rsidP="00B32D20">
            <w:pPr>
              <w:tabs>
                <w:tab w:val="left" w:pos="5400"/>
              </w:tabs>
              <w:spacing w:line="240" w:lineRule="auto"/>
            </w:pPr>
            <w:r w:rsidRPr="0058381C">
              <w:t>£925,000.00</w:t>
            </w:r>
          </w:p>
        </w:tc>
        <w:tc>
          <w:tcPr>
            <w:tcW w:w="3524" w:type="dxa"/>
            <w:shd w:val="clear" w:color="auto" w:fill="auto"/>
          </w:tcPr>
          <w:p w14:paraId="45550EED" w14:textId="7BAF7573" w:rsidR="00921B43" w:rsidRPr="0058381C" w:rsidRDefault="00921B43" w:rsidP="00B32D20">
            <w:pPr>
              <w:tabs>
                <w:tab w:val="left" w:pos="5400"/>
              </w:tabs>
              <w:spacing w:line="240" w:lineRule="auto"/>
            </w:pPr>
            <w:r w:rsidRPr="0058381C">
              <w:t>£211,574.67</w:t>
            </w:r>
          </w:p>
        </w:tc>
      </w:tr>
      <w:tr w:rsidR="00921B43" w:rsidRPr="00B113EB" w14:paraId="5A5EF723" w14:textId="77777777" w:rsidTr="00B32D20">
        <w:tc>
          <w:tcPr>
            <w:tcW w:w="5765" w:type="dxa"/>
            <w:shd w:val="clear" w:color="auto" w:fill="auto"/>
          </w:tcPr>
          <w:p w14:paraId="54756977" w14:textId="38DCF7F1" w:rsidR="00921B43" w:rsidRPr="0058381C" w:rsidRDefault="00921B43" w:rsidP="00B32D20">
            <w:pPr>
              <w:tabs>
                <w:tab w:val="left" w:pos="5400"/>
              </w:tabs>
              <w:spacing w:line="240" w:lineRule="auto"/>
            </w:pPr>
            <w:r w:rsidRPr="0058381C">
              <w:t>£900,000.00</w:t>
            </w:r>
          </w:p>
        </w:tc>
        <w:tc>
          <w:tcPr>
            <w:tcW w:w="3524" w:type="dxa"/>
            <w:shd w:val="clear" w:color="auto" w:fill="auto"/>
          </w:tcPr>
          <w:p w14:paraId="375BDDF6" w14:textId="1539BC4F" w:rsidR="00921B43" w:rsidRPr="0058381C" w:rsidRDefault="00921B43" w:rsidP="00B32D20">
            <w:pPr>
              <w:tabs>
                <w:tab w:val="left" w:pos="5400"/>
              </w:tabs>
              <w:spacing w:line="240" w:lineRule="auto"/>
            </w:pPr>
            <w:r w:rsidRPr="0058381C">
              <w:t>£90,741.00</w:t>
            </w:r>
          </w:p>
        </w:tc>
      </w:tr>
      <w:tr w:rsidR="00921B43" w:rsidRPr="00B113EB" w14:paraId="6ACEBC19" w14:textId="77777777" w:rsidTr="00B32D20">
        <w:tc>
          <w:tcPr>
            <w:tcW w:w="5765" w:type="dxa"/>
            <w:shd w:val="clear" w:color="auto" w:fill="auto"/>
          </w:tcPr>
          <w:p w14:paraId="083BF294" w14:textId="1020B2FE" w:rsidR="00921B43" w:rsidRPr="0058381C" w:rsidRDefault="00921B43" w:rsidP="00B32D20">
            <w:pPr>
              <w:tabs>
                <w:tab w:val="left" w:pos="5400"/>
              </w:tabs>
              <w:spacing w:line="240" w:lineRule="auto"/>
            </w:pPr>
            <w:r w:rsidRPr="0058381C">
              <w:t>£750,000.00</w:t>
            </w:r>
          </w:p>
        </w:tc>
        <w:tc>
          <w:tcPr>
            <w:tcW w:w="3524" w:type="dxa"/>
            <w:shd w:val="clear" w:color="auto" w:fill="auto"/>
          </w:tcPr>
          <w:p w14:paraId="7ED5CAB7" w14:textId="62F9DC2B" w:rsidR="00921B43" w:rsidRPr="0058381C" w:rsidRDefault="00921B43" w:rsidP="00B32D20">
            <w:pPr>
              <w:tabs>
                <w:tab w:val="left" w:pos="5400"/>
              </w:tabs>
              <w:spacing w:line="240" w:lineRule="auto"/>
            </w:pPr>
            <w:r w:rsidRPr="0058381C">
              <w:t>£60,022.00</w:t>
            </w:r>
          </w:p>
        </w:tc>
      </w:tr>
    </w:tbl>
    <w:p w14:paraId="7FA74842" w14:textId="77777777" w:rsidR="00921B43" w:rsidRDefault="00921B43" w:rsidP="00793DD5">
      <w:pPr>
        <w:tabs>
          <w:tab w:val="left" w:pos="5400"/>
        </w:tabs>
      </w:pPr>
    </w:p>
    <w:p w14:paraId="088F5340" w14:textId="31CE2788" w:rsidR="00B4703E" w:rsidRDefault="00B4703E" w:rsidP="00793DD5">
      <w:pPr>
        <w:tabs>
          <w:tab w:val="left" w:pos="5400"/>
        </w:tabs>
      </w:pPr>
      <w:r>
        <w:t>For any further information relating to the confiscation orders, again, you may wish to direct your request to the Scottish Courts Service.</w:t>
      </w:r>
    </w:p>
    <w:p w14:paraId="4BC60E3B" w14:textId="77777777" w:rsidR="00B4703E" w:rsidRPr="00B11A55" w:rsidRDefault="00B4703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3F7E7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50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31FC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50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47D34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50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C921B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506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52FFB3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506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92BEB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506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1C6"/>
    <w:rsid w:val="00023058"/>
    <w:rsid w:val="0005213D"/>
    <w:rsid w:val="000524A2"/>
    <w:rsid w:val="00090F3B"/>
    <w:rsid w:val="00096031"/>
    <w:rsid w:val="000E2F19"/>
    <w:rsid w:val="000E6526"/>
    <w:rsid w:val="00104D51"/>
    <w:rsid w:val="00141533"/>
    <w:rsid w:val="00151DD0"/>
    <w:rsid w:val="00167528"/>
    <w:rsid w:val="00195CC4"/>
    <w:rsid w:val="001B4441"/>
    <w:rsid w:val="001E7379"/>
    <w:rsid w:val="00207326"/>
    <w:rsid w:val="002453D9"/>
    <w:rsid w:val="00253DF6"/>
    <w:rsid w:val="00255F1E"/>
    <w:rsid w:val="002F5274"/>
    <w:rsid w:val="003170B1"/>
    <w:rsid w:val="0036503B"/>
    <w:rsid w:val="00376A4A"/>
    <w:rsid w:val="003A5063"/>
    <w:rsid w:val="003D5E61"/>
    <w:rsid w:val="003D6D03"/>
    <w:rsid w:val="003E12CA"/>
    <w:rsid w:val="004010DC"/>
    <w:rsid w:val="004341F0"/>
    <w:rsid w:val="00456324"/>
    <w:rsid w:val="00475460"/>
    <w:rsid w:val="00490317"/>
    <w:rsid w:val="00491644"/>
    <w:rsid w:val="004945E0"/>
    <w:rsid w:val="00496A08"/>
    <w:rsid w:val="004E1605"/>
    <w:rsid w:val="004F653C"/>
    <w:rsid w:val="00534962"/>
    <w:rsid w:val="00537EEC"/>
    <w:rsid w:val="00540A52"/>
    <w:rsid w:val="00557306"/>
    <w:rsid w:val="0058381C"/>
    <w:rsid w:val="00645CFA"/>
    <w:rsid w:val="00685219"/>
    <w:rsid w:val="006D5799"/>
    <w:rsid w:val="006F20BC"/>
    <w:rsid w:val="007440EA"/>
    <w:rsid w:val="00750D83"/>
    <w:rsid w:val="00785DBC"/>
    <w:rsid w:val="00793DD5"/>
    <w:rsid w:val="007D55F6"/>
    <w:rsid w:val="007F490F"/>
    <w:rsid w:val="00866B6C"/>
    <w:rsid w:val="0086779C"/>
    <w:rsid w:val="00874BFD"/>
    <w:rsid w:val="008964EF"/>
    <w:rsid w:val="00897ECF"/>
    <w:rsid w:val="00915E01"/>
    <w:rsid w:val="00921B43"/>
    <w:rsid w:val="009631A4"/>
    <w:rsid w:val="00977296"/>
    <w:rsid w:val="00982B53"/>
    <w:rsid w:val="00A04A7E"/>
    <w:rsid w:val="00A25E93"/>
    <w:rsid w:val="00A320FF"/>
    <w:rsid w:val="00A70AC0"/>
    <w:rsid w:val="00A84EA9"/>
    <w:rsid w:val="00AC443C"/>
    <w:rsid w:val="00B033D6"/>
    <w:rsid w:val="00B113EB"/>
    <w:rsid w:val="00B11A55"/>
    <w:rsid w:val="00B17211"/>
    <w:rsid w:val="00B30922"/>
    <w:rsid w:val="00B32D20"/>
    <w:rsid w:val="00B461B2"/>
    <w:rsid w:val="00B4703E"/>
    <w:rsid w:val="00B55F43"/>
    <w:rsid w:val="00B654B6"/>
    <w:rsid w:val="00B71B3C"/>
    <w:rsid w:val="00BA530F"/>
    <w:rsid w:val="00BB13B3"/>
    <w:rsid w:val="00BC389E"/>
    <w:rsid w:val="00BE1888"/>
    <w:rsid w:val="00BE4F44"/>
    <w:rsid w:val="00BF6B81"/>
    <w:rsid w:val="00C077A8"/>
    <w:rsid w:val="00C12E9A"/>
    <w:rsid w:val="00C14FF4"/>
    <w:rsid w:val="00C1679F"/>
    <w:rsid w:val="00C2063C"/>
    <w:rsid w:val="00C606A2"/>
    <w:rsid w:val="00C63872"/>
    <w:rsid w:val="00C84948"/>
    <w:rsid w:val="00C94ED8"/>
    <w:rsid w:val="00CE4CF8"/>
    <w:rsid w:val="00CF1111"/>
    <w:rsid w:val="00D05706"/>
    <w:rsid w:val="00D27DC5"/>
    <w:rsid w:val="00D47E36"/>
    <w:rsid w:val="00DA1167"/>
    <w:rsid w:val="00DF3689"/>
    <w:rsid w:val="00E25AB4"/>
    <w:rsid w:val="00E55D79"/>
    <w:rsid w:val="00EE2373"/>
    <w:rsid w:val="00EE2B41"/>
    <w:rsid w:val="00EF0FBB"/>
    <w:rsid w:val="00EF4761"/>
    <w:rsid w:val="00F77084"/>
    <w:rsid w:val="00FC177C"/>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74363">
      <w:bodyDiv w:val="1"/>
      <w:marLeft w:val="0"/>
      <w:marRight w:val="0"/>
      <w:marTop w:val="0"/>
      <w:marBottom w:val="0"/>
      <w:divBdr>
        <w:top w:val="none" w:sz="0" w:space="0" w:color="auto"/>
        <w:left w:val="none" w:sz="0" w:space="0" w:color="auto"/>
        <w:bottom w:val="none" w:sz="0" w:space="0" w:color="auto"/>
        <w:right w:val="none" w:sz="0" w:space="0" w:color="auto"/>
      </w:divBdr>
    </w:div>
    <w:div w:id="202907740">
      <w:bodyDiv w:val="1"/>
      <w:marLeft w:val="0"/>
      <w:marRight w:val="0"/>
      <w:marTop w:val="0"/>
      <w:marBottom w:val="0"/>
      <w:divBdr>
        <w:top w:val="none" w:sz="0" w:space="0" w:color="auto"/>
        <w:left w:val="none" w:sz="0" w:space="0" w:color="auto"/>
        <w:bottom w:val="none" w:sz="0" w:space="0" w:color="auto"/>
        <w:right w:val="none" w:sz="0" w:space="0" w:color="auto"/>
      </w:divBdr>
    </w:div>
    <w:div w:id="595556048">
      <w:bodyDiv w:val="1"/>
      <w:marLeft w:val="0"/>
      <w:marRight w:val="0"/>
      <w:marTop w:val="0"/>
      <w:marBottom w:val="0"/>
      <w:divBdr>
        <w:top w:val="none" w:sz="0" w:space="0" w:color="auto"/>
        <w:left w:val="none" w:sz="0" w:space="0" w:color="auto"/>
        <w:bottom w:val="none" w:sz="0" w:space="0" w:color="auto"/>
        <w:right w:val="none" w:sz="0" w:space="0" w:color="auto"/>
      </w:divBdr>
    </w:div>
    <w:div w:id="12998022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2025-07-03T15:23:00Z</dcterms:created>
  <dcterms:modified xsi:type="dcterms:W3CDTF">2025-07-03T15:23:00Z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