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CAAC4C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984E38">
              <w:t>2680</w:t>
            </w:r>
          </w:p>
          <w:p w14:paraId="34BDABA6" w14:textId="0FEB2F7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52A39">
              <w:t>21</w:t>
            </w:r>
            <w:r w:rsidR="006D5799">
              <w:t xml:space="preserve"> </w:t>
            </w:r>
            <w:r w:rsidR="00785DBC">
              <w:t>December</w:t>
            </w:r>
            <w:r>
              <w:t xml:space="preserve"> 2023</w:t>
            </w:r>
          </w:p>
        </w:tc>
      </w:tr>
    </w:tbl>
    <w:p w14:paraId="34BDABA8" w14:textId="53FB6086" w:rsidR="00793DD5" w:rsidRDefault="00E43518" w:rsidP="0036503B">
      <w:pPr>
        <w:rPr>
          <w:b/>
        </w:rPr>
      </w:pPr>
      <w:r>
        <w:t xml:space="preserve">Your </w:t>
      </w:r>
      <w:r w:rsidR="00793DD5" w:rsidRPr="00793DD5">
        <w:t xml:space="preserve">request for information is replicated below, together with </w:t>
      </w:r>
      <w:r w:rsidR="004341F0">
        <w:t>our</w:t>
      </w:r>
      <w:r w:rsidR="00793DD5" w:rsidRPr="00793DD5">
        <w:t xml:space="preserve"> response.</w:t>
      </w:r>
    </w:p>
    <w:p w14:paraId="6B96017D" w14:textId="77777777" w:rsidR="00984E38" w:rsidRPr="00984E38" w:rsidRDefault="00984E38" w:rsidP="00984E3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84E38">
        <w:rPr>
          <w:rFonts w:eastAsiaTheme="majorEastAsia" w:cstheme="majorBidi"/>
          <w:b/>
          <w:color w:val="000000" w:themeColor="text1"/>
          <w:szCs w:val="26"/>
        </w:rPr>
        <w:t xml:space="preserve">1.A: How many complaints regarding sexual misconduct has the force received from staff between 1 October 2022 to 1 October 2023? </w:t>
      </w:r>
    </w:p>
    <w:p w14:paraId="7DF62247" w14:textId="0DA8B8A5" w:rsidR="00984E38" w:rsidRDefault="00984E38" w:rsidP="00984E3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84E38">
        <w:rPr>
          <w:rFonts w:eastAsiaTheme="majorEastAsia" w:cstheme="majorBidi"/>
          <w:b/>
          <w:color w:val="000000" w:themeColor="text1"/>
          <w:szCs w:val="26"/>
        </w:rPr>
        <w:t>1.B: Can these complaints be broken down by type of sexual misconduct i.e. sexual assault, rape, sexual coercion etc?</w:t>
      </w:r>
      <w:r w:rsidRPr="00984E38">
        <w:rPr>
          <w:rFonts w:eastAsiaTheme="majorEastAsia" w:cstheme="majorBidi"/>
          <w:b/>
          <w:color w:val="000000" w:themeColor="text1"/>
          <w:szCs w:val="26"/>
        </w:rPr>
        <w:br/>
        <w:t>2. A: How many complaints regarding sexual misconduct has the force received from the public regarding police officers between 1 October 2022 to 1 October 2023?</w:t>
      </w:r>
      <w:r w:rsidRPr="00984E38">
        <w:rPr>
          <w:rFonts w:eastAsiaTheme="majorEastAsia" w:cstheme="majorBidi"/>
          <w:b/>
          <w:color w:val="000000" w:themeColor="text1"/>
          <w:szCs w:val="26"/>
        </w:rPr>
        <w:br/>
        <w:t>2. B: Can these complaints be broken down by type of sexual misconduct i.e. sexual assault, rape, sexual coercion etc?</w:t>
      </w:r>
    </w:p>
    <w:p w14:paraId="35F836F0" w14:textId="3D20B6CB" w:rsidR="00984E38" w:rsidRPr="00984E38" w:rsidRDefault="00984E38" w:rsidP="00984E38">
      <w:r w:rsidRPr="00984E38">
        <w:t xml:space="preserve">To provide some context to our response, it may be helpful to outline how the complaints and conduct processes operate in Scotland. </w:t>
      </w:r>
    </w:p>
    <w:p w14:paraId="22B5E68E" w14:textId="7D38337E" w:rsidR="00984E38" w:rsidRPr="00984E38" w:rsidRDefault="00984E38" w:rsidP="00984E38">
      <w:r w:rsidRPr="00984E38">
        <w:t xml:space="preserve">The Police Scotland </w:t>
      </w:r>
      <w:hyperlink r:id="rId11" w:history="1">
        <w:r w:rsidRPr="00984E38">
          <w:rPr>
            <w:rStyle w:val="Hyperlink"/>
            <w:rFonts w:eastAsiaTheme="majorEastAsia" w:cstheme="majorBidi"/>
            <w:szCs w:val="26"/>
          </w:rPr>
          <w:t>Complaints About the Police Standard Operating Procedure (SOP)</w:t>
        </w:r>
      </w:hyperlink>
      <w:r w:rsidRPr="00984E38">
        <w:t xml:space="preserve"> outlines how we deal with complaints and they are categorised as per appendices G and H of th</w:t>
      </w:r>
      <w:r w:rsidR="00AA409B">
        <w:t>at document</w:t>
      </w:r>
      <w:r w:rsidR="00AA409B" w:rsidRPr="00AA409B">
        <w:t>.</w:t>
      </w:r>
    </w:p>
    <w:p w14:paraId="51918E62" w14:textId="0D1E7A8B" w:rsidR="00205919" w:rsidRPr="00984E38" w:rsidRDefault="00984E38" w:rsidP="00984E38">
      <w:r w:rsidRPr="00984E38">
        <w:t xml:space="preserve">The formal disciplinary process for Police Officers is governed by </w:t>
      </w:r>
      <w:hyperlink r:id="rId12" w:history="1">
        <w:r w:rsidRPr="00984E38">
          <w:rPr>
            <w:rStyle w:val="Hyperlink"/>
            <w:rFonts w:eastAsiaTheme="majorEastAsia" w:cstheme="majorBidi"/>
            <w:szCs w:val="26"/>
          </w:rPr>
          <w:t>The Police Service of Scotland (Conduct) Regulations 2014</w:t>
        </w:r>
      </w:hyperlink>
      <w:r w:rsidRPr="00984E38">
        <w:t>.</w:t>
      </w:r>
      <w:r w:rsidR="008A035C">
        <w:t xml:space="preserve">  </w:t>
      </w:r>
      <w:r w:rsidRPr="00984E38">
        <w:t xml:space="preserve">The </w:t>
      </w:r>
      <w:r w:rsidR="008A035C">
        <w:t>associated</w:t>
      </w:r>
      <w:r w:rsidRPr="00984E38">
        <w:t xml:space="preserve"> </w:t>
      </w:r>
      <w:hyperlink r:id="rId13" w:history="1">
        <w:r w:rsidRPr="00984E38">
          <w:rPr>
            <w:rStyle w:val="Hyperlink"/>
            <w:rFonts w:eastAsiaTheme="majorEastAsia" w:cstheme="majorBidi"/>
            <w:szCs w:val="26"/>
          </w:rPr>
          <w:t>Scottish Government Guidance Document</w:t>
        </w:r>
      </w:hyperlink>
      <w:r w:rsidRPr="00984E38">
        <w:t xml:space="preserve"> provides further information on the Conduct process and conduct cases are categorised in line with </w:t>
      </w:r>
      <w:r w:rsidR="00E43518">
        <w:t>the regulated</w:t>
      </w:r>
      <w:r w:rsidRPr="00984E38">
        <w:t xml:space="preserve"> </w:t>
      </w:r>
      <w:hyperlink r:id="rId14" w:history="1">
        <w:r w:rsidRPr="00984E38">
          <w:rPr>
            <w:rStyle w:val="Hyperlink"/>
            <w:rFonts w:eastAsiaTheme="majorEastAsia" w:cstheme="majorBidi"/>
            <w:szCs w:val="26"/>
          </w:rPr>
          <w:t>Standards of Professional Behaviour</w:t>
        </w:r>
      </w:hyperlink>
      <w:r w:rsidRPr="00984E38">
        <w:t>.</w:t>
      </w:r>
    </w:p>
    <w:p w14:paraId="0B84DD8B" w14:textId="53FFFC10" w:rsidR="00984E38" w:rsidRPr="00984E38" w:rsidRDefault="00205919" w:rsidP="00984E38">
      <w:r>
        <w:t>The Complaint process and the C</w:t>
      </w:r>
      <w:r w:rsidR="00984E38" w:rsidRPr="00984E38">
        <w:t xml:space="preserve">onduct process are distinct from each other and both have separate assessment and recording processes within the Professional Standards Department (PSD) database. </w:t>
      </w:r>
    </w:p>
    <w:p w14:paraId="370FC7E7" w14:textId="77777777" w:rsidR="00984E38" w:rsidRDefault="00984E38" w:rsidP="00984E38">
      <w:r w:rsidRPr="00984E38">
        <w:t>Once complaint matters are concluded, the circumstances may be referred for a Conduct Assessment (not necessarily every aspect of the complaint, or every officer involved).</w:t>
      </w:r>
    </w:p>
    <w:p w14:paraId="650BA747" w14:textId="666BF046" w:rsidR="008A035C" w:rsidRDefault="00984E38" w:rsidP="00984E38">
      <w:r w:rsidRPr="00984E38">
        <w:lastRenderedPageBreak/>
        <w:t>There is therefore potential for the same individual/</w:t>
      </w:r>
      <w:r w:rsidR="008A035C">
        <w:t xml:space="preserve"> </w:t>
      </w:r>
      <w:r w:rsidRPr="00984E38">
        <w:t xml:space="preserve">circumstances to appear on a complaint case and a conduct case. </w:t>
      </w:r>
      <w:r>
        <w:t xml:space="preserve"> </w:t>
      </w:r>
    </w:p>
    <w:p w14:paraId="754F38DA" w14:textId="2194D066" w:rsidR="00984E38" w:rsidRPr="00984E38" w:rsidRDefault="00984E38" w:rsidP="00984E38">
      <w:r w:rsidRPr="00984E38">
        <w:t xml:space="preserve">Due to these processes, complaints and conduct matters cannot simply be added together. </w:t>
      </w:r>
    </w:p>
    <w:p w14:paraId="7C4FF69E" w14:textId="77777777" w:rsidR="008A035C" w:rsidRDefault="00984E38" w:rsidP="00984E38">
      <w:r w:rsidRPr="00984E38">
        <w:t xml:space="preserve">There can be one or more allegations contained within one complaint case and equally, there can be one or more subject officer relative to each allegation. </w:t>
      </w:r>
      <w:r>
        <w:t xml:space="preserve"> </w:t>
      </w:r>
    </w:p>
    <w:p w14:paraId="1799188A" w14:textId="77777777" w:rsidR="008A035C" w:rsidRDefault="00984E38" w:rsidP="00984E38">
      <w:r w:rsidRPr="00984E38">
        <w:t xml:space="preserve">Conduct cases may contain multiple allegations but are limited to one subject officer per case. </w:t>
      </w:r>
      <w:r>
        <w:t xml:space="preserve"> </w:t>
      </w:r>
    </w:p>
    <w:p w14:paraId="6100A28F" w14:textId="77777777" w:rsidR="008A035C" w:rsidRDefault="00984E38" w:rsidP="00984E38">
      <w:r w:rsidRPr="00984E38">
        <w:t xml:space="preserve">Subject officers are counted once per conduct case however the same officer may be subject to multiple cases and therefore may appear more than once. </w:t>
      </w:r>
      <w:r>
        <w:t xml:space="preserve"> </w:t>
      </w:r>
    </w:p>
    <w:p w14:paraId="1F2DA4ED" w14:textId="674F1C61" w:rsidR="00984E38" w:rsidRDefault="00984E38" w:rsidP="00984E38">
      <w:r w:rsidRPr="00984E38">
        <w:t xml:space="preserve">Each case may involve multiple allegations and (for complaints only) each allegation may be linked to multiple subject officers. </w:t>
      </w:r>
    </w:p>
    <w:p w14:paraId="28C3F179" w14:textId="456EB457" w:rsidR="00AA409B" w:rsidRDefault="00AA409B" w:rsidP="00AA409B">
      <w:r>
        <w:t xml:space="preserve">Whilst Police Scotland do not use the recording category ‘sexual misconduct’, the PSD database holds a ‘sexual circumstance’ marker that can be appended to any conduct or complaint case containing allegations which are perceived to contain a sexual element, whether physical or non-physical, criminal or non-criminal. </w:t>
      </w:r>
    </w:p>
    <w:p w14:paraId="2DA186FA" w14:textId="076877D0" w:rsidR="00AA409B" w:rsidRPr="00984E38" w:rsidRDefault="00AA409B" w:rsidP="00984E38">
      <w:r>
        <w:t>For the purpose of your request, cases to which this specific marker applies have been extracted.</w:t>
      </w:r>
    </w:p>
    <w:p w14:paraId="6DADD20D" w14:textId="660C2BCC" w:rsidR="00984E38" w:rsidRDefault="00085AD0" w:rsidP="00984E38">
      <w:r>
        <w:t>The tables provided</w:t>
      </w:r>
      <w:r w:rsidR="00984E38" w:rsidRPr="00984E38">
        <w:t xml:space="preserve"> detail complaint allegations involving a sexual circumstance</w:t>
      </w:r>
      <w:r w:rsidR="00984E38">
        <w:t>,</w:t>
      </w:r>
      <w:r w:rsidR="00984E38" w:rsidRPr="00984E38">
        <w:t xml:space="preserve"> received between 01/10/2022 and 01/10/2023 inclusive. </w:t>
      </w:r>
    </w:p>
    <w:p w14:paraId="2DB78CB2" w14:textId="44097FF4" w:rsidR="00984E38" w:rsidRPr="00984E38" w:rsidRDefault="00984E38" w:rsidP="00984E38">
      <w:r w:rsidRPr="00984E38">
        <w:t xml:space="preserve">These are broken down by the complainer type linked to </w:t>
      </w:r>
      <w:r w:rsidR="00E43518">
        <w:t>those allegations i.e. whether p</w:t>
      </w:r>
      <w:r w:rsidRPr="00984E38">
        <w:t>olice employees</w:t>
      </w:r>
      <w:r w:rsidR="006A148A">
        <w:t xml:space="preserve"> </w:t>
      </w:r>
      <w:r w:rsidRPr="00984E38">
        <w:t xml:space="preserve">or members of the public. </w:t>
      </w:r>
    </w:p>
    <w:p w14:paraId="083FACBD" w14:textId="7E4BF8C7" w:rsidR="00984E38" w:rsidRDefault="00E43518" w:rsidP="00984E38">
      <w:r>
        <w:t xml:space="preserve">Please </w:t>
      </w:r>
      <w:r w:rsidR="00984E38" w:rsidRPr="00984E38">
        <w:t>note that your second question s</w:t>
      </w:r>
      <w:r w:rsidR="00DF7D63">
        <w:t>pecifies complaints “regarding p</w:t>
      </w:r>
      <w:r w:rsidR="00984E38" w:rsidRPr="00984E38">
        <w:t xml:space="preserve">olice officers” and your first question does not. </w:t>
      </w:r>
      <w:r w:rsidR="00984E38">
        <w:t xml:space="preserve"> </w:t>
      </w:r>
      <w:r w:rsidR="00984E38" w:rsidRPr="00984E38">
        <w:t xml:space="preserve">In effect, the second question would therefore require the exclusion of any complaint allegations against members of Police staff and the first question would not. </w:t>
      </w:r>
      <w:r w:rsidR="00984E38">
        <w:t xml:space="preserve"> </w:t>
      </w:r>
    </w:p>
    <w:p w14:paraId="13F4D216" w14:textId="04F00422" w:rsidR="00984E38" w:rsidRDefault="00984E38" w:rsidP="00984E38">
      <w:r w:rsidRPr="00984E38">
        <w:t xml:space="preserve">To provide </w:t>
      </w:r>
      <w:r w:rsidR="00E43518">
        <w:t>clarity, I can confirm that no c</w:t>
      </w:r>
      <w:r w:rsidRPr="00984E38">
        <w:t>omplaint allegation involving a sexual circumstance within this</w:t>
      </w:r>
      <w:r w:rsidR="00E43518">
        <w:t xml:space="preserve"> period relates to a member of p</w:t>
      </w:r>
      <w:r w:rsidRPr="00984E38">
        <w:t xml:space="preserve">olice staff as being </w:t>
      </w:r>
      <w:r w:rsidRPr="00205919">
        <w:rPr>
          <w:i/>
        </w:rPr>
        <w:t>subject</w:t>
      </w:r>
      <w:r w:rsidRPr="00984E38">
        <w:t xml:space="preserve"> t</w:t>
      </w:r>
      <w:r w:rsidR="00F94B4F">
        <w:t>o</w:t>
      </w:r>
      <w:r w:rsidR="00E43518">
        <w:t xml:space="preserve"> a</w:t>
      </w:r>
      <w:r w:rsidR="00F94B4F">
        <w:t xml:space="preserve"> complaint.</w:t>
      </w:r>
    </w:p>
    <w:p w14:paraId="06DB47EC" w14:textId="77777777" w:rsidR="00E43518" w:rsidRPr="002C1CDF" w:rsidRDefault="00E43518" w:rsidP="00984E38">
      <w:pPr>
        <w:rPr>
          <w:color w:val="FF0000"/>
        </w:rPr>
      </w:pPr>
    </w:p>
    <w:p w14:paraId="689DEBAB" w14:textId="2357FFC4" w:rsidR="00984E38" w:rsidRPr="00984E38" w:rsidRDefault="00984E38" w:rsidP="00984E38">
      <w:r w:rsidRPr="00984E38">
        <w:rPr>
          <w:i/>
          <w:iCs/>
        </w:rPr>
        <w:lastRenderedPageBreak/>
        <w:t>Allegations in</w:t>
      </w:r>
      <w:r w:rsidR="00424759">
        <w:rPr>
          <w:i/>
          <w:iCs/>
        </w:rPr>
        <w:t>volving a sexual circumstance (C</w:t>
      </w:r>
      <w:r w:rsidRPr="00984E38">
        <w:rPr>
          <w:i/>
          <w:iCs/>
        </w:rPr>
        <w:t xml:space="preserve">omplaints) received 01/10/2022 – 01/10/2023 inclusive, by allegation type and complainer type </w:t>
      </w:r>
      <w:r w:rsidRPr="00984E38">
        <w:rPr>
          <w:i/>
          <w:iCs/>
          <w:vertAlign w:val="superscript"/>
        </w:rPr>
        <w:t>1</w:t>
      </w: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957"/>
        <w:gridCol w:w="2268"/>
        <w:gridCol w:w="2418"/>
      </w:tblGrid>
      <w:tr w:rsidR="00984E38" w:rsidRPr="00984E38" w14:paraId="4F9062A9" w14:textId="77777777" w:rsidTr="004A51D8">
        <w:trPr>
          <w:trHeight w:val="20"/>
        </w:trPr>
        <w:tc>
          <w:tcPr>
            <w:tcW w:w="4957" w:type="dxa"/>
            <w:vMerge w:val="restart"/>
            <w:shd w:val="clear" w:color="auto" w:fill="D9D9D9" w:themeFill="background1" w:themeFillShade="D9"/>
          </w:tcPr>
          <w:p w14:paraId="4521217A" w14:textId="08614C3F" w:rsidR="00984E38" w:rsidRPr="00984E38" w:rsidRDefault="00984E38" w:rsidP="004A51D8">
            <w:pPr>
              <w:spacing w:line="240" w:lineRule="auto"/>
              <w:rPr>
                <w:b/>
              </w:rPr>
            </w:pPr>
            <w:r w:rsidRPr="00984E38">
              <w:rPr>
                <w:b/>
              </w:rPr>
              <w:t>Allegation Type</w:t>
            </w:r>
          </w:p>
        </w:tc>
        <w:tc>
          <w:tcPr>
            <w:tcW w:w="4686" w:type="dxa"/>
            <w:gridSpan w:val="2"/>
            <w:shd w:val="clear" w:color="auto" w:fill="D9D9D9" w:themeFill="background1" w:themeFillShade="D9"/>
          </w:tcPr>
          <w:p w14:paraId="700D76B8" w14:textId="3EFF3050" w:rsidR="00984E38" w:rsidRPr="00984E38" w:rsidRDefault="00984E38" w:rsidP="004A51D8">
            <w:pPr>
              <w:spacing w:line="240" w:lineRule="auto"/>
              <w:rPr>
                <w:b/>
              </w:rPr>
            </w:pPr>
            <w:r w:rsidRPr="00984E38">
              <w:rPr>
                <w:b/>
              </w:rPr>
              <w:t>No. of</w:t>
            </w:r>
            <w:r w:rsidR="00E55E3F">
              <w:rPr>
                <w:b/>
              </w:rPr>
              <w:t xml:space="preserve"> alle</w:t>
            </w:r>
            <w:r w:rsidR="00886B6A">
              <w:rPr>
                <w:b/>
              </w:rPr>
              <w:t>gations by C</w:t>
            </w:r>
            <w:r w:rsidR="00E55E3F">
              <w:rPr>
                <w:b/>
              </w:rPr>
              <w:t>omplainer type</w:t>
            </w:r>
          </w:p>
        </w:tc>
      </w:tr>
      <w:tr w:rsidR="00984E38" w:rsidRPr="00984E38" w14:paraId="2A3F6D54" w14:textId="77777777" w:rsidTr="004A51D8">
        <w:trPr>
          <w:trHeight w:val="20"/>
        </w:trPr>
        <w:tc>
          <w:tcPr>
            <w:tcW w:w="4957" w:type="dxa"/>
            <w:vMerge/>
            <w:shd w:val="clear" w:color="auto" w:fill="D9D9D9" w:themeFill="background1" w:themeFillShade="D9"/>
          </w:tcPr>
          <w:p w14:paraId="0D66EC85" w14:textId="70585928" w:rsidR="00984E38" w:rsidRPr="00984E38" w:rsidRDefault="00984E38" w:rsidP="004A51D8">
            <w:pPr>
              <w:spacing w:line="240" w:lineRule="auto"/>
              <w:rPr>
                <w:b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08C6549" w14:textId="2E6D0E97" w:rsidR="00984E38" w:rsidRPr="00984E38" w:rsidRDefault="00984E38" w:rsidP="004A51D8">
            <w:pPr>
              <w:spacing w:line="240" w:lineRule="auto"/>
              <w:rPr>
                <w:b/>
              </w:rPr>
            </w:pPr>
            <w:r w:rsidRPr="00984E38">
              <w:rPr>
                <w:b/>
              </w:rPr>
              <w:t>Member of Public</w:t>
            </w:r>
          </w:p>
        </w:tc>
        <w:tc>
          <w:tcPr>
            <w:tcW w:w="2418" w:type="dxa"/>
            <w:shd w:val="clear" w:color="auto" w:fill="D9D9D9" w:themeFill="background1" w:themeFillShade="D9"/>
          </w:tcPr>
          <w:p w14:paraId="6516797C" w14:textId="245C0B7E" w:rsidR="00984E38" w:rsidRPr="00984E38" w:rsidRDefault="00984E38" w:rsidP="004A51D8">
            <w:pPr>
              <w:spacing w:line="240" w:lineRule="auto"/>
              <w:rPr>
                <w:b/>
              </w:rPr>
            </w:pPr>
            <w:r w:rsidRPr="00984E38">
              <w:rPr>
                <w:b/>
              </w:rPr>
              <w:t xml:space="preserve">Police </w:t>
            </w:r>
          </w:p>
        </w:tc>
      </w:tr>
      <w:tr w:rsidR="00984E38" w:rsidRPr="00984E38" w14:paraId="184F3085" w14:textId="77777777" w:rsidTr="00984E38">
        <w:trPr>
          <w:trHeight w:val="310"/>
        </w:trPr>
        <w:tc>
          <w:tcPr>
            <w:tcW w:w="4957" w:type="dxa"/>
          </w:tcPr>
          <w:p w14:paraId="5E51FCD7" w14:textId="77777777" w:rsidR="00984E38" w:rsidRPr="00984E38" w:rsidRDefault="00984E38" w:rsidP="00984E38">
            <w:pPr>
              <w:spacing w:line="276" w:lineRule="auto"/>
            </w:pPr>
            <w:r w:rsidRPr="00984E38">
              <w:t>Assault</w:t>
            </w:r>
          </w:p>
        </w:tc>
        <w:tc>
          <w:tcPr>
            <w:tcW w:w="2268" w:type="dxa"/>
          </w:tcPr>
          <w:p w14:paraId="0A5DAF55" w14:textId="77777777" w:rsidR="00984E38" w:rsidRPr="00984E38" w:rsidRDefault="00984E38" w:rsidP="00984E38">
            <w:pPr>
              <w:spacing w:line="276" w:lineRule="auto"/>
            </w:pPr>
            <w:r w:rsidRPr="00984E38">
              <w:t>1</w:t>
            </w:r>
          </w:p>
        </w:tc>
        <w:tc>
          <w:tcPr>
            <w:tcW w:w="2418" w:type="dxa"/>
          </w:tcPr>
          <w:p w14:paraId="471C0095" w14:textId="77777777" w:rsidR="00984E38" w:rsidRPr="00984E38" w:rsidRDefault="00984E38" w:rsidP="00984E38">
            <w:pPr>
              <w:spacing w:line="276" w:lineRule="auto"/>
            </w:pPr>
            <w:r w:rsidRPr="00984E38">
              <w:t>0</w:t>
            </w:r>
          </w:p>
        </w:tc>
      </w:tr>
      <w:tr w:rsidR="00984E38" w:rsidRPr="00984E38" w14:paraId="30D438B7" w14:textId="77777777" w:rsidTr="00984E38">
        <w:trPr>
          <w:trHeight w:val="310"/>
        </w:trPr>
        <w:tc>
          <w:tcPr>
            <w:tcW w:w="4957" w:type="dxa"/>
          </w:tcPr>
          <w:p w14:paraId="3105105F" w14:textId="77777777" w:rsidR="00984E38" w:rsidRPr="00984E38" w:rsidRDefault="00984E38" w:rsidP="00984E38">
            <w:pPr>
              <w:spacing w:line="276" w:lineRule="auto"/>
            </w:pPr>
            <w:r w:rsidRPr="00984E38">
              <w:t>Incivility</w:t>
            </w:r>
          </w:p>
        </w:tc>
        <w:tc>
          <w:tcPr>
            <w:tcW w:w="2268" w:type="dxa"/>
          </w:tcPr>
          <w:p w14:paraId="2A51CCE0" w14:textId="77777777" w:rsidR="00984E38" w:rsidRPr="00984E38" w:rsidRDefault="00984E38" w:rsidP="00984E38">
            <w:pPr>
              <w:spacing w:line="276" w:lineRule="auto"/>
            </w:pPr>
            <w:r w:rsidRPr="00984E38">
              <w:t>1</w:t>
            </w:r>
          </w:p>
        </w:tc>
        <w:tc>
          <w:tcPr>
            <w:tcW w:w="2418" w:type="dxa"/>
          </w:tcPr>
          <w:p w14:paraId="1F2D8857" w14:textId="77777777" w:rsidR="00984E38" w:rsidRPr="00984E38" w:rsidRDefault="00984E38" w:rsidP="00984E38">
            <w:pPr>
              <w:spacing w:line="276" w:lineRule="auto"/>
            </w:pPr>
            <w:r w:rsidRPr="00984E38">
              <w:t>0</w:t>
            </w:r>
          </w:p>
        </w:tc>
      </w:tr>
      <w:tr w:rsidR="00984E38" w:rsidRPr="00984E38" w14:paraId="462E7285" w14:textId="77777777" w:rsidTr="00984E38">
        <w:trPr>
          <w:trHeight w:val="310"/>
        </w:trPr>
        <w:tc>
          <w:tcPr>
            <w:tcW w:w="4957" w:type="dxa"/>
          </w:tcPr>
          <w:p w14:paraId="5890866B" w14:textId="77777777" w:rsidR="00984E38" w:rsidRPr="00984E38" w:rsidRDefault="00984E38" w:rsidP="00984E38">
            <w:pPr>
              <w:spacing w:line="276" w:lineRule="auto"/>
            </w:pPr>
            <w:r w:rsidRPr="00984E38">
              <w:t>Irregularity in Procedure - Other</w:t>
            </w:r>
          </w:p>
        </w:tc>
        <w:tc>
          <w:tcPr>
            <w:tcW w:w="2268" w:type="dxa"/>
          </w:tcPr>
          <w:p w14:paraId="3B818AB7" w14:textId="693210F2" w:rsidR="00984E38" w:rsidRPr="00984E38" w:rsidRDefault="00D92C5F" w:rsidP="00984E38">
            <w:pPr>
              <w:spacing w:line="276" w:lineRule="auto"/>
            </w:pPr>
            <w:r>
              <w:t>1</w:t>
            </w:r>
          </w:p>
        </w:tc>
        <w:tc>
          <w:tcPr>
            <w:tcW w:w="2418" w:type="dxa"/>
          </w:tcPr>
          <w:p w14:paraId="73B37222" w14:textId="77777777" w:rsidR="00984E38" w:rsidRPr="00984E38" w:rsidRDefault="00984E38" w:rsidP="00984E38">
            <w:pPr>
              <w:spacing w:line="276" w:lineRule="auto"/>
            </w:pPr>
            <w:r w:rsidRPr="00984E38">
              <w:t>0</w:t>
            </w:r>
          </w:p>
        </w:tc>
      </w:tr>
      <w:tr w:rsidR="00984E38" w:rsidRPr="00984E38" w14:paraId="046C4DDF" w14:textId="77777777" w:rsidTr="00984E38">
        <w:trPr>
          <w:trHeight w:val="310"/>
        </w:trPr>
        <w:tc>
          <w:tcPr>
            <w:tcW w:w="4957" w:type="dxa"/>
          </w:tcPr>
          <w:p w14:paraId="7EEC2F01" w14:textId="77777777" w:rsidR="00984E38" w:rsidRPr="00984E38" w:rsidRDefault="00984E38" w:rsidP="00984E38">
            <w:pPr>
              <w:spacing w:line="276" w:lineRule="auto"/>
            </w:pPr>
            <w:r w:rsidRPr="00984E38">
              <w:t>Irregularity in Procedure - Search procedures - persons or property</w:t>
            </w:r>
          </w:p>
        </w:tc>
        <w:tc>
          <w:tcPr>
            <w:tcW w:w="2268" w:type="dxa"/>
          </w:tcPr>
          <w:p w14:paraId="45D43FA2" w14:textId="77777777" w:rsidR="00984E38" w:rsidRPr="00984E38" w:rsidRDefault="00984E38" w:rsidP="00984E38">
            <w:pPr>
              <w:spacing w:line="276" w:lineRule="auto"/>
            </w:pPr>
            <w:r w:rsidRPr="00984E38">
              <w:t>1</w:t>
            </w:r>
          </w:p>
        </w:tc>
        <w:tc>
          <w:tcPr>
            <w:tcW w:w="2418" w:type="dxa"/>
          </w:tcPr>
          <w:p w14:paraId="7A9A16DE" w14:textId="77777777" w:rsidR="00984E38" w:rsidRPr="00984E38" w:rsidRDefault="00984E38" w:rsidP="00984E38">
            <w:pPr>
              <w:spacing w:line="276" w:lineRule="auto"/>
            </w:pPr>
            <w:r w:rsidRPr="00984E38">
              <w:t>0</w:t>
            </w:r>
          </w:p>
        </w:tc>
      </w:tr>
      <w:tr w:rsidR="00984E38" w:rsidRPr="00984E38" w14:paraId="58D0E452" w14:textId="77777777" w:rsidTr="00984E38">
        <w:trPr>
          <w:trHeight w:val="310"/>
        </w:trPr>
        <w:tc>
          <w:tcPr>
            <w:tcW w:w="4957" w:type="dxa"/>
          </w:tcPr>
          <w:p w14:paraId="49F40401" w14:textId="77777777" w:rsidR="00984E38" w:rsidRPr="00984E38" w:rsidRDefault="00984E38" w:rsidP="00984E38">
            <w:pPr>
              <w:spacing w:line="276" w:lineRule="auto"/>
            </w:pPr>
            <w:r w:rsidRPr="00984E38">
              <w:t>Indecent assault</w:t>
            </w:r>
          </w:p>
        </w:tc>
        <w:tc>
          <w:tcPr>
            <w:tcW w:w="2268" w:type="dxa"/>
          </w:tcPr>
          <w:p w14:paraId="314A89B5" w14:textId="77777777" w:rsidR="00984E38" w:rsidRPr="00984E38" w:rsidRDefault="00984E38" w:rsidP="00984E38">
            <w:pPr>
              <w:spacing w:line="276" w:lineRule="auto"/>
            </w:pPr>
            <w:r w:rsidRPr="00984E38">
              <w:t>6</w:t>
            </w:r>
          </w:p>
        </w:tc>
        <w:tc>
          <w:tcPr>
            <w:tcW w:w="2418" w:type="dxa"/>
          </w:tcPr>
          <w:p w14:paraId="1391BB73" w14:textId="77777777" w:rsidR="00984E38" w:rsidRPr="00984E38" w:rsidRDefault="00984E38" w:rsidP="00984E38">
            <w:pPr>
              <w:spacing w:line="276" w:lineRule="auto"/>
            </w:pPr>
            <w:r w:rsidRPr="00984E38">
              <w:t>0</w:t>
            </w:r>
          </w:p>
        </w:tc>
      </w:tr>
      <w:tr w:rsidR="00984E38" w:rsidRPr="00984E38" w14:paraId="45CA0DA7" w14:textId="77777777" w:rsidTr="00984E38">
        <w:trPr>
          <w:trHeight w:val="310"/>
        </w:trPr>
        <w:tc>
          <w:tcPr>
            <w:tcW w:w="4957" w:type="dxa"/>
          </w:tcPr>
          <w:p w14:paraId="60D40ACF" w14:textId="77777777" w:rsidR="00984E38" w:rsidRPr="00984E38" w:rsidRDefault="00984E38" w:rsidP="00984E38">
            <w:pPr>
              <w:spacing w:line="276" w:lineRule="auto"/>
            </w:pPr>
            <w:r w:rsidRPr="00984E38">
              <w:rPr>
                <w:bCs/>
              </w:rPr>
              <w:t>Grand Total</w:t>
            </w:r>
          </w:p>
        </w:tc>
        <w:tc>
          <w:tcPr>
            <w:tcW w:w="2268" w:type="dxa"/>
          </w:tcPr>
          <w:p w14:paraId="41AF8C0E" w14:textId="77777777" w:rsidR="00984E38" w:rsidRPr="00984E38" w:rsidRDefault="00984E38" w:rsidP="00984E38">
            <w:pPr>
              <w:spacing w:line="276" w:lineRule="auto"/>
            </w:pPr>
            <w:r w:rsidRPr="00984E38">
              <w:rPr>
                <w:bCs/>
              </w:rPr>
              <w:t>10</w:t>
            </w:r>
          </w:p>
        </w:tc>
        <w:tc>
          <w:tcPr>
            <w:tcW w:w="2418" w:type="dxa"/>
          </w:tcPr>
          <w:p w14:paraId="069CBB4C" w14:textId="77777777" w:rsidR="00984E38" w:rsidRPr="00984E38" w:rsidRDefault="00984E38" w:rsidP="00984E38">
            <w:pPr>
              <w:spacing w:line="276" w:lineRule="auto"/>
            </w:pPr>
            <w:r w:rsidRPr="00984E38">
              <w:rPr>
                <w:bCs/>
              </w:rPr>
              <w:t>0</w:t>
            </w:r>
          </w:p>
        </w:tc>
      </w:tr>
    </w:tbl>
    <w:p w14:paraId="7BB4F8B3" w14:textId="1337C5D7" w:rsidR="00984E38" w:rsidRDefault="00984E38" w:rsidP="00984E38">
      <w:pPr>
        <w:rPr>
          <w:i/>
          <w:iCs/>
          <w:sz w:val="20"/>
          <w:szCs w:val="20"/>
        </w:rPr>
      </w:pPr>
      <w:r w:rsidRPr="00984E38">
        <w:rPr>
          <w:i/>
          <w:iCs/>
          <w:sz w:val="20"/>
          <w:szCs w:val="20"/>
        </w:rPr>
        <w:t xml:space="preserve">1 Data is based on the case received date. </w:t>
      </w:r>
    </w:p>
    <w:p w14:paraId="5FB3DFFE" w14:textId="638AD557" w:rsidR="00984E38" w:rsidRDefault="00984E38" w:rsidP="00984E38">
      <w:r w:rsidRPr="00984E38">
        <w:t xml:space="preserve">As per the </w:t>
      </w:r>
      <w:r w:rsidR="00085AD0">
        <w:t xml:space="preserve">previous </w:t>
      </w:r>
      <w:r w:rsidR="004A51D8">
        <w:t>explanation</w:t>
      </w:r>
      <w:r w:rsidRPr="00984E38">
        <w:t xml:space="preserve"> in relation to the </w:t>
      </w:r>
      <w:r w:rsidR="00085AD0">
        <w:t>p</w:t>
      </w:r>
      <w:r w:rsidR="008A035C">
        <w:t xml:space="preserve">olice officer </w:t>
      </w:r>
      <w:r w:rsidRPr="00984E38">
        <w:t>conduct process</w:t>
      </w:r>
      <w:r w:rsidR="008A035C">
        <w:t>es</w:t>
      </w:r>
      <w:r w:rsidRPr="00984E38">
        <w:t xml:space="preserve">, </w:t>
      </w:r>
      <w:r w:rsidR="00085AD0">
        <w:t>details are also provided</w:t>
      </w:r>
      <w:r w:rsidR="00E43518">
        <w:t xml:space="preserve"> </w:t>
      </w:r>
      <w:r w:rsidR="008A035C">
        <w:t xml:space="preserve">of </w:t>
      </w:r>
      <w:r w:rsidR="00720A60">
        <w:t>C</w:t>
      </w:r>
      <w:r w:rsidRPr="00984E38">
        <w:t xml:space="preserve">onduct allegations involving a sexual circumstance received between 01/10/2022 and 01/10/2023 inclusive. </w:t>
      </w:r>
    </w:p>
    <w:p w14:paraId="26D45F2F" w14:textId="61D881F5" w:rsidR="00984E38" w:rsidRPr="00984E38" w:rsidRDefault="00984E38" w:rsidP="00984E38">
      <w:r w:rsidRPr="00984E38">
        <w:t xml:space="preserve">These are broken down by allegation type, which are </w:t>
      </w:r>
      <w:r w:rsidR="004A51D8">
        <w:t>in accordance</w:t>
      </w:r>
      <w:r w:rsidRPr="00984E38">
        <w:t xml:space="preserve"> with</w:t>
      </w:r>
      <w:r w:rsidR="00E43518">
        <w:t xml:space="preserve"> the regulated</w:t>
      </w:r>
      <w:r w:rsidRPr="00984E38">
        <w:t xml:space="preserve"> </w:t>
      </w:r>
      <w:hyperlink r:id="rId15" w:history="1">
        <w:r w:rsidR="004A51D8" w:rsidRPr="00984E38">
          <w:rPr>
            <w:rStyle w:val="Hyperlink"/>
            <w:rFonts w:eastAsiaTheme="majorEastAsia" w:cstheme="majorBidi"/>
            <w:szCs w:val="26"/>
          </w:rPr>
          <w:t>Standards of Professional Behaviour</w:t>
        </w:r>
      </w:hyperlink>
      <w:r w:rsidRPr="00984E38">
        <w:t>.</w:t>
      </w:r>
    </w:p>
    <w:p w14:paraId="23DBB914" w14:textId="5A43FF75" w:rsidR="00984E38" w:rsidRDefault="00085AD0" w:rsidP="00984E38">
      <w:r>
        <w:t>A separate</w:t>
      </w:r>
      <w:r w:rsidR="00984E38" w:rsidRPr="00984E38">
        <w:t xml:space="preserve"> count of charges linked to these conduct allegations</w:t>
      </w:r>
      <w:r>
        <w:t xml:space="preserve"> has also been provided</w:t>
      </w:r>
      <w:r w:rsidR="004A51D8">
        <w:t>, br</w:t>
      </w:r>
      <w:r w:rsidR="00984E38" w:rsidRPr="00984E38">
        <w:t xml:space="preserve">oken down by the charge categories. </w:t>
      </w:r>
    </w:p>
    <w:p w14:paraId="519BD475" w14:textId="77777777" w:rsidR="008A035C" w:rsidRDefault="00984E38" w:rsidP="00984E38">
      <w:r w:rsidRPr="00984E38">
        <w:t xml:space="preserve">Where the allegation is non-criminal in nature or where no sufficiency of evidence for criminality has been established, no charge category will be recorded. </w:t>
      </w:r>
      <w:r w:rsidR="008A035C">
        <w:t xml:space="preserve"> </w:t>
      </w:r>
    </w:p>
    <w:p w14:paraId="694C86FC" w14:textId="77777777" w:rsidR="008A035C" w:rsidRDefault="00984E38" w:rsidP="00984E38">
      <w:r w:rsidRPr="00984E38">
        <w:t>Moreover, each allegation may be linked to multiple charges, therefore the number of charges may vary from the number of allegations.</w:t>
      </w:r>
      <w:r w:rsidR="008A035C">
        <w:t xml:space="preserve">  </w:t>
      </w:r>
    </w:p>
    <w:p w14:paraId="0C3ACD8B" w14:textId="34C449B5" w:rsidR="00984E38" w:rsidRDefault="00984E38" w:rsidP="00984E38">
      <w:r w:rsidRPr="00984E38">
        <w:t xml:space="preserve">This is due to the variation in counting conventions between the Scottish Crime Recording Standards (SCRS) for any criminal offences, </w:t>
      </w:r>
      <w:r w:rsidR="008A035C">
        <w:t>in</w:t>
      </w:r>
      <w:r w:rsidRPr="00984E38">
        <w:t xml:space="preserve"> contrast to the Standards of Professional Behaviour</w:t>
      </w:r>
      <w:r w:rsidR="008A035C">
        <w:t xml:space="preserve"> used to categorise misconduct matters</w:t>
      </w:r>
      <w:r w:rsidRPr="00984E38">
        <w:t xml:space="preserve">. </w:t>
      </w:r>
    </w:p>
    <w:p w14:paraId="0AB389BF" w14:textId="3B02A2D1" w:rsidR="00984E38" w:rsidRPr="00984E38" w:rsidRDefault="00984E38" w:rsidP="00984E38">
      <w:r w:rsidRPr="00984E38">
        <w:t>No charges are recorded on Misconduct cases, which are assessed and managed in relation to The Police Service of Scotland (Conduct) Regulations 201</w:t>
      </w:r>
      <w:r w:rsidR="00424759">
        <w:t>4</w:t>
      </w:r>
      <w:r w:rsidRPr="00984E38">
        <w:t xml:space="preserve">. </w:t>
      </w:r>
    </w:p>
    <w:p w14:paraId="4730172C" w14:textId="55041377" w:rsidR="00984E38" w:rsidRPr="00984E38" w:rsidRDefault="00984E38" w:rsidP="00984E38">
      <w:r w:rsidRPr="00984E38">
        <w:lastRenderedPageBreak/>
        <w:t xml:space="preserve">Please note that complainer data is not systematically recorded on the </w:t>
      </w:r>
      <w:r w:rsidR="008A035C">
        <w:t>PSD</w:t>
      </w:r>
      <w:r w:rsidRPr="00984E38">
        <w:t xml:space="preserve"> database against conduct or misconduct cases</w:t>
      </w:r>
      <w:r w:rsidR="008A035C">
        <w:t>, t</w:t>
      </w:r>
      <w:r w:rsidRPr="00984E38">
        <w:t>herefore</w:t>
      </w:r>
      <w:r>
        <w:t xml:space="preserve"> section 17 of the Act applies</w:t>
      </w:r>
      <w:r w:rsidR="008A035C">
        <w:t xml:space="preserve"> as the information sought is not held</w:t>
      </w:r>
      <w:r>
        <w:t>.</w:t>
      </w:r>
    </w:p>
    <w:p w14:paraId="602D49F0" w14:textId="54C30B70" w:rsidR="00984E38" w:rsidRPr="00984E38" w:rsidRDefault="00984E38" w:rsidP="00984E38">
      <w:r w:rsidRPr="00984E38">
        <w:rPr>
          <w:i/>
          <w:iCs/>
        </w:rPr>
        <w:t>Allegations in</w:t>
      </w:r>
      <w:r w:rsidR="00424759">
        <w:rPr>
          <w:i/>
          <w:iCs/>
        </w:rPr>
        <w:t>volving a sexual circumstance (Conduct and M</w:t>
      </w:r>
      <w:r w:rsidRPr="00984E38">
        <w:rPr>
          <w:i/>
          <w:iCs/>
        </w:rPr>
        <w:t xml:space="preserve">isconduct) received 01/10/2022 – 01/10/2023 inclusive, by allegation type </w:t>
      </w:r>
      <w:r w:rsidRPr="00984E38">
        <w:rPr>
          <w:i/>
          <w:iCs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807"/>
        <w:gridCol w:w="3049"/>
      </w:tblGrid>
      <w:tr w:rsidR="00984E38" w:rsidRPr="00984E38" w14:paraId="6668C475" w14:textId="77777777" w:rsidTr="00984E38">
        <w:trPr>
          <w:trHeight w:val="310"/>
        </w:trPr>
        <w:tc>
          <w:tcPr>
            <w:tcW w:w="5807" w:type="dxa"/>
            <w:shd w:val="clear" w:color="auto" w:fill="D9D9D9" w:themeFill="background1" w:themeFillShade="D9"/>
          </w:tcPr>
          <w:p w14:paraId="447A6C94" w14:textId="77777777" w:rsidR="00984E38" w:rsidRPr="00984E38" w:rsidRDefault="00984E38" w:rsidP="00984E38">
            <w:pPr>
              <w:spacing w:line="276" w:lineRule="auto"/>
              <w:rPr>
                <w:b/>
              </w:rPr>
            </w:pPr>
            <w:r w:rsidRPr="00984E38">
              <w:rPr>
                <w:b/>
              </w:rPr>
              <w:t>Allegation Type</w:t>
            </w:r>
          </w:p>
        </w:tc>
        <w:tc>
          <w:tcPr>
            <w:tcW w:w="3049" w:type="dxa"/>
            <w:shd w:val="clear" w:color="auto" w:fill="D9D9D9" w:themeFill="background1" w:themeFillShade="D9"/>
          </w:tcPr>
          <w:p w14:paraId="27A4554A" w14:textId="635EA242" w:rsidR="00984E38" w:rsidRPr="00984E38" w:rsidRDefault="00984E38" w:rsidP="00984E38">
            <w:pPr>
              <w:spacing w:line="276" w:lineRule="auto"/>
              <w:rPr>
                <w:b/>
              </w:rPr>
            </w:pPr>
            <w:r w:rsidRPr="00984E38">
              <w:rPr>
                <w:b/>
              </w:rPr>
              <w:t>N</w:t>
            </w:r>
            <w:r>
              <w:rPr>
                <w:b/>
              </w:rPr>
              <w:t>o.</w:t>
            </w:r>
            <w:r w:rsidRPr="00984E38">
              <w:rPr>
                <w:b/>
              </w:rPr>
              <w:t xml:space="preserve"> of allegations</w:t>
            </w:r>
          </w:p>
        </w:tc>
      </w:tr>
      <w:tr w:rsidR="00984E38" w:rsidRPr="00984E38" w14:paraId="79C96852" w14:textId="77777777" w:rsidTr="00984E38">
        <w:trPr>
          <w:trHeight w:val="310"/>
        </w:trPr>
        <w:tc>
          <w:tcPr>
            <w:tcW w:w="5807" w:type="dxa"/>
          </w:tcPr>
          <w:p w14:paraId="5C45AEC5" w14:textId="77777777" w:rsidR="00984E38" w:rsidRPr="00984E38" w:rsidRDefault="00984E38" w:rsidP="00984E38">
            <w:pPr>
              <w:spacing w:line="276" w:lineRule="auto"/>
            </w:pPr>
            <w:r w:rsidRPr="00984E38">
              <w:t>Authority, Respect and Courtesy</w:t>
            </w:r>
          </w:p>
        </w:tc>
        <w:tc>
          <w:tcPr>
            <w:tcW w:w="3049" w:type="dxa"/>
          </w:tcPr>
          <w:p w14:paraId="784E957A" w14:textId="77777777" w:rsidR="00984E38" w:rsidRPr="00984E38" w:rsidRDefault="00984E38" w:rsidP="00984E38">
            <w:pPr>
              <w:spacing w:line="276" w:lineRule="auto"/>
            </w:pPr>
            <w:r w:rsidRPr="00984E38">
              <w:t>18</w:t>
            </w:r>
          </w:p>
        </w:tc>
      </w:tr>
      <w:tr w:rsidR="00984E38" w:rsidRPr="00984E38" w14:paraId="0C8341BD" w14:textId="77777777" w:rsidTr="00984E38">
        <w:trPr>
          <w:trHeight w:val="310"/>
        </w:trPr>
        <w:tc>
          <w:tcPr>
            <w:tcW w:w="5807" w:type="dxa"/>
          </w:tcPr>
          <w:p w14:paraId="3EB40D7F" w14:textId="77777777" w:rsidR="00984E38" w:rsidRPr="00984E38" w:rsidRDefault="00984E38" w:rsidP="00984E38">
            <w:pPr>
              <w:spacing w:line="276" w:lineRule="auto"/>
            </w:pPr>
            <w:r w:rsidRPr="00984E38">
              <w:t>Conduct likely to bring discredit</w:t>
            </w:r>
          </w:p>
        </w:tc>
        <w:tc>
          <w:tcPr>
            <w:tcW w:w="3049" w:type="dxa"/>
          </w:tcPr>
          <w:p w14:paraId="1C7696C8" w14:textId="77777777" w:rsidR="00984E38" w:rsidRPr="00984E38" w:rsidRDefault="00984E38" w:rsidP="00984E38">
            <w:pPr>
              <w:spacing w:line="276" w:lineRule="auto"/>
            </w:pPr>
            <w:r w:rsidRPr="00984E38">
              <w:t>1</w:t>
            </w:r>
          </w:p>
        </w:tc>
      </w:tr>
      <w:tr w:rsidR="00984E38" w:rsidRPr="00984E38" w14:paraId="6E944E22" w14:textId="77777777" w:rsidTr="00984E38">
        <w:trPr>
          <w:trHeight w:val="310"/>
        </w:trPr>
        <w:tc>
          <w:tcPr>
            <w:tcW w:w="5807" w:type="dxa"/>
          </w:tcPr>
          <w:p w14:paraId="227DA34A" w14:textId="77777777" w:rsidR="00984E38" w:rsidRPr="00984E38" w:rsidRDefault="00984E38" w:rsidP="00984E38">
            <w:pPr>
              <w:spacing w:line="276" w:lineRule="auto"/>
            </w:pPr>
            <w:r w:rsidRPr="00984E38">
              <w:t>Discreditable Conduct</w:t>
            </w:r>
          </w:p>
        </w:tc>
        <w:tc>
          <w:tcPr>
            <w:tcW w:w="3049" w:type="dxa"/>
          </w:tcPr>
          <w:p w14:paraId="48EE0721" w14:textId="77777777" w:rsidR="00984E38" w:rsidRPr="00984E38" w:rsidRDefault="00984E38" w:rsidP="00984E38">
            <w:pPr>
              <w:spacing w:line="276" w:lineRule="auto"/>
            </w:pPr>
            <w:r w:rsidRPr="00984E38">
              <w:t>32</w:t>
            </w:r>
          </w:p>
        </w:tc>
      </w:tr>
      <w:tr w:rsidR="00984E38" w:rsidRPr="00984E38" w14:paraId="6515F5F6" w14:textId="77777777" w:rsidTr="00984E38">
        <w:trPr>
          <w:trHeight w:val="310"/>
        </w:trPr>
        <w:tc>
          <w:tcPr>
            <w:tcW w:w="5807" w:type="dxa"/>
          </w:tcPr>
          <w:p w14:paraId="4A8663B0" w14:textId="77777777" w:rsidR="00984E38" w:rsidRPr="00984E38" w:rsidRDefault="00984E38" w:rsidP="00984E38">
            <w:pPr>
              <w:spacing w:line="276" w:lineRule="auto"/>
            </w:pPr>
            <w:r w:rsidRPr="00984E38">
              <w:t>Honesty and Integrity</w:t>
            </w:r>
          </w:p>
        </w:tc>
        <w:tc>
          <w:tcPr>
            <w:tcW w:w="3049" w:type="dxa"/>
          </w:tcPr>
          <w:p w14:paraId="20AB422A" w14:textId="77777777" w:rsidR="00984E38" w:rsidRPr="00984E38" w:rsidRDefault="00984E38" w:rsidP="00984E38">
            <w:pPr>
              <w:spacing w:line="276" w:lineRule="auto"/>
            </w:pPr>
            <w:r w:rsidRPr="00984E38">
              <w:t>4</w:t>
            </w:r>
          </w:p>
        </w:tc>
      </w:tr>
      <w:tr w:rsidR="00984E38" w:rsidRPr="00984E38" w14:paraId="52DA5FC5" w14:textId="77777777" w:rsidTr="00984E38">
        <w:trPr>
          <w:trHeight w:val="310"/>
        </w:trPr>
        <w:tc>
          <w:tcPr>
            <w:tcW w:w="5807" w:type="dxa"/>
          </w:tcPr>
          <w:p w14:paraId="1689BAC2" w14:textId="77777777" w:rsidR="00984E38" w:rsidRPr="00984E38" w:rsidRDefault="00984E38" w:rsidP="00984E38">
            <w:pPr>
              <w:spacing w:line="276" w:lineRule="auto"/>
            </w:pPr>
            <w:r w:rsidRPr="00984E38">
              <w:rPr>
                <w:bCs/>
              </w:rPr>
              <w:t>Grand Total</w:t>
            </w:r>
          </w:p>
        </w:tc>
        <w:tc>
          <w:tcPr>
            <w:tcW w:w="3049" w:type="dxa"/>
          </w:tcPr>
          <w:p w14:paraId="3CCE5687" w14:textId="77777777" w:rsidR="00984E38" w:rsidRPr="00984E38" w:rsidRDefault="00984E38" w:rsidP="00984E38">
            <w:pPr>
              <w:spacing w:line="276" w:lineRule="auto"/>
            </w:pPr>
            <w:r w:rsidRPr="00984E38">
              <w:rPr>
                <w:bCs/>
              </w:rPr>
              <w:t>55</w:t>
            </w:r>
          </w:p>
        </w:tc>
      </w:tr>
    </w:tbl>
    <w:p w14:paraId="6A5D9F83" w14:textId="5B6EE97E" w:rsidR="00984E38" w:rsidRPr="00984E38" w:rsidRDefault="00984E38" w:rsidP="00984E38">
      <w:pPr>
        <w:rPr>
          <w:i/>
          <w:iCs/>
          <w:sz w:val="20"/>
          <w:szCs w:val="20"/>
        </w:rPr>
      </w:pPr>
      <w:r w:rsidRPr="00984E38">
        <w:rPr>
          <w:i/>
          <w:iCs/>
          <w:sz w:val="20"/>
          <w:szCs w:val="20"/>
        </w:rPr>
        <w:t xml:space="preserve"> 1 Data is based on the case received date. </w:t>
      </w:r>
    </w:p>
    <w:p w14:paraId="7FD7DAE1" w14:textId="7DAC01D1" w:rsidR="00984E38" w:rsidRPr="00984E38" w:rsidRDefault="00984E38" w:rsidP="00984E38">
      <w:r w:rsidRPr="00984E38">
        <w:t xml:space="preserve"> </w:t>
      </w:r>
      <w:r w:rsidRPr="00984E38">
        <w:rPr>
          <w:i/>
          <w:iCs/>
        </w:rPr>
        <w:t>Charges linked to allegations in</w:t>
      </w:r>
      <w:r w:rsidR="00424759">
        <w:rPr>
          <w:i/>
          <w:iCs/>
        </w:rPr>
        <w:t>volving a sexual circumstance (Conduct and M</w:t>
      </w:r>
      <w:r w:rsidRPr="00984E38">
        <w:rPr>
          <w:i/>
          <w:iCs/>
        </w:rPr>
        <w:t xml:space="preserve">isconduct) received 01/10/2022 – 01/10/2023 inclusive, by charge type </w:t>
      </w:r>
      <w:r w:rsidRPr="00984E38">
        <w:rPr>
          <w:i/>
          <w:iCs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460"/>
        <w:gridCol w:w="2396"/>
      </w:tblGrid>
      <w:tr w:rsidR="00984E38" w:rsidRPr="004A51D8" w14:paraId="66D25ECC" w14:textId="77777777" w:rsidTr="008A035C">
        <w:trPr>
          <w:trHeight w:val="310"/>
          <w:tblHeader/>
        </w:trPr>
        <w:tc>
          <w:tcPr>
            <w:tcW w:w="6460" w:type="dxa"/>
            <w:shd w:val="clear" w:color="auto" w:fill="D9D9D9" w:themeFill="background1" w:themeFillShade="D9"/>
          </w:tcPr>
          <w:p w14:paraId="16F4E6B9" w14:textId="77777777" w:rsidR="00984E38" w:rsidRPr="004A51D8" w:rsidRDefault="00984E38" w:rsidP="004A51D8">
            <w:pPr>
              <w:spacing w:line="276" w:lineRule="auto"/>
              <w:rPr>
                <w:b/>
              </w:rPr>
            </w:pPr>
            <w:r w:rsidRPr="004A51D8">
              <w:rPr>
                <w:b/>
              </w:rPr>
              <w:t>Charge Type</w:t>
            </w:r>
          </w:p>
        </w:tc>
        <w:tc>
          <w:tcPr>
            <w:tcW w:w="2396" w:type="dxa"/>
            <w:shd w:val="clear" w:color="auto" w:fill="D9D9D9" w:themeFill="background1" w:themeFillShade="D9"/>
          </w:tcPr>
          <w:p w14:paraId="4C43F9C9" w14:textId="70D01D76" w:rsidR="00984E38" w:rsidRPr="004A51D8" w:rsidRDefault="00984E38" w:rsidP="004A51D8">
            <w:pPr>
              <w:spacing w:line="276" w:lineRule="auto"/>
              <w:rPr>
                <w:b/>
              </w:rPr>
            </w:pPr>
            <w:r w:rsidRPr="004A51D8">
              <w:rPr>
                <w:b/>
              </w:rPr>
              <w:t>N</w:t>
            </w:r>
            <w:r w:rsidR="004A51D8">
              <w:rPr>
                <w:b/>
              </w:rPr>
              <w:t>o.</w:t>
            </w:r>
            <w:r w:rsidRPr="004A51D8">
              <w:rPr>
                <w:b/>
              </w:rPr>
              <w:t xml:space="preserve"> of charges</w:t>
            </w:r>
          </w:p>
        </w:tc>
      </w:tr>
      <w:tr w:rsidR="00984E38" w:rsidRPr="00984E38" w14:paraId="03864825" w14:textId="77777777" w:rsidTr="004A51D8">
        <w:trPr>
          <w:trHeight w:val="310"/>
        </w:trPr>
        <w:tc>
          <w:tcPr>
            <w:tcW w:w="6460" w:type="dxa"/>
          </w:tcPr>
          <w:p w14:paraId="2F8B9C97" w14:textId="77777777" w:rsidR="00984E38" w:rsidRPr="00984E38" w:rsidRDefault="00984E38" w:rsidP="004A51D8">
            <w:pPr>
              <w:spacing w:line="276" w:lineRule="auto"/>
            </w:pPr>
            <w:r w:rsidRPr="00984E38">
              <w:t>Culpable and reckless conduct (not with firearms)</w:t>
            </w:r>
          </w:p>
        </w:tc>
        <w:tc>
          <w:tcPr>
            <w:tcW w:w="2396" w:type="dxa"/>
          </w:tcPr>
          <w:p w14:paraId="1A031696" w14:textId="77777777" w:rsidR="00984E38" w:rsidRPr="00984E38" w:rsidRDefault="00984E38" w:rsidP="004A51D8">
            <w:pPr>
              <w:spacing w:line="276" w:lineRule="auto"/>
            </w:pPr>
            <w:r w:rsidRPr="00984E38">
              <w:t>1</w:t>
            </w:r>
          </w:p>
        </w:tc>
      </w:tr>
      <w:tr w:rsidR="00984E38" w:rsidRPr="00984E38" w14:paraId="6FA3A3AE" w14:textId="77777777" w:rsidTr="004A51D8">
        <w:trPr>
          <w:trHeight w:val="310"/>
        </w:trPr>
        <w:tc>
          <w:tcPr>
            <w:tcW w:w="6460" w:type="dxa"/>
          </w:tcPr>
          <w:p w14:paraId="518A6A23" w14:textId="542B2B81" w:rsidR="00984E38" w:rsidRPr="00984E38" w:rsidRDefault="00804704" w:rsidP="004A51D8">
            <w:pPr>
              <w:spacing w:line="276" w:lineRule="auto"/>
            </w:pPr>
            <w:r>
              <w:t>T</w:t>
            </w:r>
            <w:r w:rsidR="001518F8">
              <w:t>elecommunication</w:t>
            </w:r>
            <w:r w:rsidR="00984E38" w:rsidRPr="00984E38">
              <w:t xml:space="preserve"> off</w:t>
            </w:r>
            <w:r>
              <w:t>ence</w:t>
            </w:r>
            <w:r w:rsidR="00984E38" w:rsidRPr="00984E38">
              <w:t>s</w:t>
            </w:r>
          </w:p>
        </w:tc>
        <w:tc>
          <w:tcPr>
            <w:tcW w:w="2396" w:type="dxa"/>
          </w:tcPr>
          <w:p w14:paraId="4616B17B" w14:textId="77777777" w:rsidR="00984E38" w:rsidRPr="00984E38" w:rsidRDefault="00984E38" w:rsidP="004A51D8">
            <w:pPr>
              <w:spacing w:line="276" w:lineRule="auto"/>
            </w:pPr>
            <w:r w:rsidRPr="00984E38">
              <w:t>6</w:t>
            </w:r>
          </w:p>
        </w:tc>
      </w:tr>
      <w:tr w:rsidR="00984E38" w:rsidRPr="00984E38" w14:paraId="45FBED7C" w14:textId="77777777" w:rsidTr="004A51D8">
        <w:trPr>
          <w:trHeight w:val="310"/>
        </w:trPr>
        <w:tc>
          <w:tcPr>
            <w:tcW w:w="6460" w:type="dxa"/>
          </w:tcPr>
          <w:p w14:paraId="73CB4EE8" w14:textId="77777777" w:rsidR="00984E38" w:rsidRPr="00984E38" w:rsidRDefault="00984E38" w:rsidP="004A51D8">
            <w:pPr>
              <w:spacing w:line="276" w:lineRule="auto"/>
            </w:pPr>
            <w:r w:rsidRPr="00984E38">
              <w:t>Indecent assault</w:t>
            </w:r>
          </w:p>
        </w:tc>
        <w:tc>
          <w:tcPr>
            <w:tcW w:w="2396" w:type="dxa"/>
          </w:tcPr>
          <w:p w14:paraId="599F0E7E" w14:textId="77777777" w:rsidR="00984E38" w:rsidRPr="00984E38" w:rsidRDefault="00984E38" w:rsidP="004A51D8">
            <w:pPr>
              <w:spacing w:line="276" w:lineRule="auto"/>
            </w:pPr>
            <w:r w:rsidRPr="00984E38">
              <w:t>13</w:t>
            </w:r>
          </w:p>
        </w:tc>
      </w:tr>
      <w:tr w:rsidR="00984E38" w:rsidRPr="00984E38" w14:paraId="5B26872B" w14:textId="77777777" w:rsidTr="004A51D8">
        <w:trPr>
          <w:trHeight w:val="310"/>
        </w:trPr>
        <w:tc>
          <w:tcPr>
            <w:tcW w:w="6460" w:type="dxa"/>
          </w:tcPr>
          <w:p w14:paraId="6CD29598" w14:textId="77777777" w:rsidR="00984E38" w:rsidRPr="00984E38" w:rsidRDefault="00984E38" w:rsidP="004A51D8">
            <w:pPr>
              <w:spacing w:line="276" w:lineRule="auto"/>
            </w:pPr>
            <w:r w:rsidRPr="00984E38">
              <w:t>Lewd and libidinous practices</w:t>
            </w:r>
          </w:p>
        </w:tc>
        <w:tc>
          <w:tcPr>
            <w:tcW w:w="2396" w:type="dxa"/>
          </w:tcPr>
          <w:p w14:paraId="65C1E978" w14:textId="77777777" w:rsidR="00984E38" w:rsidRPr="00984E38" w:rsidRDefault="00984E38" w:rsidP="004A51D8">
            <w:pPr>
              <w:spacing w:line="276" w:lineRule="auto"/>
            </w:pPr>
            <w:r w:rsidRPr="00984E38">
              <w:t>3</w:t>
            </w:r>
          </w:p>
        </w:tc>
      </w:tr>
      <w:tr w:rsidR="00984E38" w:rsidRPr="00984E38" w14:paraId="7BBE9A4F" w14:textId="77777777" w:rsidTr="004A51D8">
        <w:trPr>
          <w:trHeight w:val="310"/>
        </w:trPr>
        <w:tc>
          <w:tcPr>
            <w:tcW w:w="6460" w:type="dxa"/>
          </w:tcPr>
          <w:p w14:paraId="701C7002" w14:textId="77777777" w:rsidR="00984E38" w:rsidRPr="00984E38" w:rsidRDefault="00984E38" w:rsidP="004A51D8">
            <w:pPr>
              <w:spacing w:line="276" w:lineRule="auto"/>
            </w:pPr>
            <w:r w:rsidRPr="00984E38">
              <w:t>Other</w:t>
            </w:r>
          </w:p>
        </w:tc>
        <w:tc>
          <w:tcPr>
            <w:tcW w:w="2396" w:type="dxa"/>
          </w:tcPr>
          <w:p w14:paraId="0E01F271" w14:textId="77777777" w:rsidR="00984E38" w:rsidRPr="00984E38" w:rsidRDefault="00984E38" w:rsidP="004A51D8">
            <w:pPr>
              <w:spacing w:line="276" w:lineRule="auto"/>
            </w:pPr>
            <w:r w:rsidRPr="00984E38">
              <w:t>2</w:t>
            </w:r>
          </w:p>
        </w:tc>
      </w:tr>
      <w:tr w:rsidR="00984E38" w:rsidRPr="00984E38" w14:paraId="24D3D74A" w14:textId="77777777" w:rsidTr="004A51D8">
        <w:trPr>
          <w:trHeight w:val="310"/>
        </w:trPr>
        <w:tc>
          <w:tcPr>
            <w:tcW w:w="6460" w:type="dxa"/>
          </w:tcPr>
          <w:p w14:paraId="5A32D0EB" w14:textId="77777777" w:rsidR="00984E38" w:rsidRPr="00984E38" w:rsidRDefault="00984E38" w:rsidP="004A51D8">
            <w:pPr>
              <w:spacing w:line="276" w:lineRule="auto"/>
            </w:pPr>
            <w:r w:rsidRPr="00984E38">
              <w:t>Rape</w:t>
            </w:r>
          </w:p>
        </w:tc>
        <w:tc>
          <w:tcPr>
            <w:tcW w:w="2396" w:type="dxa"/>
          </w:tcPr>
          <w:p w14:paraId="6A85A9E6" w14:textId="77777777" w:rsidR="00984E38" w:rsidRPr="00984E38" w:rsidRDefault="00984E38" w:rsidP="004A51D8">
            <w:pPr>
              <w:spacing w:line="276" w:lineRule="auto"/>
            </w:pPr>
            <w:r w:rsidRPr="00984E38">
              <w:t>2</w:t>
            </w:r>
          </w:p>
        </w:tc>
      </w:tr>
      <w:tr w:rsidR="00984E38" w:rsidRPr="00984E38" w14:paraId="2DEB3C97" w14:textId="77777777" w:rsidTr="004A51D8">
        <w:trPr>
          <w:trHeight w:val="310"/>
        </w:trPr>
        <w:tc>
          <w:tcPr>
            <w:tcW w:w="6460" w:type="dxa"/>
          </w:tcPr>
          <w:p w14:paraId="6DF6F996" w14:textId="5F51CEC1" w:rsidR="00984E38" w:rsidRPr="00984E38" w:rsidRDefault="00984E38" w:rsidP="004A51D8">
            <w:pPr>
              <w:spacing w:line="276" w:lineRule="auto"/>
            </w:pPr>
            <w:r w:rsidRPr="00984E38">
              <w:t>Taking, dist</w:t>
            </w:r>
            <w:r w:rsidR="00804704">
              <w:t>ributing</w:t>
            </w:r>
            <w:r w:rsidRPr="00984E38">
              <w:t>, possession etc of indecent photos of children</w:t>
            </w:r>
          </w:p>
        </w:tc>
        <w:tc>
          <w:tcPr>
            <w:tcW w:w="2396" w:type="dxa"/>
          </w:tcPr>
          <w:p w14:paraId="36D1E92D" w14:textId="77777777" w:rsidR="00984E38" w:rsidRPr="00984E38" w:rsidRDefault="00984E38" w:rsidP="004A51D8">
            <w:pPr>
              <w:spacing w:line="276" w:lineRule="auto"/>
            </w:pPr>
            <w:r w:rsidRPr="00984E38">
              <w:t>1</w:t>
            </w:r>
          </w:p>
        </w:tc>
      </w:tr>
      <w:tr w:rsidR="00984E38" w:rsidRPr="00984E38" w14:paraId="17C06BEB" w14:textId="77777777" w:rsidTr="004A51D8">
        <w:trPr>
          <w:trHeight w:val="310"/>
        </w:trPr>
        <w:tc>
          <w:tcPr>
            <w:tcW w:w="6460" w:type="dxa"/>
          </w:tcPr>
          <w:p w14:paraId="34802D25" w14:textId="77777777" w:rsidR="00984E38" w:rsidRPr="00984E38" w:rsidRDefault="00984E38" w:rsidP="004A51D8">
            <w:pPr>
              <w:spacing w:line="276" w:lineRule="auto"/>
            </w:pPr>
            <w:r w:rsidRPr="00984E38">
              <w:rPr>
                <w:bCs/>
              </w:rPr>
              <w:t>Grand Total</w:t>
            </w:r>
          </w:p>
        </w:tc>
        <w:tc>
          <w:tcPr>
            <w:tcW w:w="2396" w:type="dxa"/>
          </w:tcPr>
          <w:p w14:paraId="3450B870" w14:textId="4A2AB4B3" w:rsidR="00984E38" w:rsidRPr="00984E38" w:rsidRDefault="00D92C5F" w:rsidP="004A51D8">
            <w:pPr>
              <w:spacing w:line="276" w:lineRule="auto"/>
            </w:pPr>
            <w:r>
              <w:rPr>
                <w:bCs/>
              </w:rPr>
              <w:t>28</w:t>
            </w:r>
          </w:p>
        </w:tc>
      </w:tr>
    </w:tbl>
    <w:p w14:paraId="2480C331" w14:textId="22B4EBB9" w:rsidR="00984E38" w:rsidRPr="008A035C" w:rsidRDefault="00984E38" w:rsidP="00984E38">
      <w:pPr>
        <w:rPr>
          <w:i/>
          <w:iCs/>
          <w:sz w:val="20"/>
          <w:szCs w:val="20"/>
        </w:rPr>
      </w:pPr>
      <w:r w:rsidRPr="008A035C">
        <w:rPr>
          <w:i/>
          <w:iCs/>
          <w:sz w:val="20"/>
          <w:szCs w:val="20"/>
        </w:rPr>
        <w:t xml:space="preserve">1 Data is based on the case received date. </w:t>
      </w:r>
    </w:p>
    <w:p w14:paraId="3A460B2C" w14:textId="5BC4B54A" w:rsidR="008A035C" w:rsidRDefault="008A035C" w:rsidP="00984E38">
      <w:pPr>
        <w:rPr>
          <w:rFonts w:eastAsiaTheme="majorEastAsia" w:cstheme="majorBidi"/>
          <w:b/>
          <w:color w:val="000000" w:themeColor="text1"/>
          <w:szCs w:val="26"/>
        </w:rPr>
      </w:pPr>
      <w:r w:rsidRPr="00984E38">
        <w:rPr>
          <w:rFonts w:eastAsiaTheme="majorEastAsia" w:cstheme="majorBidi"/>
          <w:b/>
          <w:color w:val="000000" w:themeColor="text1"/>
          <w:szCs w:val="26"/>
        </w:rPr>
        <w:t xml:space="preserve">3. How many police officers have been dismissed from the force for sexual misconduct during this period? </w:t>
      </w:r>
    </w:p>
    <w:p w14:paraId="28A5B0C0" w14:textId="04E7DEA9" w:rsidR="00984E38" w:rsidRPr="00984E38" w:rsidRDefault="000F3B69" w:rsidP="00984E38">
      <w:r>
        <w:lastRenderedPageBreak/>
        <w:t>One</w:t>
      </w:r>
      <w:r w:rsidR="00984E38" w:rsidRPr="00984E38">
        <w:t xml:space="preserve"> Police officer was dismissed in relation to an allegation involving a sexual circumstance during the period of 01/10/2022 to 01/10/2023 inclusive. </w:t>
      </w:r>
      <w:r w:rsidR="008A035C">
        <w:t xml:space="preserve"> </w:t>
      </w:r>
      <w:r w:rsidR="00984E38" w:rsidRPr="00984E38">
        <w:t xml:space="preserve">Data is based on the hearing date. </w:t>
      </w:r>
    </w:p>
    <w:p w14:paraId="34BDABBD" w14:textId="335DDC91" w:rsidR="00BF6B81" w:rsidRPr="00B11A55" w:rsidRDefault="00984E38" w:rsidP="00821577">
      <w:r w:rsidRPr="00984E38">
        <w:t xml:space="preserve">Please note that allegations concluded in this period may have been received prior to this period. </w:t>
      </w:r>
      <w:r w:rsidR="008A035C">
        <w:t xml:space="preserve"> </w:t>
      </w:r>
      <w:r w:rsidRPr="00984E38">
        <w:t xml:space="preserve">A dismissal disposal is only reached at the conclusion of a conduct or misconduct case at the hearing stage. </w:t>
      </w:r>
    </w:p>
    <w:p w14:paraId="34BDABB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7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8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9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9BBE4C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2A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513A9C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2A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BD19AF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2A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B13EDF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2A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886400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2A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0978E0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2A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9558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0F98"/>
    <w:rsid w:val="00085AD0"/>
    <w:rsid w:val="00090F3B"/>
    <w:rsid w:val="000E2F19"/>
    <w:rsid w:val="000E6526"/>
    <w:rsid w:val="000F3B69"/>
    <w:rsid w:val="00100D1E"/>
    <w:rsid w:val="00141533"/>
    <w:rsid w:val="001518F8"/>
    <w:rsid w:val="00167528"/>
    <w:rsid w:val="00195CC4"/>
    <w:rsid w:val="00205919"/>
    <w:rsid w:val="00207326"/>
    <w:rsid w:val="002175FE"/>
    <w:rsid w:val="00253DF6"/>
    <w:rsid w:val="00255F1E"/>
    <w:rsid w:val="002C1CDF"/>
    <w:rsid w:val="0036503B"/>
    <w:rsid w:val="003D6D03"/>
    <w:rsid w:val="003E12CA"/>
    <w:rsid w:val="004010DC"/>
    <w:rsid w:val="00424759"/>
    <w:rsid w:val="004341F0"/>
    <w:rsid w:val="00456324"/>
    <w:rsid w:val="00475460"/>
    <w:rsid w:val="00490317"/>
    <w:rsid w:val="00491644"/>
    <w:rsid w:val="00496A08"/>
    <w:rsid w:val="004A51D8"/>
    <w:rsid w:val="004E1605"/>
    <w:rsid w:val="004F653C"/>
    <w:rsid w:val="00540A52"/>
    <w:rsid w:val="00552A39"/>
    <w:rsid w:val="00557306"/>
    <w:rsid w:val="00611723"/>
    <w:rsid w:val="006A148A"/>
    <w:rsid w:val="006D5799"/>
    <w:rsid w:val="00720A60"/>
    <w:rsid w:val="00750D83"/>
    <w:rsid w:val="00785DBC"/>
    <w:rsid w:val="00793DD5"/>
    <w:rsid w:val="007D55F6"/>
    <w:rsid w:val="007F490F"/>
    <w:rsid w:val="00804704"/>
    <w:rsid w:val="00821577"/>
    <w:rsid w:val="0086779C"/>
    <w:rsid w:val="00874BFD"/>
    <w:rsid w:val="00886B6A"/>
    <w:rsid w:val="008964EF"/>
    <w:rsid w:val="008A035C"/>
    <w:rsid w:val="009631A4"/>
    <w:rsid w:val="00977296"/>
    <w:rsid w:val="00984E38"/>
    <w:rsid w:val="00A25E93"/>
    <w:rsid w:val="00A320FF"/>
    <w:rsid w:val="00A70AC0"/>
    <w:rsid w:val="00A84EA9"/>
    <w:rsid w:val="00AA409B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92C5F"/>
    <w:rsid w:val="00DF7D63"/>
    <w:rsid w:val="00E43518"/>
    <w:rsid w:val="00E55D79"/>
    <w:rsid w:val="00E55E3F"/>
    <w:rsid w:val="00EE2373"/>
    <w:rsid w:val="00EF4761"/>
    <w:rsid w:val="00F94B4F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4E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59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0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scot/binaries/content/documents/govscot/publications/factsheet/2018/04/conduct-and-performance-procedures-police-guidance/documents/police-guidance-conduct-procedures/police-guidance-conduct-procedures/govscot%3Adocument/Police%2BService%2Bof%2BScotland%2B%2528conduct%2529%2Bregulations%2B2014.pdf" TargetMode="External"/><Relationship Id="rId18" Type="http://schemas.openxmlformats.org/officeDocument/2006/relationships/hyperlink" Target="mailto:enquiries@itspublicknowledge.info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www.legislation.gov.uk/ssi/2014/68/contents/made" TargetMode="External"/><Relationship Id="rId17" Type="http://schemas.openxmlformats.org/officeDocument/2006/relationships/hyperlink" Target="http://www.itspublicknowledge.info/Appeal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foi@scotland.police.u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fifhh5vo/complaints-about-the-police-sop.pdf" TargetMode="Externa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s://www.scotland.police.uk/about-us/who-we-are/our-standards-of-professional-behaviour/" TargetMode="External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://www.scotland.police.uk/access-to-information/freedom-of-information/disclosure-lo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cotland.police.uk/about-us/who-we-are/our-standards-of-professional-behaviour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0e32d40b-a8f5-4c24-a46b-b72b5f0b9b52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1290</Words>
  <Characters>7354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2023-12-21T14:25:00Z</cp:lastPrinted>
  <dcterms:created xsi:type="dcterms:W3CDTF">2023-12-13T09:04:00Z</dcterms:created>
  <dcterms:modified xsi:type="dcterms:W3CDTF">2023-12-21T14:25:00Z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