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CCBF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0417E">
              <w:t>1323</w:t>
            </w:r>
          </w:p>
          <w:p w14:paraId="34BDABA6" w14:textId="1E59B0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417E">
              <w:t>12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FDD1198" w14:textId="77777777" w:rsidR="00E0417E" w:rsidRDefault="00793DD5" w:rsidP="00E0417E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C7EA1D" w14:textId="76FC15CB" w:rsidR="00E0417E" w:rsidRDefault="00E0417E" w:rsidP="00E0417E">
      <w:pPr>
        <w:pStyle w:val="Heading2"/>
      </w:pPr>
      <w:r w:rsidRPr="00E0417E">
        <w:t>Total number of crimes involving mobile phones over the last three (3) calendar years, broken down by year.</w:t>
      </w:r>
    </w:p>
    <w:p w14:paraId="6203B72A" w14:textId="77777777" w:rsidR="009502B6" w:rsidRDefault="00E0417E" w:rsidP="00E0417E">
      <w:r w:rsidRPr="00E0417E">
        <w:t>For the period covered by your request, we have no means of searching theft crime reports based on the nature of the stolen property involved</w:t>
      </w:r>
      <w:r>
        <w:t xml:space="preserve">. </w:t>
      </w:r>
    </w:p>
    <w:p w14:paraId="2FF61415" w14:textId="06463CB6" w:rsidR="00E0417E" w:rsidRDefault="00E0417E" w:rsidP="00E0417E">
      <w:r>
        <w:t>The only way would be to perform a manual search of all theft crime reports and assess for relevance; an exercise that would far exceed the cost threshold outlined within the Act.</w:t>
      </w:r>
    </w:p>
    <w:p w14:paraId="3A0745B6" w14:textId="6CD7FF03" w:rsidR="00E0417E" w:rsidRPr="00E0417E" w:rsidRDefault="00E0417E" w:rsidP="00E0417E">
      <w:r>
        <w:t xml:space="preserve">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5288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5D869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4A18B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DABF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35D4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D1CD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1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4FA6"/>
    <w:rsid w:val="00201727"/>
    <w:rsid w:val="00207326"/>
    <w:rsid w:val="00253DF6"/>
    <w:rsid w:val="00255F1E"/>
    <w:rsid w:val="002A4F59"/>
    <w:rsid w:val="002B7114"/>
    <w:rsid w:val="00332319"/>
    <w:rsid w:val="0036503B"/>
    <w:rsid w:val="00394C15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02B6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0417E"/>
    <w:rsid w:val="00E175FE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