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BF1B57">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66E8D1C4" w:rsidR="00B17211" w:rsidRPr="00B17211" w:rsidRDefault="00B17211" w:rsidP="007F490F">
            <w:r w:rsidRPr="007F490F">
              <w:rPr>
                <w:rStyle w:val="Heading2Char"/>
              </w:rPr>
              <w:t>Our reference:</w:t>
            </w:r>
            <w:r>
              <w:t xml:space="preserve">  FOI 2</w:t>
            </w:r>
            <w:r w:rsidR="00EF0FBB">
              <w:t>5</w:t>
            </w:r>
            <w:r>
              <w:t>-</w:t>
            </w:r>
            <w:r w:rsidR="00F22824">
              <w:t>2068</w:t>
            </w:r>
          </w:p>
          <w:p w14:paraId="34BDABA6" w14:textId="5A1C1421" w:rsidR="00B17211" w:rsidRDefault="00456324" w:rsidP="00EE2373">
            <w:r w:rsidRPr="007F490F">
              <w:rPr>
                <w:rStyle w:val="Heading2Char"/>
              </w:rPr>
              <w:t>Respon</w:t>
            </w:r>
            <w:r w:rsidR="007D55F6">
              <w:rPr>
                <w:rStyle w:val="Heading2Char"/>
              </w:rPr>
              <w:t>ded to:</w:t>
            </w:r>
            <w:r w:rsidR="007F490F">
              <w:t xml:space="preserve">  </w:t>
            </w:r>
            <w:r w:rsidR="00E65CA7">
              <w:t>14</w:t>
            </w:r>
            <w:r w:rsidR="00E65CA7" w:rsidRPr="00E65CA7">
              <w:rPr>
                <w:vertAlign w:val="superscript"/>
              </w:rPr>
              <w:t>th</w:t>
            </w:r>
            <w:r w:rsidR="006D5799">
              <w:t xml:space="preserve"> </w:t>
            </w:r>
            <w:r w:rsidR="00184727">
              <w:t>August</w:t>
            </w:r>
            <w:r>
              <w:t xml:space="preserve"> 202</w:t>
            </w:r>
            <w:r w:rsidR="00EF0FBB">
              <w:t>5</w:t>
            </w:r>
          </w:p>
        </w:tc>
      </w:tr>
    </w:tbl>
    <w:p w14:paraId="34BDABA8" w14:textId="77777777" w:rsidR="00793DD5" w:rsidRDefault="00793DD5" w:rsidP="009D2AA5">
      <w:pPr>
        <w:rPr>
          <w:b/>
        </w:rPr>
      </w:pPr>
      <w:r w:rsidRPr="00793DD5">
        <w:t xml:space="preserve">Your recent request for information is replicated below, together with </w:t>
      </w:r>
      <w:r w:rsidR="004341F0">
        <w:t>our</w:t>
      </w:r>
      <w:r w:rsidRPr="00793DD5">
        <w:t xml:space="preserve"> response.</w:t>
      </w:r>
    </w:p>
    <w:p w14:paraId="03763876" w14:textId="47CC4711" w:rsidR="00F22824" w:rsidRPr="00F22824" w:rsidRDefault="00F22824" w:rsidP="00F22824">
      <w:pPr>
        <w:pStyle w:val="Heading2"/>
      </w:pPr>
      <w:r w:rsidRPr="00F22824">
        <w:t>Please provide the following numbers for the last year</w:t>
      </w:r>
      <w:r w:rsidR="00D24CD3">
        <w:br/>
      </w:r>
      <w:r w:rsidRPr="00F22824">
        <w:t>Where time and cost permits please expand the date range up to the last 5 years.</w:t>
      </w:r>
    </w:p>
    <w:p w14:paraId="6960B8EB" w14:textId="77777777" w:rsidR="00F22824" w:rsidRPr="00F22824" w:rsidRDefault="00F22824" w:rsidP="00C20CAE">
      <w:pPr>
        <w:pStyle w:val="Heading2"/>
        <w:jc w:val="both"/>
      </w:pPr>
      <w:r w:rsidRPr="00F22824">
        <w:t>How many people applied for promotion from PC to Sgt</w:t>
      </w:r>
    </w:p>
    <w:p w14:paraId="27522C88" w14:textId="6358DC60" w:rsidR="00576C5E" w:rsidRDefault="00D5102B" w:rsidP="00C20CAE">
      <w:pPr>
        <w:jc w:val="both"/>
      </w:pPr>
      <w:r>
        <w:t xml:space="preserve">I can confirm that 683 Police Constables applied for promotion to Sergeant in 2024. Overall, 3,187 Police Constables have applied for promotion to Sergeant since 2020. </w:t>
      </w:r>
    </w:p>
    <w:p w14:paraId="79D4D891" w14:textId="77777777" w:rsidR="00260402" w:rsidRPr="00F22824" w:rsidRDefault="00260402" w:rsidP="00C20CAE">
      <w:pPr>
        <w:jc w:val="both"/>
      </w:pPr>
    </w:p>
    <w:p w14:paraId="0CC7F80C" w14:textId="77777777" w:rsidR="00F22824" w:rsidRDefault="00F22824" w:rsidP="00C20CAE">
      <w:pPr>
        <w:pStyle w:val="Heading2"/>
        <w:jc w:val="both"/>
      </w:pPr>
      <w:r w:rsidRPr="00F22824">
        <w:t>How many people applied for promotion from Sgt to Insp.</w:t>
      </w:r>
    </w:p>
    <w:p w14:paraId="736BBF80" w14:textId="630B397F" w:rsidR="00D5102B" w:rsidRDefault="00D5102B" w:rsidP="00C20CAE">
      <w:pPr>
        <w:jc w:val="both"/>
      </w:pPr>
      <w:r>
        <w:t xml:space="preserve">I can confirm that 431 Sergeants applied for promotion to Inspector in 2024. Overall, </w:t>
      </w:r>
      <w:r w:rsidR="00576C5E">
        <w:t>2,209 Sergeants have applied for promotion to Inspector since 2020.</w:t>
      </w:r>
    </w:p>
    <w:p w14:paraId="4D5605B5" w14:textId="77777777" w:rsidR="00D5102B" w:rsidRPr="00F22824" w:rsidRDefault="00D5102B" w:rsidP="00C20CAE">
      <w:pPr>
        <w:jc w:val="both"/>
      </w:pPr>
    </w:p>
    <w:p w14:paraId="4C55DC88" w14:textId="77777777" w:rsidR="00F22824" w:rsidRDefault="00F22824" w:rsidP="00C20CAE">
      <w:pPr>
        <w:pStyle w:val="Heading2"/>
        <w:jc w:val="both"/>
      </w:pPr>
      <w:r w:rsidRPr="00F22824">
        <w:t>What was the success / pass rates for each of the above groups.</w:t>
      </w:r>
    </w:p>
    <w:p w14:paraId="381E6532" w14:textId="3F0F49C1" w:rsidR="00576C5E" w:rsidRPr="00F22824" w:rsidRDefault="00D5102B" w:rsidP="00C20CAE">
      <w:pPr>
        <w:jc w:val="both"/>
      </w:pPr>
      <w:r>
        <w:t>I can confirm that</w:t>
      </w:r>
      <w:r w:rsidR="00576C5E">
        <w:t xml:space="preserve"> in 2024,</w:t>
      </w:r>
      <w:r>
        <w:t xml:space="preserve"> 39% of all applicants were</w:t>
      </w:r>
      <w:r w:rsidR="00260402">
        <w:t xml:space="preserve"> successfully</w:t>
      </w:r>
      <w:r>
        <w:t xml:space="preserve"> promoted to Sergeant, and </w:t>
      </w:r>
      <w:r w:rsidR="00576C5E">
        <w:t>33% of all applicants were</w:t>
      </w:r>
      <w:r w:rsidR="00260402">
        <w:t xml:space="preserve"> successfully</w:t>
      </w:r>
      <w:r w:rsidR="00576C5E">
        <w:t xml:space="preserve"> promoted to Inspector. Overall, I can confirm that since 2020, 51% of all applicants were</w:t>
      </w:r>
      <w:r w:rsidR="00260402">
        <w:t xml:space="preserve"> successfully</w:t>
      </w:r>
      <w:r w:rsidR="00576C5E">
        <w:t xml:space="preserve"> promoted to Sergeant, and 38% of all applicants were </w:t>
      </w:r>
      <w:r w:rsidR="00260402">
        <w:t xml:space="preserve">successfully </w:t>
      </w:r>
      <w:r w:rsidR="00576C5E">
        <w:t>promoted to Inspector.</w:t>
      </w:r>
    </w:p>
    <w:p w14:paraId="0A36C917" w14:textId="6208F77F" w:rsidR="00F22824" w:rsidRPr="00F22824" w:rsidRDefault="00F22824" w:rsidP="00C20CAE">
      <w:pPr>
        <w:pStyle w:val="Heading2"/>
        <w:jc w:val="both"/>
      </w:pPr>
    </w:p>
    <w:p w14:paraId="72CD279B" w14:textId="77777777" w:rsidR="00F22824" w:rsidRDefault="00F22824" w:rsidP="00BF1B57">
      <w:pPr>
        <w:pStyle w:val="Heading2"/>
      </w:pPr>
      <w:r w:rsidRPr="00F22824">
        <w:t>Where time and cost permits please include ethnicity groups (from applying to being successful)</w:t>
      </w:r>
    </w:p>
    <w:p w14:paraId="52C94C05" w14:textId="55F17CFD" w:rsidR="005B1914" w:rsidRDefault="005B1914" w:rsidP="00E65CA7">
      <w:pPr>
        <w:spacing w:before="0" w:after="0" w:line="336" w:lineRule="auto"/>
        <w:jc w:val="both"/>
      </w:pPr>
      <w:r>
        <w:t xml:space="preserve">Table one below details </w:t>
      </w:r>
      <w:r w:rsidRPr="003A7966">
        <w:t xml:space="preserve">the number and proportion of applications received, the number and proportion of those successful through the process and the success rate by ethnic origin between April 2023 and December 2024 for </w:t>
      </w:r>
      <w:r>
        <w:t xml:space="preserve">Police </w:t>
      </w:r>
      <w:r w:rsidRPr="003A7966">
        <w:t>Constable to Sergeant promotion processes.</w:t>
      </w:r>
    </w:p>
    <w:p w14:paraId="0F763210" w14:textId="5421A864" w:rsidR="005B1914" w:rsidRDefault="005B1914" w:rsidP="00E65CA7">
      <w:pPr>
        <w:spacing w:after="0" w:line="336" w:lineRule="auto"/>
        <w:jc w:val="both"/>
      </w:pPr>
      <w:r>
        <w:lastRenderedPageBreak/>
        <w:t>Table two below details</w:t>
      </w:r>
      <w:r w:rsidRPr="00582AF3">
        <w:t xml:space="preserve"> the number and proportion of applications received, the number and proportion of those successful through the process and the success rate by ethnic origin between April 2023 and December 2024 </w:t>
      </w:r>
      <w:r w:rsidRPr="00FE3275">
        <w:t>for Sergeant to Inspector</w:t>
      </w:r>
      <w:r w:rsidRPr="00582AF3">
        <w:t xml:space="preserve"> promotion processes. </w:t>
      </w:r>
    </w:p>
    <w:p w14:paraId="2CB45B7B" w14:textId="2D5B6055" w:rsidR="005B1914" w:rsidRDefault="005B1914" w:rsidP="00E65CA7">
      <w:pPr>
        <w:jc w:val="both"/>
      </w:pPr>
      <w:r>
        <w:t>In relation to years prior to 2023/24, unfortunately,</w:t>
      </w:r>
      <w:r w:rsidRPr="00453F0A">
        <w:t xml:space="preserve"> I estimate that it would cost well in excess</w:t>
      </w:r>
      <w:r>
        <w:t xml:space="preserve"> of</w:t>
      </w:r>
      <w:r w:rsidRPr="00453F0A">
        <w:t xml:space="preserve"> </w:t>
      </w:r>
      <w:r>
        <w:t>t</w:t>
      </w:r>
      <w:r w:rsidRPr="00453F0A">
        <w:t xml:space="preserve">he </w:t>
      </w:r>
      <w:r w:rsidRPr="00982D19">
        <w:t>current FOI cost threshold</w:t>
      </w:r>
      <w:r>
        <w:t xml:space="preserve"> of </w:t>
      </w:r>
      <w:r w:rsidRPr="00453F0A">
        <w:t>£600</w:t>
      </w:r>
      <w:r>
        <w:t xml:space="preserve"> to process your request.  </w:t>
      </w:r>
    </w:p>
    <w:p w14:paraId="1E263F8C" w14:textId="77777777" w:rsidR="005B1914" w:rsidRDefault="005B1914" w:rsidP="00E65CA7">
      <w:pPr>
        <w:jc w:val="both"/>
      </w:pPr>
      <w:r>
        <w:t>I am therefore refusing to provide the information sought in terms of s</w:t>
      </w:r>
      <w:r w:rsidRPr="00453F0A">
        <w:t xml:space="preserve">ection 12(1) </w:t>
      </w:r>
      <w:r>
        <w:t xml:space="preserve">- </w:t>
      </w:r>
      <w:r w:rsidRPr="00453F0A">
        <w:t>Excessive Cost of Compliance.</w:t>
      </w:r>
    </w:p>
    <w:p w14:paraId="7261C1FF" w14:textId="5DA02B19" w:rsidR="005B1914" w:rsidRDefault="005B1914" w:rsidP="00E65CA7">
      <w:pPr>
        <w:jc w:val="both"/>
      </w:pPr>
      <w:r>
        <w:t xml:space="preserve">The analysis is a manual process which involves considerable resource. </w:t>
      </w:r>
    </w:p>
    <w:p w14:paraId="31201234" w14:textId="79B326DC" w:rsidR="00CC0FA5" w:rsidRDefault="005B1914" w:rsidP="00E65CA7">
      <w:pPr>
        <w:jc w:val="both"/>
      </w:pPr>
      <w:r>
        <w:t xml:space="preserve">To be of assistance, I can advise you that </w:t>
      </w:r>
      <w:r w:rsidR="00CC0FA5" w:rsidRPr="00CC658F">
        <w:t xml:space="preserve">Police Scotland has a statutory responsibility under The Equality Act 2010 (Specific Duties) (Scotland) Regulations 2012, to gather and use data.  </w:t>
      </w:r>
    </w:p>
    <w:p w14:paraId="74291F64" w14:textId="0F732B07" w:rsidR="00CC0FA5" w:rsidRDefault="00CC0FA5" w:rsidP="00E65CA7">
      <w:pPr>
        <w:jc w:val="both"/>
      </w:pPr>
      <w:r w:rsidRPr="00CC658F">
        <w:t xml:space="preserve">Police Scotland </w:t>
      </w:r>
      <w:r>
        <w:t xml:space="preserve">also </w:t>
      </w:r>
      <w:r w:rsidRPr="00CC658F">
        <w:t xml:space="preserve">has a duty to publish this information every </w:t>
      </w:r>
      <w:r w:rsidRPr="005B1914">
        <w:t>two years</w:t>
      </w:r>
      <w:r w:rsidRPr="00CC658F">
        <w:t>, along with reporting on mainstreaming the equality duty and reporting progress against our Equality Outcomes.</w:t>
      </w:r>
    </w:p>
    <w:p w14:paraId="75C0DD03" w14:textId="75CC4B8F" w:rsidR="00E947F4" w:rsidRDefault="00E947F4" w:rsidP="00E65CA7">
      <w:pPr>
        <w:tabs>
          <w:tab w:val="left" w:pos="5400"/>
        </w:tabs>
        <w:jc w:val="both"/>
      </w:pPr>
      <w:r>
        <w:t>T</w:t>
      </w:r>
      <w:r w:rsidR="00CC0FA5" w:rsidRPr="00CC658F">
        <w:t xml:space="preserve">he Equality and Diversity Employment Monitoring Reports for the years </w:t>
      </w:r>
      <w:hyperlink r:id="rId12" w:history="1">
        <w:r w:rsidR="00CC0FA5" w:rsidRPr="00CC658F">
          <w:rPr>
            <w:rStyle w:val="Hyperlink"/>
          </w:rPr>
          <w:t>2024</w:t>
        </w:r>
      </w:hyperlink>
      <w:r w:rsidR="00CC0FA5" w:rsidRPr="00CC658F">
        <w:t xml:space="preserve">, </w:t>
      </w:r>
      <w:hyperlink r:id="rId13" w:history="1">
        <w:r w:rsidR="00CC0FA5" w:rsidRPr="00CC658F">
          <w:rPr>
            <w:rStyle w:val="Hyperlink"/>
          </w:rPr>
          <w:t>2022</w:t>
        </w:r>
      </w:hyperlink>
      <w:r w:rsidR="00CC0FA5" w:rsidRPr="00CC658F">
        <w:t xml:space="preserve"> and </w:t>
      </w:r>
      <w:hyperlink r:id="rId14" w:history="1">
        <w:r w:rsidR="00CC0FA5" w:rsidRPr="00CC658F">
          <w:rPr>
            <w:rStyle w:val="Hyperlink"/>
          </w:rPr>
          <w:t>2020</w:t>
        </w:r>
      </w:hyperlink>
      <w:r w:rsidR="00CC0FA5" w:rsidRPr="00CC658F">
        <w:t xml:space="preserve"> </w:t>
      </w:r>
      <w:r>
        <w:t xml:space="preserve">are available </w:t>
      </w:r>
      <w:r w:rsidR="00BF1B57">
        <w:t>online</w:t>
      </w:r>
      <w:r>
        <w:t xml:space="preserve">: </w:t>
      </w:r>
      <w:hyperlink r:id="rId15" w:history="1">
        <w:r>
          <w:rPr>
            <w:rStyle w:val="Hyperlink"/>
          </w:rPr>
          <w:t>Strategic Planning - Police Scotland</w:t>
        </w:r>
      </w:hyperlink>
      <w:r w:rsidR="00BB4396">
        <w:t>.</w:t>
      </w:r>
    </w:p>
    <w:p w14:paraId="785FAA8A" w14:textId="413391F8" w:rsidR="005B1914" w:rsidRDefault="005B1914" w:rsidP="00E65CA7">
      <w:pPr>
        <w:tabs>
          <w:tab w:val="left" w:pos="5400"/>
        </w:tabs>
        <w:jc w:val="both"/>
      </w:pPr>
      <w:r>
        <w:t>These reports do include ethnicity and promotions data but not to the level of detail sought.</w:t>
      </w:r>
    </w:p>
    <w:p w14:paraId="34DABE92" w14:textId="77777777" w:rsidR="007107FB" w:rsidRDefault="007107FB" w:rsidP="00BF1B57">
      <w:pPr>
        <w:spacing w:after="0" w:line="336" w:lineRule="auto"/>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6"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7" w:history="1">
        <w:r w:rsidRPr="007C470A">
          <w:rPr>
            <w:rStyle w:val="Hyperlink"/>
          </w:rPr>
          <w:t>online</w:t>
        </w:r>
      </w:hyperlink>
      <w:r w:rsidRPr="007C470A">
        <w:t>,</w:t>
      </w:r>
      <w:r>
        <w:t xml:space="preserve"> by</w:t>
      </w:r>
      <w:r w:rsidRPr="007C470A">
        <w:t xml:space="preserve"> </w:t>
      </w:r>
      <w:hyperlink r:id="rId18"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9" w:history="1">
        <w:r>
          <w:rPr>
            <w:rStyle w:val="Hyperlink"/>
          </w:rPr>
          <w:t>Disclosure Log</w:t>
        </w:r>
      </w:hyperlink>
      <w:r w:rsidRPr="007C470A">
        <w:t xml:space="preserve"> in seven days' time.</w:t>
      </w:r>
    </w:p>
    <w:p w14:paraId="4F4B903A" w14:textId="2FE61CE6" w:rsidR="00B54118" w:rsidRDefault="007F490F" w:rsidP="00793DD5">
      <w:r>
        <w:t xml:space="preserve">Every effort has been taken to ensure our response is as accessible as possible. </w:t>
      </w:r>
      <w:r w:rsidR="009D2AA5">
        <w:br/>
      </w:r>
      <w:r>
        <w:t>If you require this response to be provided in an alternative format, please let us know.</w:t>
      </w:r>
    </w:p>
    <w:p w14:paraId="0F672DAE" w14:textId="77777777" w:rsidR="00B54118" w:rsidRDefault="00B54118" w:rsidP="00793DD5">
      <w:pPr>
        <w:sectPr w:rsidR="00B54118" w:rsidSect="00B54118">
          <w:headerReference w:type="even" r:id="rId20"/>
          <w:headerReference w:type="default" r:id="rId21"/>
          <w:footerReference w:type="even" r:id="rId22"/>
          <w:footerReference w:type="default" r:id="rId23"/>
          <w:headerReference w:type="first" r:id="rId24"/>
          <w:footerReference w:type="first" r:id="rId25"/>
          <w:pgSz w:w="11906" w:h="16838"/>
          <w:pgMar w:top="1134" w:right="1134" w:bottom="1134" w:left="1134" w:header="283" w:footer="284" w:gutter="0"/>
          <w:cols w:space="708"/>
          <w:docGrid w:linePitch="360"/>
        </w:sectPr>
      </w:pPr>
    </w:p>
    <w:p w14:paraId="643D5C45" w14:textId="7211DD4D" w:rsidR="00E417E5" w:rsidRPr="00D24CD3" w:rsidRDefault="00C20CAE" w:rsidP="00793DD5">
      <w:pPr>
        <w:rPr>
          <w:b/>
          <w:bCs/>
        </w:rPr>
      </w:pPr>
      <w:r w:rsidRPr="00D24CD3">
        <w:rPr>
          <w:b/>
          <w:bCs/>
        </w:rPr>
        <w:lastRenderedPageBreak/>
        <w:t xml:space="preserve">Table One </w:t>
      </w:r>
      <w:r w:rsidR="00BF1B57" w:rsidRPr="00D24CD3">
        <w:rPr>
          <w:b/>
          <w:bCs/>
        </w:rPr>
        <w:t xml:space="preserve">- </w:t>
      </w:r>
      <w:r w:rsidRPr="00D24CD3">
        <w:rPr>
          <w:b/>
          <w:bCs/>
        </w:rPr>
        <w:t>Police Constable to Sergeant Promotion</w:t>
      </w:r>
      <w:r w:rsidR="00BF1B57" w:rsidRPr="00D24CD3">
        <w:rPr>
          <w:b/>
          <w:bCs/>
        </w:rPr>
        <w:t xml:space="preserve"> Process - April 2023 to December 2024</w:t>
      </w:r>
      <w:r w:rsidRPr="00D24CD3">
        <w:rPr>
          <w:b/>
          <w:bCs/>
        </w:rPr>
        <w:t>:</w:t>
      </w:r>
    </w:p>
    <w:tbl>
      <w:tblPr>
        <w:tblStyle w:val="TableGrid"/>
        <w:tblW w:w="14608" w:type="dxa"/>
        <w:tblLayout w:type="fixed"/>
        <w:tblLook w:val="04A0" w:firstRow="1" w:lastRow="0" w:firstColumn="1" w:lastColumn="0" w:noHBand="0" w:noVBand="1"/>
        <w:tblCaption w:val="Constable to Sergeant Process – April 2023 to December 2024"/>
        <w:tblDescription w:val="Constable to Sergeant Process – April 2023 to December 2024"/>
      </w:tblPr>
      <w:tblGrid>
        <w:gridCol w:w="2938"/>
        <w:gridCol w:w="2991"/>
        <w:gridCol w:w="3151"/>
        <w:gridCol w:w="1701"/>
        <w:gridCol w:w="1843"/>
        <w:gridCol w:w="1984"/>
      </w:tblGrid>
      <w:tr w:rsidR="00C20CAE" w:rsidRPr="00582AF3" w14:paraId="1D0D4DEB" w14:textId="77777777" w:rsidTr="00BF1B57">
        <w:trPr>
          <w:trHeight w:hRule="exact" w:val="510"/>
          <w:tblHeader/>
        </w:trPr>
        <w:tc>
          <w:tcPr>
            <w:tcW w:w="2938" w:type="dxa"/>
            <w:shd w:val="clear" w:color="auto" w:fill="D9D9D9" w:themeFill="background1" w:themeFillShade="D9"/>
          </w:tcPr>
          <w:p w14:paraId="07C9200A" w14:textId="77777777" w:rsidR="00C20CAE" w:rsidRPr="00582AF3" w:rsidRDefault="00C20CAE" w:rsidP="00BF1B57">
            <w:pPr>
              <w:spacing w:line="240" w:lineRule="auto"/>
            </w:pPr>
            <w:r w:rsidRPr="00582AF3">
              <w:t>Ethnic Origin</w:t>
            </w:r>
          </w:p>
        </w:tc>
        <w:tc>
          <w:tcPr>
            <w:tcW w:w="2991" w:type="dxa"/>
            <w:shd w:val="clear" w:color="auto" w:fill="D9D9D9" w:themeFill="background1" w:themeFillShade="D9"/>
          </w:tcPr>
          <w:p w14:paraId="02D47C2D" w14:textId="6C2573B1" w:rsidR="00C20CAE" w:rsidRPr="00582AF3" w:rsidRDefault="00C20CAE" w:rsidP="00BF1B57">
            <w:pPr>
              <w:spacing w:line="240" w:lineRule="auto"/>
            </w:pPr>
            <w:r w:rsidRPr="00582AF3">
              <w:rPr>
                <w:bCs/>
              </w:rPr>
              <w:t>Applications Received</w:t>
            </w:r>
            <w:r w:rsidR="00BF1B57">
              <w:rPr>
                <w:bCs/>
              </w:rPr>
              <w:t xml:space="preserve"> </w:t>
            </w:r>
            <w:r w:rsidRPr="00582AF3">
              <w:rPr>
                <w:bCs/>
              </w:rPr>
              <w:t>%</w:t>
            </w:r>
          </w:p>
        </w:tc>
        <w:tc>
          <w:tcPr>
            <w:tcW w:w="3151" w:type="dxa"/>
            <w:shd w:val="clear" w:color="auto" w:fill="D9D9D9" w:themeFill="background1" w:themeFillShade="D9"/>
          </w:tcPr>
          <w:p w14:paraId="72973FFA" w14:textId="2ED14C19" w:rsidR="00C20CAE" w:rsidRPr="00582AF3" w:rsidRDefault="00C20CAE" w:rsidP="00BF1B57">
            <w:pPr>
              <w:spacing w:line="240" w:lineRule="auto"/>
            </w:pPr>
            <w:r w:rsidRPr="00582AF3">
              <w:rPr>
                <w:bCs/>
              </w:rPr>
              <w:t>Applications Received</w:t>
            </w:r>
            <w:r w:rsidR="00BF1B57">
              <w:rPr>
                <w:bCs/>
              </w:rPr>
              <w:t xml:space="preserve"> </w:t>
            </w:r>
            <w:r w:rsidRPr="00582AF3">
              <w:rPr>
                <w:bCs/>
              </w:rPr>
              <w:t>No.</w:t>
            </w:r>
          </w:p>
        </w:tc>
        <w:tc>
          <w:tcPr>
            <w:tcW w:w="1701" w:type="dxa"/>
            <w:shd w:val="clear" w:color="auto" w:fill="D9D9D9" w:themeFill="background1" w:themeFillShade="D9"/>
          </w:tcPr>
          <w:p w14:paraId="1AA168C3" w14:textId="291498D8" w:rsidR="00C20CAE" w:rsidRPr="00582AF3" w:rsidRDefault="00C20CAE" w:rsidP="00BF1B57">
            <w:pPr>
              <w:spacing w:line="240" w:lineRule="auto"/>
            </w:pPr>
            <w:r w:rsidRPr="00582AF3">
              <w:rPr>
                <w:bCs/>
              </w:rPr>
              <w:t>Successful %</w:t>
            </w:r>
          </w:p>
        </w:tc>
        <w:tc>
          <w:tcPr>
            <w:tcW w:w="1843" w:type="dxa"/>
            <w:shd w:val="clear" w:color="auto" w:fill="D9D9D9" w:themeFill="background1" w:themeFillShade="D9"/>
          </w:tcPr>
          <w:p w14:paraId="60ACCD41" w14:textId="16385676" w:rsidR="00C20CAE" w:rsidRPr="00582AF3" w:rsidRDefault="00C20CAE" w:rsidP="00BF1B57">
            <w:pPr>
              <w:spacing w:line="240" w:lineRule="auto"/>
            </w:pPr>
            <w:r w:rsidRPr="00582AF3">
              <w:rPr>
                <w:bCs/>
              </w:rPr>
              <w:t>Successful No.</w:t>
            </w:r>
          </w:p>
        </w:tc>
        <w:tc>
          <w:tcPr>
            <w:tcW w:w="1984" w:type="dxa"/>
            <w:shd w:val="clear" w:color="auto" w:fill="D9D9D9" w:themeFill="background1" w:themeFillShade="D9"/>
          </w:tcPr>
          <w:p w14:paraId="3E0D3DEC" w14:textId="4EDB40F7" w:rsidR="00C20CAE" w:rsidRPr="00582AF3" w:rsidRDefault="00C20CAE" w:rsidP="00BF1B57">
            <w:pPr>
              <w:spacing w:line="240" w:lineRule="auto"/>
              <w:rPr>
                <w:bCs/>
              </w:rPr>
            </w:pPr>
            <w:r w:rsidRPr="00582AF3">
              <w:rPr>
                <w:bCs/>
              </w:rPr>
              <w:t>Success Rate</w:t>
            </w:r>
            <w:r w:rsidR="00BF1B57">
              <w:rPr>
                <w:bCs/>
              </w:rPr>
              <w:t xml:space="preserve"> </w:t>
            </w:r>
            <w:r w:rsidRPr="00582AF3">
              <w:rPr>
                <w:bCs/>
              </w:rPr>
              <w:t>%</w:t>
            </w:r>
          </w:p>
        </w:tc>
      </w:tr>
      <w:tr w:rsidR="00C20CAE" w:rsidRPr="00582AF3" w14:paraId="2F1A247C" w14:textId="77777777" w:rsidTr="00BF1B57">
        <w:trPr>
          <w:trHeight w:hRule="exact" w:val="510"/>
        </w:trPr>
        <w:tc>
          <w:tcPr>
            <w:tcW w:w="2938" w:type="dxa"/>
          </w:tcPr>
          <w:p w14:paraId="2272F947" w14:textId="77777777" w:rsidR="00C20CAE" w:rsidRPr="00582AF3" w:rsidRDefault="00C20CAE" w:rsidP="00BF1B57">
            <w:pPr>
              <w:spacing w:line="240" w:lineRule="auto"/>
            </w:pPr>
            <w:r w:rsidRPr="00582AF3">
              <w:t>White Scottish</w:t>
            </w:r>
          </w:p>
        </w:tc>
        <w:tc>
          <w:tcPr>
            <w:tcW w:w="2991" w:type="dxa"/>
          </w:tcPr>
          <w:p w14:paraId="2FD1E885" w14:textId="77777777" w:rsidR="00C20CAE" w:rsidRPr="00582AF3" w:rsidRDefault="00C20CAE" w:rsidP="00BF1B57">
            <w:pPr>
              <w:spacing w:line="240" w:lineRule="auto"/>
            </w:pPr>
            <w:r w:rsidRPr="00582AF3">
              <w:t>80.08%</w:t>
            </w:r>
          </w:p>
        </w:tc>
        <w:tc>
          <w:tcPr>
            <w:tcW w:w="3151" w:type="dxa"/>
          </w:tcPr>
          <w:p w14:paraId="22D1F3FC" w14:textId="77777777" w:rsidR="00C20CAE" w:rsidRPr="00582AF3" w:rsidRDefault="00C20CAE" w:rsidP="00BF1B57">
            <w:pPr>
              <w:spacing w:line="240" w:lineRule="auto"/>
            </w:pPr>
            <w:r w:rsidRPr="00582AF3">
              <w:t>1222</w:t>
            </w:r>
          </w:p>
        </w:tc>
        <w:tc>
          <w:tcPr>
            <w:tcW w:w="1701" w:type="dxa"/>
          </w:tcPr>
          <w:p w14:paraId="6B89D0D4" w14:textId="77777777" w:rsidR="00C20CAE" w:rsidRPr="00582AF3" w:rsidRDefault="00C20CAE" w:rsidP="00BF1B57">
            <w:pPr>
              <w:spacing w:line="240" w:lineRule="auto"/>
            </w:pPr>
            <w:r w:rsidRPr="00582AF3">
              <w:t>81.76%</w:t>
            </w:r>
          </w:p>
        </w:tc>
        <w:tc>
          <w:tcPr>
            <w:tcW w:w="1843" w:type="dxa"/>
          </w:tcPr>
          <w:p w14:paraId="211D3D65" w14:textId="77777777" w:rsidR="00C20CAE" w:rsidRPr="00582AF3" w:rsidRDefault="00C20CAE" w:rsidP="00BF1B57">
            <w:pPr>
              <w:spacing w:line="240" w:lineRule="auto"/>
            </w:pPr>
            <w:r w:rsidRPr="00582AF3">
              <w:t>484</w:t>
            </w:r>
          </w:p>
        </w:tc>
        <w:tc>
          <w:tcPr>
            <w:tcW w:w="1984" w:type="dxa"/>
          </w:tcPr>
          <w:p w14:paraId="79C90037" w14:textId="77777777" w:rsidR="00C20CAE" w:rsidRPr="00582AF3" w:rsidRDefault="00C20CAE" w:rsidP="00BF1B57">
            <w:pPr>
              <w:spacing w:line="240" w:lineRule="auto"/>
            </w:pPr>
            <w:r w:rsidRPr="00582AF3">
              <w:t>40%</w:t>
            </w:r>
          </w:p>
        </w:tc>
      </w:tr>
      <w:tr w:rsidR="00C20CAE" w:rsidRPr="00582AF3" w14:paraId="5CC717C9" w14:textId="77777777" w:rsidTr="00BF1B57">
        <w:trPr>
          <w:trHeight w:hRule="exact" w:val="510"/>
        </w:trPr>
        <w:tc>
          <w:tcPr>
            <w:tcW w:w="2938" w:type="dxa"/>
          </w:tcPr>
          <w:p w14:paraId="18F66F1C" w14:textId="77777777" w:rsidR="00C20CAE" w:rsidRPr="00582AF3" w:rsidRDefault="00C20CAE" w:rsidP="00BF1B57">
            <w:pPr>
              <w:spacing w:line="240" w:lineRule="auto"/>
            </w:pPr>
            <w:r w:rsidRPr="00582AF3">
              <w:t>All Other White British</w:t>
            </w:r>
          </w:p>
        </w:tc>
        <w:tc>
          <w:tcPr>
            <w:tcW w:w="2991" w:type="dxa"/>
          </w:tcPr>
          <w:p w14:paraId="41113247" w14:textId="77777777" w:rsidR="00C20CAE" w:rsidRPr="00582AF3" w:rsidRDefault="00C20CAE" w:rsidP="00BF1B57">
            <w:pPr>
              <w:spacing w:line="240" w:lineRule="auto"/>
            </w:pPr>
            <w:r w:rsidRPr="00582AF3">
              <w:t>8.52%</w:t>
            </w:r>
          </w:p>
        </w:tc>
        <w:tc>
          <w:tcPr>
            <w:tcW w:w="3151" w:type="dxa"/>
          </w:tcPr>
          <w:p w14:paraId="4BC2B4F8" w14:textId="77777777" w:rsidR="00C20CAE" w:rsidRPr="00582AF3" w:rsidRDefault="00C20CAE" w:rsidP="00BF1B57">
            <w:pPr>
              <w:spacing w:line="240" w:lineRule="auto"/>
            </w:pPr>
            <w:r w:rsidRPr="00582AF3">
              <w:t>130</w:t>
            </w:r>
          </w:p>
        </w:tc>
        <w:tc>
          <w:tcPr>
            <w:tcW w:w="1701" w:type="dxa"/>
          </w:tcPr>
          <w:p w14:paraId="07A56C82" w14:textId="77777777" w:rsidR="00C20CAE" w:rsidRPr="00582AF3" w:rsidRDefault="00C20CAE" w:rsidP="00BF1B57">
            <w:pPr>
              <w:spacing w:line="240" w:lineRule="auto"/>
            </w:pPr>
            <w:r w:rsidRPr="00582AF3">
              <w:t>7.77%</w:t>
            </w:r>
          </w:p>
        </w:tc>
        <w:tc>
          <w:tcPr>
            <w:tcW w:w="1843" w:type="dxa"/>
          </w:tcPr>
          <w:p w14:paraId="7040659B" w14:textId="77777777" w:rsidR="00C20CAE" w:rsidRPr="00582AF3" w:rsidRDefault="00C20CAE" w:rsidP="00BF1B57">
            <w:pPr>
              <w:spacing w:line="240" w:lineRule="auto"/>
            </w:pPr>
            <w:r w:rsidRPr="00582AF3">
              <w:t>46</w:t>
            </w:r>
          </w:p>
        </w:tc>
        <w:tc>
          <w:tcPr>
            <w:tcW w:w="1984" w:type="dxa"/>
          </w:tcPr>
          <w:p w14:paraId="7186D5DB" w14:textId="77777777" w:rsidR="00C20CAE" w:rsidRPr="00582AF3" w:rsidRDefault="00C20CAE" w:rsidP="00BF1B57">
            <w:pPr>
              <w:spacing w:line="240" w:lineRule="auto"/>
            </w:pPr>
            <w:r w:rsidRPr="00582AF3">
              <w:t>35%</w:t>
            </w:r>
          </w:p>
        </w:tc>
      </w:tr>
      <w:tr w:rsidR="00C20CAE" w:rsidRPr="00582AF3" w14:paraId="787B183C" w14:textId="77777777" w:rsidTr="00BF1B57">
        <w:trPr>
          <w:trHeight w:hRule="exact" w:val="510"/>
        </w:trPr>
        <w:tc>
          <w:tcPr>
            <w:tcW w:w="2938" w:type="dxa"/>
          </w:tcPr>
          <w:p w14:paraId="5CE86324" w14:textId="77777777" w:rsidR="00C20CAE" w:rsidRPr="00582AF3" w:rsidRDefault="00C20CAE" w:rsidP="00BF1B57">
            <w:pPr>
              <w:spacing w:line="240" w:lineRule="auto"/>
            </w:pPr>
            <w:r w:rsidRPr="00582AF3">
              <w:t>White Minority</w:t>
            </w:r>
          </w:p>
        </w:tc>
        <w:tc>
          <w:tcPr>
            <w:tcW w:w="2991" w:type="dxa"/>
          </w:tcPr>
          <w:p w14:paraId="5A305636" w14:textId="77777777" w:rsidR="00C20CAE" w:rsidRPr="00582AF3" w:rsidRDefault="00C20CAE" w:rsidP="00BF1B57">
            <w:pPr>
              <w:spacing w:line="240" w:lineRule="auto"/>
            </w:pPr>
            <w:r w:rsidRPr="00582AF3">
              <w:t>1.31%</w:t>
            </w:r>
          </w:p>
        </w:tc>
        <w:tc>
          <w:tcPr>
            <w:tcW w:w="3151" w:type="dxa"/>
          </w:tcPr>
          <w:p w14:paraId="0B68324F" w14:textId="77777777" w:rsidR="00C20CAE" w:rsidRPr="00582AF3" w:rsidRDefault="00C20CAE" w:rsidP="00BF1B57">
            <w:pPr>
              <w:spacing w:line="240" w:lineRule="auto"/>
            </w:pPr>
            <w:r w:rsidRPr="00582AF3">
              <w:t>20</w:t>
            </w:r>
          </w:p>
        </w:tc>
        <w:tc>
          <w:tcPr>
            <w:tcW w:w="1701" w:type="dxa"/>
          </w:tcPr>
          <w:p w14:paraId="375EA843" w14:textId="77777777" w:rsidR="00C20CAE" w:rsidRPr="00582AF3" w:rsidRDefault="00C20CAE" w:rsidP="00BF1B57">
            <w:pPr>
              <w:spacing w:line="240" w:lineRule="auto"/>
            </w:pPr>
            <w:r w:rsidRPr="00582AF3">
              <w:t>1.35%</w:t>
            </w:r>
          </w:p>
        </w:tc>
        <w:tc>
          <w:tcPr>
            <w:tcW w:w="1843" w:type="dxa"/>
          </w:tcPr>
          <w:p w14:paraId="4569E895" w14:textId="77777777" w:rsidR="00C20CAE" w:rsidRPr="00582AF3" w:rsidRDefault="00C20CAE" w:rsidP="00BF1B57">
            <w:pPr>
              <w:spacing w:line="240" w:lineRule="auto"/>
            </w:pPr>
            <w:r w:rsidRPr="00582AF3">
              <w:t>8</w:t>
            </w:r>
          </w:p>
        </w:tc>
        <w:tc>
          <w:tcPr>
            <w:tcW w:w="1984" w:type="dxa"/>
          </w:tcPr>
          <w:p w14:paraId="0B0C7898" w14:textId="77777777" w:rsidR="00C20CAE" w:rsidRPr="00582AF3" w:rsidRDefault="00C20CAE" w:rsidP="00BF1B57">
            <w:pPr>
              <w:spacing w:line="240" w:lineRule="auto"/>
            </w:pPr>
            <w:r w:rsidRPr="00582AF3">
              <w:t>40%</w:t>
            </w:r>
          </w:p>
        </w:tc>
      </w:tr>
      <w:tr w:rsidR="00C20CAE" w:rsidRPr="00582AF3" w14:paraId="4455A051" w14:textId="77777777" w:rsidTr="00BF1B57">
        <w:trPr>
          <w:trHeight w:hRule="exact" w:val="510"/>
        </w:trPr>
        <w:tc>
          <w:tcPr>
            <w:tcW w:w="2938" w:type="dxa"/>
          </w:tcPr>
          <w:p w14:paraId="255DBEC5" w14:textId="77777777" w:rsidR="00C20CAE" w:rsidRPr="00582AF3" w:rsidRDefault="00C20CAE" w:rsidP="00BF1B57">
            <w:pPr>
              <w:spacing w:line="240" w:lineRule="auto"/>
            </w:pPr>
            <w:r w:rsidRPr="00582AF3">
              <w:t>BME</w:t>
            </w:r>
          </w:p>
        </w:tc>
        <w:tc>
          <w:tcPr>
            <w:tcW w:w="2991" w:type="dxa"/>
          </w:tcPr>
          <w:p w14:paraId="186C408B" w14:textId="77777777" w:rsidR="00C20CAE" w:rsidRPr="00582AF3" w:rsidRDefault="00C20CAE" w:rsidP="00BF1B57">
            <w:pPr>
              <w:spacing w:line="240" w:lineRule="auto"/>
            </w:pPr>
            <w:r w:rsidRPr="00582AF3">
              <w:t>1.83%</w:t>
            </w:r>
          </w:p>
        </w:tc>
        <w:tc>
          <w:tcPr>
            <w:tcW w:w="3151" w:type="dxa"/>
          </w:tcPr>
          <w:p w14:paraId="0BF4D816" w14:textId="77777777" w:rsidR="00C20CAE" w:rsidRPr="00582AF3" w:rsidRDefault="00C20CAE" w:rsidP="00BF1B57">
            <w:pPr>
              <w:spacing w:line="240" w:lineRule="auto"/>
            </w:pPr>
            <w:r w:rsidRPr="00582AF3">
              <w:t>28</w:t>
            </w:r>
          </w:p>
        </w:tc>
        <w:tc>
          <w:tcPr>
            <w:tcW w:w="1701" w:type="dxa"/>
          </w:tcPr>
          <w:p w14:paraId="4B127153" w14:textId="77777777" w:rsidR="00C20CAE" w:rsidRPr="00582AF3" w:rsidRDefault="00C20CAE" w:rsidP="00BF1B57">
            <w:pPr>
              <w:spacing w:line="240" w:lineRule="auto"/>
            </w:pPr>
            <w:r w:rsidRPr="00582AF3">
              <w:t>1.69%</w:t>
            </w:r>
          </w:p>
        </w:tc>
        <w:tc>
          <w:tcPr>
            <w:tcW w:w="1843" w:type="dxa"/>
          </w:tcPr>
          <w:p w14:paraId="1D9252DF" w14:textId="77777777" w:rsidR="00C20CAE" w:rsidRPr="00582AF3" w:rsidRDefault="00C20CAE" w:rsidP="00BF1B57">
            <w:pPr>
              <w:spacing w:line="240" w:lineRule="auto"/>
            </w:pPr>
            <w:r w:rsidRPr="00582AF3">
              <w:t>10</w:t>
            </w:r>
          </w:p>
        </w:tc>
        <w:tc>
          <w:tcPr>
            <w:tcW w:w="1984" w:type="dxa"/>
          </w:tcPr>
          <w:p w14:paraId="11820710" w14:textId="77777777" w:rsidR="00C20CAE" w:rsidRPr="00582AF3" w:rsidRDefault="00C20CAE" w:rsidP="00BF1B57">
            <w:pPr>
              <w:spacing w:line="240" w:lineRule="auto"/>
            </w:pPr>
            <w:r w:rsidRPr="00582AF3">
              <w:t>36%</w:t>
            </w:r>
          </w:p>
        </w:tc>
      </w:tr>
      <w:tr w:rsidR="00C20CAE" w:rsidRPr="00582AF3" w14:paraId="576AB08D" w14:textId="77777777" w:rsidTr="00BF1B57">
        <w:trPr>
          <w:trHeight w:hRule="exact" w:val="510"/>
        </w:trPr>
        <w:tc>
          <w:tcPr>
            <w:tcW w:w="2938" w:type="dxa"/>
          </w:tcPr>
          <w:p w14:paraId="23F42369" w14:textId="405CF7CD" w:rsidR="00C20CAE" w:rsidRPr="00582AF3" w:rsidRDefault="00C20CAE" w:rsidP="00BF1B57">
            <w:pPr>
              <w:spacing w:line="240" w:lineRule="auto"/>
            </w:pPr>
            <w:r w:rsidRPr="00582AF3">
              <w:t xml:space="preserve">Choose Not </w:t>
            </w:r>
            <w:r w:rsidR="00BF1B57">
              <w:t>t</w:t>
            </w:r>
            <w:r w:rsidRPr="00582AF3">
              <w:t>o Disclose</w:t>
            </w:r>
          </w:p>
        </w:tc>
        <w:tc>
          <w:tcPr>
            <w:tcW w:w="2991" w:type="dxa"/>
          </w:tcPr>
          <w:p w14:paraId="67FF40C5" w14:textId="77777777" w:rsidR="00C20CAE" w:rsidRPr="00582AF3" w:rsidRDefault="00C20CAE" w:rsidP="00BF1B57">
            <w:pPr>
              <w:spacing w:line="240" w:lineRule="auto"/>
            </w:pPr>
            <w:r w:rsidRPr="00582AF3">
              <w:t>8.06%</w:t>
            </w:r>
          </w:p>
        </w:tc>
        <w:tc>
          <w:tcPr>
            <w:tcW w:w="3151" w:type="dxa"/>
          </w:tcPr>
          <w:p w14:paraId="4664A64C" w14:textId="77777777" w:rsidR="00C20CAE" w:rsidRPr="00582AF3" w:rsidRDefault="00C20CAE" w:rsidP="00BF1B57">
            <w:pPr>
              <w:spacing w:line="240" w:lineRule="auto"/>
            </w:pPr>
            <w:r w:rsidRPr="00582AF3">
              <w:t>123</w:t>
            </w:r>
          </w:p>
        </w:tc>
        <w:tc>
          <w:tcPr>
            <w:tcW w:w="1701" w:type="dxa"/>
          </w:tcPr>
          <w:p w14:paraId="1E4C9E8F" w14:textId="77777777" w:rsidR="00C20CAE" w:rsidRPr="00582AF3" w:rsidRDefault="00C20CAE" w:rsidP="00BF1B57">
            <w:pPr>
              <w:spacing w:line="240" w:lineRule="auto"/>
            </w:pPr>
            <w:r w:rsidRPr="00582AF3">
              <w:t>7.26%</w:t>
            </w:r>
          </w:p>
        </w:tc>
        <w:tc>
          <w:tcPr>
            <w:tcW w:w="1843" w:type="dxa"/>
          </w:tcPr>
          <w:p w14:paraId="7C6B8B78" w14:textId="77777777" w:rsidR="00C20CAE" w:rsidRPr="00582AF3" w:rsidRDefault="00C20CAE" w:rsidP="00BF1B57">
            <w:pPr>
              <w:spacing w:line="240" w:lineRule="auto"/>
            </w:pPr>
            <w:r w:rsidRPr="00582AF3">
              <w:t>43</w:t>
            </w:r>
          </w:p>
        </w:tc>
        <w:tc>
          <w:tcPr>
            <w:tcW w:w="1984" w:type="dxa"/>
          </w:tcPr>
          <w:p w14:paraId="44D26B49" w14:textId="77777777" w:rsidR="00C20CAE" w:rsidRPr="00582AF3" w:rsidRDefault="00C20CAE" w:rsidP="00BF1B57">
            <w:pPr>
              <w:spacing w:line="240" w:lineRule="auto"/>
            </w:pPr>
            <w:r w:rsidRPr="00582AF3">
              <w:t>35%</w:t>
            </w:r>
          </w:p>
        </w:tc>
      </w:tr>
      <w:tr w:rsidR="00C20CAE" w:rsidRPr="00582AF3" w14:paraId="0346C6DF" w14:textId="77777777" w:rsidTr="00BF1B57">
        <w:trPr>
          <w:trHeight w:hRule="exact" w:val="510"/>
        </w:trPr>
        <w:tc>
          <w:tcPr>
            <w:tcW w:w="2938" w:type="dxa"/>
          </w:tcPr>
          <w:p w14:paraId="3303F3AE" w14:textId="77777777" w:rsidR="00C20CAE" w:rsidRPr="00582AF3" w:rsidRDefault="00C20CAE" w:rsidP="00BF1B57">
            <w:pPr>
              <w:spacing w:line="240" w:lineRule="auto"/>
            </w:pPr>
            <w:r w:rsidRPr="00582AF3">
              <w:t>Not Recorded</w:t>
            </w:r>
          </w:p>
        </w:tc>
        <w:tc>
          <w:tcPr>
            <w:tcW w:w="2991" w:type="dxa"/>
          </w:tcPr>
          <w:p w14:paraId="39A8279D" w14:textId="77777777" w:rsidR="00C20CAE" w:rsidRPr="00582AF3" w:rsidRDefault="00C20CAE" w:rsidP="00BF1B57">
            <w:pPr>
              <w:spacing w:line="240" w:lineRule="auto"/>
            </w:pPr>
            <w:r w:rsidRPr="00582AF3">
              <w:t>0.13%</w:t>
            </w:r>
          </w:p>
        </w:tc>
        <w:tc>
          <w:tcPr>
            <w:tcW w:w="3151" w:type="dxa"/>
          </w:tcPr>
          <w:p w14:paraId="03047DDE" w14:textId="77777777" w:rsidR="00C20CAE" w:rsidRPr="00582AF3" w:rsidRDefault="00C20CAE" w:rsidP="00BF1B57">
            <w:pPr>
              <w:spacing w:line="240" w:lineRule="auto"/>
            </w:pPr>
            <w:r w:rsidRPr="00582AF3">
              <w:t>2</w:t>
            </w:r>
          </w:p>
        </w:tc>
        <w:tc>
          <w:tcPr>
            <w:tcW w:w="1701" w:type="dxa"/>
          </w:tcPr>
          <w:p w14:paraId="5E5D5A3B" w14:textId="77777777" w:rsidR="00C20CAE" w:rsidRPr="00582AF3" w:rsidRDefault="00C20CAE" w:rsidP="00BF1B57">
            <w:pPr>
              <w:spacing w:line="240" w:lineRule="auto"/>
            </w:pPr>
            <w:r w:rsidRPr="00582AF3">
              <w:t>0.17%</w:t>
            </w:r>
          </w:p>
        </w:tc>
        <w:tc>
          <w:tcPr>
            <w:tcW w:w="1843" w:type="dxa"/>
          </w:tcPr>
          <w:p w14:paraId="3E5B6633" w14:textId="77777777" w:rsidR="00C20CAE" w:rsidRPr="00582AF3" w:rsidRDefault="00C20CAE" w:rsidP="00BF1B57">
            <w:pPr>
              <w:spacing w:line="240" w:lineRule="auto"/>
            </w:pPr>
            <w:r w:rsidRPr="00582AF3">
              <w:t>1</w:t>
            </w:r>
          </w:p>
        </w:tc>
        <w:tc>
          <w:tcPr>
            <w:tcW w:w="1984" w:type="dxa"/>
          </w:tcPr>
          <w:p w14:paraId="536C780F" w14:textId="77777777" w:rsidR="00C20CAE" w:rsidRPr="00582AF3" w:rsidRDefault="00C20CAE" w:rsidP="00BF1B57">
            <w:pPr>
              <w:spacing w:line="240" w:lineRule="auto"/>
            </w:pPr>
            <w:r w:rsidRPr="00582AF3">
              <w:t>50%</w:t>
            </w:r>
          </w:p>
        </w:tc>
      </w:tr>
      <w:tr w:rsidR="00C20CAE" w:rsidRPr="00582AF3" w14:paraId="2F871244" w14:textId="77777777" w:rsidTr="00BF1B57">
        <w:trPr>
          <w:trHeight w:hRule="exact" w:val="510"/>
        </w:trPr>
        <w:tc>
          <w:tcPr>
            <w:tcW w:w="2938" w:type="dxa"/>
            <w:shd w:val="clear" w:color="auto" w:fill="D9D9D9" w:themeFill="background1" w:themeFillShade="D9"/>
          </w:tcPr>
          <w:p w14:paraId="4D48104F" w14:textId="77777777" w:rsidR="00C20CAE" w:rsidRPr="00582AF3" w:rsidRDefault="00C20CAE" w:rsidP="00BF1B57">
            <w:pPr>
              <w:spacing w:line="240" w:lineRule="auto"/>
              <w:rPr>
                <w:bCs/>
              </w:rPr>
            </w:pPr>
            <w:r w:rsidRPr="00582AF3">
              <w:rPr>
                <w:bCs/>
              </w:rPr>
              <w:t>Total</w:t>
            </w:r>
          </w:p>
        </w:tc>
        <w:tc>
          <w:tcPr>
            <w:tcW w:w="2991" w:type="dxa"/>
            <w:shd w:val="clear" w:color="auto" w:fill="D9D9D9" w:themeFill="background1" w:themeFillShade="D9"/>
          </w:tcPr>
          <w:p w14:paraId="60A6827D" w14:textId="77777777" w:rsidR="00C20CAE" w:rsidRPr="00582AF3" w:rsidRDefault="00C20CAE" w:rsidP="00BF1B57">
            <w:pPr>
              <w:spacing w:line="240" w:lineRule="auto"/>
              <w:rPr>
                <w:bCs/>
              </w:rPr>
            </w:pPr>
            <w:r w:rsidRPr="00582AF3">
              <w:rPr>
                <w:bCs/>
              </w:rPr>
              <w:t>100%</w:t>
            </w:r>
          </w:p>
        </w:tc>
        <w:tc>
          <w:tcPr>
            <w:tcW w:w="3151" w:type="dxa"/>
            <w:shd w:val="clear" w:color="auto" w:fill="D9D9D9" w:themeFill="background1" w:themeFillShade="D9"/>
          </w:tcPr>
          <w:p w14:paraId="6EE8D371" w14:textId="77777777" w:rsidR="00C20CAE" w:rsidRPr="00582AF3" w:rsidRDefault="00C20CAE" w:rsidP="00BF1B57">
            <w:pPr>
              <w:spacing w:line="240" w:lineRule="auto"/>
              <w:rPr>
                <w:bCs/>
              </w:rPr>
            </w:pPr>
            <w:r w:rsidRPr="00582AF3">
              <w:rPr>
                <w:bCs/>
              </w:rPr>
              <w:t>1526</w:t>
            </w:r>
          </w:p>
        </w:tc>
        <w:tc>
          <w:tcPr>
            <w:tcW w:w="1701" w:type="dxa"/>
            <w:shd w:val="clear" w:color="auto" w:fill="D9D9D9" w:themeFill="background1" w:themeFillShade="D9"/>
          </w:tcPr>
          <w:p w14:paraId="750494AD" w14:textId="77777777" w:rsidR="00C20CAE" w:rsidRPr="00582AF3" w:rsidRDefault="00C20CAE" w:rsidP="00BF1B57">
            <w:pPr>
              <w:spacing w:line="240" w:lineRule="auto"/>
              <w:rPr>
                <w:bCs/>
              </w:rPr>
            </w:pPr>
            <w:r w:rsidRPr="00582AF3">
              <w:rPr>
                <w:bCs/>
              </w:rPr>
              <w:t>100.00%</w:t>
            </w:r>
          </w:p>
        </w:tc>
        <w:tc>
          <w:tcPr>
            <w:tcW w:w="1843" w:type="dxa"/>
            <w:shd w:val="clear" w:color="auto" w:fill="D9D9D9" w:themeFill="background1" w:themeFillShade="D9"/>
          </w:tcPr>
          <w:p w14:paraId="4BC8B027" w14:textId="77777777" w:rsidR="00C20CAE" w:rsidRPr="00582AF3" w:rsidRDefault="00C20CAE" w:rsidP="00BF1B57">
            <w:pPr>
              <w:spacing w:line="240" w:lineRule="auto"/>
              <w:rPr>
                <w:bCs/>
              </w:rPr>
            </w:pPr>
            <w:r w:rsidRPr="00582AF3">
              <w:rPr>
                <w:bCs/>
              </w:rPr>
              <w:t>592</w:t>
            </w:r>
          </w:p>
        </w:tc>
        <w:tc>
          <w:tcPr>
            <w:tcW w:w="1984" w:type="dxa"/>
            <w:shd w:val="clear" w:color="auto" w:fill="D9D9D9" w:themeFill="background1" w:themeFillShade="D9"/>
          </w:tcPr>
          <w:p w14:paraId="6D1A9305" w14:textId="77777777" w:rsidR="00C20CAE" w:rsidRPr="00582AF3" w:rsidRDefault="00C20CAE" w:rsidP="00BF1B57">
            <w:pPr>
              <w:spacing w:line="240" w:lineRule="auto"/>
              <w:rPr>
                <w:bCs/>
              </w:rPr>
            </w:pPr>
            <w:r w:rsidRPr="00582AF3">
              <w:rPr>
                <w:bCs/>
              </w:rPr>
              <w:t>39%</w:t>
            </w:r>
          </w:p>
        </w:tc>
      </w:tr>
    </w:tbl>
    <w:p w14:paraId="63B2FCF9" w14:textId="77777777" w:rsidR="005B1914" w:rsidRDefault="005B1914" w:rsidP="00793DD5">
      <w:pPr>
        <w:rPr>
          <w:b/>
          <w:bCs/>
        </w:rPr>
      </w:pPr>
    </w:p>
    <w:p w14:paraId="61F5872E" w14:textId="77777777" w:rsidR="005B1914" w:rsidRDefault="005B1914" w:rsidP="00793DD5">
      <w:pPr>
        <w:rPr>
          <w:b/>
          <w:bCs/>
        </w:rPr>
      </w:pPr>
    </w:p>
    <w:p w14:paraId="7BC5B96C" w14:textId="29EF7D9F" w:rsidR="00BF1B57" w:rsidRPr="00D24CD3" w:rsidRDefault="00E947F4" w:rsidP="00793DD5">
      <w:pPr>
        <w:rPr>
          <w:b/>
          <w:bCs/>
        </w:rPr>
      </w:pPr>
      <w:r w:rsidRPr="00D24CD3">
        <w:rPr>
          <w:b/>
          <w:bCs/>
        </w:rPr>
        <w:t xml:space="preserve">Table Two </w:t>
      </w:r>
      <w:r w:rsidR="00BF1B57" w:rsidRPr="00D24CD3">
        <w:rPr>
          <w:b/>
          <w:bCs/>
        </w:rPr>
        <w:t xml:space="preserve">- </w:t>
      </w:r>
      <w:r w:rsidRPr="00D24CD3">
        <w:rPr>
          <w:b/>
          <w:bCs/>
        </w:rPr>
        <w:t>Sergeant to Inspector Promotion</w:t>
      </w:r>
      <w:r w:rsidR="00BF1B57" w:rsidRPr="00D24CD3">
        <w:rPr>
          <w:b/>
          <w:bCs/>
        </w:rPr>
        <w:t xml:space="preserve"> Process - April 2023 to December 2024</w:t>
      </w:r>
      <w:r w:rsidRPr="00D24CD3">
        <w:rPr>
          <w:b/>
          <w:bCs/>
        </w:rPr>
        <w:t>:</w:t>
      </w:r>
    </w:p>
    <w:tbl>
      <w:tblPr>
        <w:tblStyle w:val="TableGrid"/>
        <w:tblW w:w="14596" w:type="dxa"/>
        <w:tblLayout w:type="fixed"/>
        <w:tblLook w:val="04A0" w:firstRow="1" w:lastRow="0" w:firstColumn="1" w:lastColumn="0" w:noHBand="0" w:noVBand="1"/>
        <w:tblCaption w:val="Sergeant to Inspector Process – April 2023 to December 2024"/>
        <w:tblDescription w:val="Sergeant to Inspector Process – April 2023 to December 2024"/>
      </w:tblPr>
      <w:tblGrid>
        <w:gridCol w:w="2938"/>
        <w:gridCol w:w="2991"/>
        <w:gridCol w:w="3138"/>
        <w:gridCol w:w="1701"/>
        <w:gridCol w:w="1843"/>
        <w:gridCol w:w="1985"/>
      </w:tblGrid>
      <w:tr w:rsidR="00BF1B57" w:rsidRPr="00582AF3" w14:paraId="1025A59A" w14:textId="77777777" w:rsidTr="00BF1B57">
        <w:trPr>
          <w:trHeight w:hRule="exact" w:val="510"/>
          <w:tblHeader/>
        </w:trPr>
        <w:tc>
          <w:tcPr>
            <w:tcW w:w="2938" w:type="dxa"/>
            <w:shd w:val="clear" w:color="auto" w:fill="D9D9D9" w:themeFill="background1" w:themeFillShade="D9"/>
          </w:tcPr>
          <w:p w14:paraId="6B675560" w14:textId="77777777" w:rsidR="00BF1B57" w:rsidRPr="00582AF3" w:rsidRDefault="00BF1B57" w:rsidP="00637A79">
            <w:pPr>
              <w:spacing w:line="240" w:lineRule="auto"/>
            </w:pPr>
            <w:r w:rsidRPr="00582AF3">
              <w:t>Ethnic Origin</w:t>
            </w:r>
          </w:p>
        </w:tc>
        <w:tc>
          <w:tcPr>
            <w:tcW w:w="2991" w:type="dxa"/>
            <w:shd w:val="clear" w:color="auto" w:fill="D9D9D9" w:themeFill="background1" w:themeFillShade="D9"/>
          </w:tcPr>
          <w:p w14:paraId="76432880" w14:textId="77777777" w:rsidR="00BF1B57" w:rsidRPr="00582AF3" w:rsidRDefault="00BF1B57" w:rsidP="00637A79">
            <w:pPr>
              <w:spacing w:line="240" w:lineRule="auto"/>
            </w:pPr>
            <w:r w:rsidRPr="00582AF3">
              <w:rPr>
                <w:bCs/>
              </w:rPr>
              <w:t>Applications Received</w:t>
            </w:r>
            <w:r>
              <w:rPr>
                <w:bCs/>
              </w:rPr>
              <w:t xml:space="preserve"> </w:t>
            </w:r>
            <w:r w:rsidRPr="00582AF3">
              <w:rPr>
                <w:bCs/>
              </w:rPr>
              <w:t>%</w:t>
            </w:r>
          </w:p>
        </w:tc>
        <w:tc>
          <w:tcPr>
            <w:tcW w:w="3138" w:type="dxa"/>
            <w:shd w:val="clear" w:color="auto" w:fill="D9D9D9" w:themeFill="background1" w:themeFillShade="D9"/>
          </w:tcPr>
          <w:p w14:paraId="0975B49C" w14:textId="77777777" w:rsidR="00BF1B57" w:rsidRPr="00582AF3" w:rsidRDefault="00BF1B57" w:rsidP="00637A79">
            <w:pPr>
              <w:spacing w:line="240" w:lineRule="auto"/>
            </w:pPr>
            <w:r w:rsidRPr="00582AF3">
              <w:rPr>
                <w:bCs/>
              </w:rPr>
              <w:t>Applications Received</w:t>
            </w:r>
            <w:r>
              <w:rPr>
                <w:bCs/>
              </w:rPr>
              <w:t xml:space="preserve"> </w:t>
            </w:r>
            <w:r w:rsidRPr="00582AF3">
              <w:rPr>
                <w:bCs/>
              </w:rPr>
              <w:t>No.</w:t>
            </w:r>
          </w:p>
        </w:tc>
        <w:tc>
          <w:tcPr>
            <w:tcW w:w="1701" w:type="dxa"/>
            <w:shd w:val="clear" w:color="auto" w:fill="D9D9D9" w:themeFill="background1" w:themeFillShade="D9"/>
          </w:tcPr>
          <w:p w14:paraId="039E6CC3" w14:textId="77777777" w:rsidR="00BF1B57" w:rsidRPr="00582AF3" w:rsidRDefault="00BF1B57" w:rsidP="00637A79">
            <w:pPr>
              <w:spacing w:line="240" w:lineRule="auto"/>
              <w:rPr>
                <w:bCs/>
              </w:rPr>
            </w:pPr>
            <w:r w:rsidRPr="00582AF3">
              <w:rPr>
                <w:bCs/>
              </w:rPr>
              <w:t>Successful %</w:t>
            </w:r>
          </w:p>
        </w:tc>
        <w:tc>
          <w:tcPr>
            <w:tcW w:w="1843" w:type="dxa"/>
            <w:shd w:val="clear" w:color="auto" w:fill="D9D9D9" w:themeFill="background1" w:themeFillShade="D9"/>
          </w:tcPr>
          <w:p w14:paraId="6FBF2F22" w14:textId="77777777" w:rsidR="00BF1B57" w:rsidRPr="00582AF3" w:rsidRDefault="00BF1B57" w:rsidP="00637A79">
            <w:pPr>
              <w:spacing w:line="240" w:lineRule="auto"/>
              <w:rPr>
                <w:bCs/>
              </w:rPr>
            </w:pPr>
            <w:r w:rsidRPr="00582AF3">
              <w:rPr>
                <w:bCs/>
              </w:rPr>
              <w:t>Successful No.</w:t>
            </w:r>
          </w:p>
        </w:tc>
        <w:tc>
          <w:tcPr>
            <w:tcW w:w="1985" w:type="dxa"/>
            <w:shd w:val="clear" w:color="auto" w:fill="D9D9D9" w:themeFill="background1" w:themeFillShade="D9"/>
          </w:tcPr>
          <w:p w14:paraId="14801155" w14:textId="77777777" w:rsidR="00BF1B57" w:rsidRPr="00582AF3" w:rsidRDefault="00BF1B57" w:rsidP="00637A79">
            <w:pPr>
              <w:spacing w:line="240" w:lineRule="auto"/>
              <w:rPr>
                <w:bCs/>
              </w:rPr>
            </w:pPr>
            <w:r w:rsidRPr="00582AF3">
              <w:rPr>
                <w:bCs/>
              </w:rPr>
              <w:t>Success Rate</w:t>
            </w:r>
            <w:r>
              <w:rPr>
                <w:bCs/>
              </w:rPr>
              <w:t xml:space="preserve"> </w:t>
            </w:r>
            <w:r w:rsidRPr="00582AF3">
              <w:rPr>
                <w:bCs/>
              </w:rPr>
              <w:t>%</w:t>
            </w:r>
          </w:p>
        </w:tc>
      </w:tr>
      <w:tr w:rsidR="00BF1B57" w:rsidRPr="00582AF3" w14:paraId="49D17869" w14:textId="77777777" w:rsidTr="00BF1B57">
        <w:trPr>
          <w:trHeight w:hRule="exact" w:val="510"/>
        </w:trPr>
        <w:tc>
          <w:tcPr>
            <w:tcW w:w="2938" w:type="dxa"/>
          </w:tcPr>
          <w:p w14:paraId="0F4EAF82" w14:textId="77777777" w:rsidR="00BF1B57" w:rsidRPr="00582AF3" w:rsidRDefault="00BF1B57" w:rsidP="00637A79">
            <w:pPr>
              <w:spacing w:line="240" w:lineRule="auto"/>
              <w:rPr>
                <w:b/>
              </w:rPr>
            </w:pPr>
            <w:r w:rsidRPr="00582AF3">
              <w:t>White Scottish</w:t>
            </w:r>
          </w:p>
        </w:tc>
        <w:tc>
          <w:tcPr>
            <w:tcW w:w="2991" w:type="dxa"/>
          </w:tcPr>
          <w:p w14:paraId="58AFC84B" w14:textId="77777777" w:rsidR="00BF1B57" w:rsidRPr="00582AF3" w:rsidRDefault="00BF1B57" w:rsidP="00637A79">
            <w:pPr>
              <w:spacing w:line="240" w:lineRule="auto"/>
            </w:pPr>
            <w:r w:rsidRPr="00582AF3">
              <w:t>82.44%</w:t>
            </w:r>
          </w:p>
        </w:tc>
        <w:tc>
          <w:tcPr>
            <w:tcW w:w="3138" w:type="dxa"/>
          </w:tcPr>
          <w:p w14:paraId="6AA3DCAE" w14:textId="77777777" w:rsidR="00BF1B57" w:rsidRPr="00582AF3" w:rsidRDefault="00BF1B57" w:rsidP="00637A79">
            <w:pPr>
              <w:spacing w:line="240" w:lineRule="auto"/>
            </w:pPr>
            <w:r w:rsidRPr="00582AF3">
              <w:t>352</w:t>
            </w:r>
          </w:p>
        </w:tc>
        <w:tc>
          <w:tcPr>
            <w:tcW w:w="1701" w:type="dxa"/>
          </w:tcPr>
          <w:p w14:paraId="2B55ED95" w14:textId="77777777" w:rsidR="00BF1B57" w:rsidRPr="00582AF3" w:rsidRDefault="00BF1B57" w:rsidP="00637A79">
            <w:pPr>
              <w:spacing w:line="240" w:lineRule="auto"/>
            </w:pPr>
            <w:r w:rsidRPr="00582AF3">
              <w:t>89.36%</w:t>
            </w:r>
          </w:p>
        </w:tc>
        <w:tc>
          <w:tcPr>
            <w:tcW w:w="1843" w:type="dxa"/>
          </w:tcPr>
          <w:p w14:paraId="1A8835F6" w14:textId="77777777" w:rsidR="00BF1B57" w:rsidRPr="00582AF3" w:rsidRDefault="00BF1B57" w:rsidP="00637A79">
            <w:pPr>
              <w:spacing w:line="240" w:lineRule="auto"/>
            </w:pPr>
            <w:r w:rsidRPr="00582AF3">
              <w:t>126</w:t>
            </w:r>
          </w:p>
        </w:tc>
        <w:tc>
          <w:tcPr>
            <w:tcW w:w="1985" w:type="dxa"/>
          </w:tcPr>
          <w:p w14:paraId="768AE71F" w14:textId="77777777" w:rsidR="00BF1B57" w:rsidRPr="00582AF3" w:rsidRDefault="00BF1B57" w:rsidP="00637A79">
            <w:pPr>
              <w:spacing w:line="240" w:lineRule="auto"/>
            </w:pPr>
            <w:r w:rsidRPr="00582AF3">
              <w:t>36%</w:t>
            </w:r>
          </w:p>
        </w:tc>
      </w:tr>
      <w:tr w:rsidR="00BF1B57" w:rsidRPr="00582AF3" w14:paraId="35B76C29" w14:textId="77777777" w:rsidTr="00BF1B57">
        <w:trPr>
          <w:trHeight w:hRule="exact" w:val="510"/>
        </w:trPr>
        <w:tc>
          <w:tcPr>
            <w:tcW w:w="2938" w:type="dxa"/>
          </w:tcPr>
          <w:p w14:paraId="04054092" w14:textId="77777777" w:rsidR="00BF1B57" w:rsidRPr="00582AF3" w:rsidRDefault="00BF1B57" w:rsidP="00637A79">
            <w:pPr>
              <w:spacing w:line="240" w:lineRule="auto"/>
              <w:rPr>
                <w:b/>
              </w:rPr>
            </w:pPr>
            <w:r w:rsidRPr="00582AF3">
              <w:t>All Other White British</w:t>
            </w:r>
          </w:p>
        </w:tc>
        <w:tc>
          <w:tcPr>
            <w:tcW w:w="2991" w:type="dxa"/>
          </w:tcPr>
          <w:p w14:paraId="588ACE25" w14:textId="77777777" w:rsidR="00BF1B57" w:rsidRPr="00582AF3" w:rsidRDefault="00BF1B57" w:rsidP="00637A79">
            <w:pPr>
              <w:spacing w:line="240" w:lineRule="auto"/>
            </w:pPr>
            <w:r w:rsidRPr="00582AF3">
              <w:t>6.79%</w:t>
            </w:r>
          </w:p>
        </w:tc>
        <w:tc>
          <w:tcPr>
            <w:tcW w:w="3138" w:type="dxa"/>
          </w:tcPr>
          <w:p w14:paraId="6013489E" w14:textId="77777777" w:rsidR="00BF1B57" w:rsidRPr="00582AF3" w:rsidRDefault="00BF1B57" w:rsidP="00637A79">
            <w:pPr>
              <w:spacing w:line="240" w:lineRule="auto"/>
            </w:pPr>
            <w:r w:rsidRPr="00582AF3">
              <w:t>29</w:t>
            </w:r>
          </w:p>
        </w:tc>
        <w:tc>
          <w:tcPr>
            <w:tcW w:w="1701" w:type="dxa"/>
          </w:tcPr>
          <w:p w14:paraId="5ED5B3CE" w14:textId="77777777" w:rsidR="00BF1B57" w:rsidRPr="00582AF3" w:rsidRDefault="00BF1B57" w:rsidP="00637A79">
            <w:pPr>
              <w:spacing w:line="240" w:lineRule="auto"/>
            </w:pPr>
            <w:r w:rsidRPr="00582AF3">
              <w:t>4.96%</w:t>
            </w:r>
          </w:p>
        </w:tc>
        <w:tc>
          <w:tcPr>
            <w:tcW w:w="1843" w:type="dxa"/>
          </w:tcPr>
          <w:p w14:paraId="475FE0F1" w14:textId="77777777" w:rsidR="00BF1B57" w:rsidRPr="00582AF3" w:rsidRDefault="00BF1B57" w:rsidP="00637A79">
            <w:pPr>
              <w:spacing w:line="240" w:lineRule="auto"/>
            </w:pPr>
            <w:r w:rsidRPr="00582AF3">
              <w:t>7</w:t>
            </w:r>
          </w:p>
        </w:tc>
        <w:tc>
          <w:tcPr>
            <w:tcW w:w="1985" w:type="dxa"/>
          </w:tcPr>
          <w:p w14:paraId="44456819" w14:textId="77777777" w:rsidR="00BF1B57" w:rsidRPr="00582AF3" w:rsidRDefault="00BF1B57" w:rsidP="00637A79">
            <w:pPr>
              <w:spacing w:line="240" w:lineRule="auto"/>
            </w:pPr>
            <w:r w:rsidRPr="00582AF3">
              <w:t>24%</w:t>
            </w:r>
          </w:p>
        </w:tc>
      </w:tr>
      <w:tr w:rsidR="00BF1B57" w:rsidRPr="00582AF3" w14:paraId="1CABE7B7" w14:textId="77777777" w:rsidTr="00BF1B57">
        <w:trPr>
          <w:trHeight w:hRule="exact" w:val="510"/>
        </w:trPr>
        <w:tc>
          <w:tcPr>
            <w:tcW w:w="2938" w:type="dxa"/>
          </w:tcPr>
          <w:p w14:paraId="58BD3C02" w14:textId="77777777" w:rsidR="00BF1B57" w:rsidRPr="00582AF3" w:rsidRDefault="00BF1B57" w:rsidP="00637A79">
            <w:pPr>
              <w:spacing w:line="240" w:lineRule="auto"/>
              <w:rPr>
                <w:b/>
              </w:rPr>
            </w:pPr>
            <w:r w:rsidRPr="00582AF3">
              <w:t xml:space="preserve">White Minority </w:t>
            </w:r>
          </w:p>
        </w:tc>
        <w:tc>
          <w:tcPr>
            <w:tcW w:w="2991" w:type="dxa"/>
          </w:tcPr>
          <w:p w14:paraId="6EB3EDC5" w14:textId="77777777" w:rsidR="00BF1B57" w:rsidRPr="00582AF3" w:rsidRDefault="00BF1B57" w:rsidP="00637A79">
            <w:pPr>
              <w:spacing w:line="240" w:lineRule="auto"/>
            </w:pPr>
            <w:r w:rsidRPr="00582AF3">
              <w:t>0.94%</w:t>
            </w:r>
          </w:p>
        </w:tc>
        <w:tc>
          <w:tcPr>
            <w:tcW w:w="3138" w:type="dxa"/>
          </w:tcPr>
          <w:p w14:paraId="07B57EA1" w14:textId="77777777" w:rsidR="00BF1B57" w:rsidRPr="00582AF3" w:rsidRDefault="00BF1B57" w:rsidP="00637A79">
            <w:pPr>
              <w:spacing w:line="240" w:lineRule="auto"/>
            </w:pPr>
            <w:r w:rsidRPr="00582AF3">
              <w:t>4</w:t>
            </w:r>
          </w:p>
        </w:tc>
        <w:tc>
          <w:tcPr>
            <w:tcW w:w="1701" w:type="dxa"/>
          </w:tcPr>
          <w:p w14:paraId="58C794DE" w14:textId="77777777" w:rsidR="00BF1B57" w:rsidRPr="00582AF3" w:rsidRDefault="00BF1B57" w:rsidP="00637A79">
            <w:pPr>
              <w:spacing w:line="240" w:lineRule="auto"/>
            </w:pPr>
            <w:r w:rsidRPr="00582AF3">
              <w:t>0.00%</w:t>
            </w:r>
          </w:p>
        </w:tc>
        <w:tc>
          <w:tcPr>
            <w:tcW w:w="1843" w:type="dxa"/>
          </w:tcPr>
          <w:p w14:paraId="7BA6F331" w14:textId="77777777" w:rsidR="00BF1B57" w:rsidRPr="00582AF3" w:rsidRDefault="00BF1B57" w:rsidP="00637A79">
            <w:pPr>
              <w:spacing w:line="240" w:lineRule="auto"/>
            </w:pPr>
            <w:r w:rsidRPr="00582AF3">
              <w:t>0</w:t>
            </w:r>
          </w:p>
        </w:tc>
        <w:tc>
          <w:tcPr>
            <w:tcW w:w="1985" w:type="dxa"/>
          </w:tcPr>
          <w:p w14:paraId="4ECCAA3E" w14:textId="77777777" w:rsidR="00BF1B57" w:rsidRPr="00582AF3" w:rsidRDefault="00BF1B57" w:rsidP="00637A79">
            <w:pPr>
              <w:spacing w:line="240" w:lineRule="auto"/>
            </w:pPr>
            <w:r w:rsidRPr="00582AF3">
              <w:t>0%</w:t>
            </w:r>
          </w:p>
        </w:tc>
      </w:tr>
      <w:tr w:rsidR="00BF1B57" w:rsidRPr="00582AF3" w14:paraId="1ABAEEBA" w14:textId="77777777" w:rsidTr="00BF1B57">
        <w:trPr>
          <w:trHeight w:hRule="exact" w:val="510"/>
        </w:trPr>
        <w:tc>
          <w:tcPr>
            <w:tcW w:w="2938" w:type="dxa"/>
          </w:tcPr>
          <w:p w14:paraId="09E50D22" w14:textId="77777777" w:rsidR="00BF1B57" w:rsidRPr="00582AF3" w:rsidRDefault="00BF1B57" w:rsidP="00637A79">
            <w:pPr>
              <w:spacing w:line="240" w:lineRule="auto"/>
            </w:pPr>
            <w:r w:rsidRPr="00582AF3">
              <w:t>BME</w:t>
            </w:r>
          </w:p>
        </w:tc>
        <w:tc>
          <w:tcPr>
            <w:tcW w:w="2991" w:type="dxa"/>
          </w:tcPr>
          <w:p w14:paraId="333586ED" w14:textId="77777777" w:rsidR="00BF1B57" w:rsidRPr="00582AF3" w:rsidRDefault="00BF1B57" w:rsidP="00637A79">
            <w:pPr>
              <w:spacing w:line="240" w:lineRule="auto"/>
            </w:pPr>
            <w:r w:rsidRPr="00582AF3">
              <w:t>1.41%</w:t>
            </w:r>
          </w:p>
        </w:tc>
        <w:tc>
          <w:tcPr>
            <w:tcW w:w="3138" w:type="dxa"/>
          </w:tcPr>
          <w:p w14:paraId="27860711" w14:textId="77777777" w:rsidR="00BF1B57" w:rsidRPr="00582AF3" w:rsidRDefault="00BF1B57" w:rsidP="00637A79">
            <w:pPr>
              <w:spacing w:line="240" w:lineRule="auto"/>
            </w:pPr>
            <w:r w:rsidRPr="00582AF3">
              <w:t>6</w:t>
            </w:r>
          </w:p>
        </w:tc>
        <w:tc>
          <w:tcPr>
            <w:tcW w:w="1701" w:type="dxa"/>
          </w:tcPr>
          <w:p w14:paraId="5BC9F044" w14:textId="77777777" w:rsidR="00BF1B57" w:rsidRPr="00582AF3" w:rsidRDefault="00BF1B57" w:rsidP="00637A79">
            <w:pPr>
              <w:spacing w:line="240" w:lineRule="auto"/>
            </w:pPr>
            <w:r w:rsidRPr="00582AF3">
              <w:t>0.71%</w:t>
            </w:r>
          </w:p>
        </w:tc>
        <w:tc>
          <w:tcPr>
            <w:tcW w:w="1843" w:type="dxa"/>
          </w:tcPr>
          <w:p w14:paraId="6D13396A" w14:textId="77777777" w:rsidR="00BF1B57" w:rsidRPr="00582AF3" w:rsidRDefault="00BF1B57" w:rsidP="00637A79">
            <w:pPr>
              <w:spacing w:line="240" w:lineRule="auto"/>
            </w:pPr>
            <w:r w:rsidRPr="00582AF3">
              <w:t>1</w:t>
            </w:r>
          </w:p>
        </w:tc>
        <w:tc>
          <w:tcPr>
            <w:tcW w:w="1985" w:type="dxa"/>
          </w:tcPr>
          <w:p w14:paraId="158E9A1C" w14:textId="77777777" w:rsidR="00BF1B57" w:rsidRPr="00582AF3" w:rsidRDefault="00BF1B57" w:rsidP="00637A79">
            <w:pPr>
              <w:spacing w:line="240" w:lineRule="auto"/>
            </w:pPr>
            <w:r w:rsidRPr="00582AF3">
              <w:t>17%</w:t>
            </w:r>
          </w:p>
        </w:tc>
      </w:tr>
      <w:tr w:rsidR="00BF1B57" w:rsidRPr="00582AF3" w14:paraId="6BB1E414" w14:textId="77777777" w:rsidTr="00BF1B57">
        <w:trPr>
          <w:trHeight w:hRule="exact" w:val="510"/>
        </w:trPr>
        <w:tc>
          <w:tcPr>
            <w:tcW w:w="2938" w:type="dxa"/>
          </w:tcPr>
          <w:p w14:paraId="10652526" w14:textId="77777777" w:rsidR="00BF1B57" w:rsidRPr="00582AF3" w:rsidRDefault="00BF1B57" w:rsidP="00637A79">
            <w:pPr>
              <w:spacing w:line="240" w:lineRule="auto"/>
              <w:rPr>
                <w:b/>
              </w:rPr>
            </w:pPr>
            <w:r w:rsidRPr="00582AF3">
              <w:lastRenderedPageBreak/>
              <w:t xml:space="preserve">Choose Not </w:t>
            </w:r>
            <w:r>
              <w:t>t</w:t>
            </w:r>
            <w:r w:rsidRPr="00582AF3">
              <w:t>o Disclose</w:t>
            </w:r>
          </w:p>
        </w:tc>
        <w:tc>
          <w:tcPr>
            <w:tcW w:w="2991" w:type="dxa"/>
          </w:tcPr>
          <w:p w14:paraId="134ED289" w14:textId="77777777" w:rsidR="00BF1B57" w:rsidRPr="00582AF3" w:rsidRDefault="00BF1B57" w:rsidP="00637A79">
            <w:pPr>
              <w:spacing w:line="240" w:lineRule="auto"/>
            </w:pPr>
            <w:r w:rsidRPr="00582AF3">
              <w:t>8.43%</w:t>
            </w:r>
          </w:p>
        </w:tc>
        <w:tc>
          <w:tcPr>
            <w:tcW w:w="3138" w:type="dxa"/>
          </w:tcPr>
          <w:p w14:paraId="51EFA04B" w14:textId="77777777" w:rsidR="00BF1B57" w:rsidRPr="00582AF3" w:rsidRDefault="00BF1B57" w:rsidP="00637A79">
            <w:pPr>
              <w:spacing w:line="240" w:lineRule="auto"/>
            </w:pPr>
            <w:r w:rsidRPr="00582AF3">
              <w:t>36</w:t>
            </w:r>
          </w:p>
        </w:tc>
        <w:tc>
          <w:tcPr>
            <w:tcW w:w="1701" w:type="dxa"/>
          </w:tcPr>
          <w:p w14:paraId="70E544DF" w14:textId="77777777" w:rsidR="00BF1B57" w:rsidRPr="00582AF3" w:rsidRDefault="00BF1B57" w:rsidP="00637A79">
            <w:pPr>
              <w:spacing w:line="240" w:lineRule="auto"/>
            </w:pPr>
            <w:r w:rsidRPr="00582AF3">
              <w:t>4.96%</w:t>
            </w:r>
          </w:p>
        </w:tc>
        <w:tc>
          <w:tcPr>
            <w:tcW w:w="1843" w:type="dxa"/>
          </w:tcPr>
          <w:p w14:paraId="269000DF" w14:textId="77777777" w:rsidR="00BF1B57" w:rsidRPr="00582AF3" w:rsidRDefault="00BF1B57" w:rsidP="00637A79">
            <w:pPr>
              <w:spacing w:line="240" w:lineRule="auto"/>
            </w:pPr>
            <w:r w:rsidRPr="00582AF3">
              <w:t>7</w:t>
            </w:r>
          </w:p>
        </w:tc>
        <w:tc>
          <w:tcPr>
            <w:tcW w:w="1985" w:type="dxa"/>
          </w:tcPr>
          <w:p w14:paraId="7D7E272D" w14:textId="77777777" w:rsidR="00BF1B57" w:rsidRPr="00582AF3" w:rsidRDefault="00BF1B57" w:rsidP="00637A79">
            <w:pPr>
              <w:spacing w:line="240" w:lineRule="auto"/>
            </w:pPr>
            <w:r w:rsidRPr="00582AF3">
              <w:t>19%</w:t>
            </w:r>
          </w:p>
        </w:tc>
      </w:tr>
      <w:tr w:rsidR="00BF1B57" w:rsidRPr="00582AF3" w14:paraId="3778B6B1" w14:textId="77777777" w:rsidTr="00BF1B57">
        <w:trPr>
          <w:trHeight w:hRule="exact" w:val="510"/>
        </w:trPr>
        <w:tc>
          <w:tcPr>
            <w:tcW w:w="2938" w:type="dxa"/>
            <w:shd w:val="clear" w:color="auto" w:fill="D9D9D9" w:themeFill="background1" w:themeFillShade="D9"/>
          </w:tcPr>
          <w:p w14:paraId="2287C17D" w14:textId="77777777" w:rsidR="00BF1B57" w:rsidRPr="00582AF3" w:rsidRDefault="00BF1B57" w:rsidP="00637A79">
            <w:pPr>
              <w:spacing w:line="240" w:lineRule="auto"/>
            </w:pPr>
            <w:r w:rsidRPr="00582AF3">
              <w:t>Total</w:t>
            </w:r>
          </w:p>
        </w:tc>
        <w:tc>
          <w:tcPr>
            <w:tcW w:w="2991" w:type="dxa"/>
            <w:shd w:val="clear" w:color="auto" w:fill="D9D9D9" w:themeFill="background1" w:themeFillShade="D9"/>
          </w:tcPr>
          <w:p w14:paraId="4D169361" w14:textId="77777777" w:rsidR="00BF1B57" w:rsidRPr="00582AF3" w:rsidRDefault="00BF1B57" w:rsidP="00637A79">
            <w:pPr>
              <w:spacing w:line="240" w:lineRule="auto"/>
            </w:pPr>
            <w:r w:rsidRPr="00582AF3">
              <w:t>100.00%</w:t>
            </w:r>
          </w:p>
        </w:tc>
        <w:tc>
          <w:tcPr>
            <w:tcW w:w="3138" w:type="dxa"/>
            <w:shd w:val="clear" w:color="auto" w:fill="D9D9D9" w:themeFill="background1" w:themeFillShade="D9"/>
          </w:tcPr>
          <w:p w14:paraId="7620C833" w14:textId="77777777" w:rsidR="00BF1B57" w:rsidRPr="00582AF3" w:rsidRDefault="00BF1B57" w:rsidP="00637A79">
            <w:pPr>
              <w:spacing w:line="240" w:lineRule="auto"/>
            </w:pPr>
            <w:r w:rsidRPr="00582AF3">
              <w:t>427</w:t>
            </w:r>
          </w:p>
        </w:tc>
        <w:tc>
          <w:tcPr>
            <w:tcW w:w="1701" w:type="dxa"/>
            <w:shd w:val="clear" w:color="auto" w:fill="D9D9D9" w:themeFill="background1" w:themeFillShade="D9"/>
          </w:tcPr>
          <w:p w14:paraId="62AD562B" w14:textId="77777777" w:rsidR="00BF1B57" w:rsidRPr="00582AF3" w:rsidRDefault="00BF1B57" w:rsidP="00637A79">
            <w:pPr>
              <w:spacing w:line="240" w:lineRule="auto"/>
            </w:pPr>
            <w:r w:rsidRPr="00582AF3">
              <w:t>100.00%</w:t>
            </w:r>
          </w:p>
        </w:tc>
        <w:tc>
          <w:tcPr>
            <w:tcW w:w="1843" w:type="dxa"/>
            <w:shd w:val="clear" w:color="auto" w:fill="D9D9D9" w:themeFill="background1" w:themeFillShade="D9"/>
          </w:tcPr>
          <w:p w14:paraId="2ECFA363" w14:textId="77777777" w:rsidR="00BF1B57" w:rsidRPr="00582AF3" w:rsidRDefault="00BF1B57" w:rsidP="00637A79">
            <w:pPr>
              <w:spacing w:line="240" w:lineRule="auto"/>
            </w:pPr>
            <w:r w:rsidRPr="00582AF3">
              <w:t>141</w:t>
            </w:r>
          </w:p>
        </w:tc>
        <w:tc>
          <w:tcPr>
            <w:tcW w:w="1985" w:type="dxa"/>
            <w:shd w:val="clear" w:color="auto" w:fill="D9D9D9" w:themeFill="background1" w:themeFillShade="D9"/>
          </w:tcPr>
          <w:p w14:paraId="6EBBD8CA" w14:textId="77777777" w:rsidR="00BF1B57" w:rsidRPr="00582AF3" w:rsidRDefault="00BF1B57" w:rsidP="00637A79">
            <w:pPr>
              <w:spacing w:line="240" w:lineRule="auto"/>
            </w:pPr>
            <w:r w:rsidRPr="00582AF3">
              <w:t>33%</w:t>
            </w:r>
          </w:p>
        </w:tc>
      </w:tr>
    </w:tbl>
    <w:p w14:paraId="182039D8" w14:textId="77777777" w:rsidR="00C20CAE" w:rsidRDefault="00C20CAE" w:rsidP="00BF1B57"/>
    <w:p w14:paraId="3DA01782" w14:textId="77777777" w:rsidR="005B1914" w:rsidRDefault="005B1914" w:rsidP="00E65CA7">
      <w:pPr>
        <w:jc w:val="both"/>
      </w:pPr>
      <w:r w:rsidRPr="003A7966">
        <w:t xml:space="preserve">Please be advised that </w:t>
      </w:r>
      <w:r>
        <w:t>o</w:t>
      </w:r>
      <w:r w:rsidRPr="003A7966">
        <w:t xml:space="preserve">fficers </w:t>
      </w:r>
      <w:r>
        <w:t xml:space="preserve">provide data </w:t>
      </w:r>
      <w:r w:rsidRPr="003A7966">
        <w:t>voluntarily and can choose not to disclose.</w:t>
      </w:r>
    </w:p>
    <w:p w14:paraId="16D7E89D" w14:textId="45007548" w:rsidR="005B1914" w:rsidRDefault="005B1914" w:rsidP="00E65CA7">
      <w:pPr>
        <w:jc w:val="both"/>
      </w:pPr>
      <w:r w:rsidRPr="00582AF3">
        <w:t>The category of Not Recorded is where an officer’s data is not yet recorded on our HR system.</w:t>
      </w:r>
    </w:p>
    <w:p w14:paraId="253A7B61" w14:textId="77777777" w:rsidR="005B1914" w:rsidRPr="005B1914" w:rsidRDefault="005B1914" w:rsidP="00E65CA7">
      <w:pPr>
        <w:jc w:val="both"/>
      </w:pPr>
      <w:r w:rsidRPr="005B1914">
        <w:t>The ethnic origin categories have been categorised in the following way:</w:t>
      </w:r>
    </w:p>
    <w:p w14:paraId="4F9BEC50" w14:textId="77777777" w:rsidR="005B1914" w:rsidRPr="005B1914" w:rsidRDefault="005B1914" w:rsidP="00E65CA7">
      <w:pPr>
        <w:numPr>
          <w:ilvl w:val="0"/>
          <w:numId w:val="4"/>
        </w:numPr>
        <w:jc w:val="both"/>
      </w:pPr>
      <w:r w:rsidRPr="005B1914">
        <w:rPr>
          <w:b/>
        </w:rPr>
        <w:t xml:space="preserve">BME - </w:t>
      </w:r>
      <w:r w:rsidRPr="005B1914">
        <w:t xml:space="preserve">Mixed or Multiple Ethnic Group, Asian Pakistani, Asian Indian, Asian Bangladeshi, Asian Chinese, Asian Other, African, African Other, Caribbean, Black, Caribbean or Black Other, Arab and Other Ethnic Group. </w:t>
      </w:r>
    </w:p>
    <w:p w14:paraId="2BC59C1F" w14:textId="77777777" w:rsidR="005B1914" w:rsidRPr="005B1914" w:rsidRDefault="005B1914" w:rsidP="00E65CA7">
      <w:pPr>
        <w:numPr>
          <w:ilvl w:val="0"/>
          <w:numId w:val="4"/>
        </w:numPr>
        <w:jc w:val="both"/>
      </w:pPr>
      <w:r w:rsidRPr="005B1914">
        <w:rPr>
          <w:b/>
        </w:rPr>
        <w:t>White Minority</w:t>
      </w:r>
      <w:r w:rsidRPr="005B1914">
        <w:t xml:space="preserve"> - White Irish, White Gypsy/Traveller, White Polish and White Other.</w:t>
      </w:r>
      <w:bookmarkStart w:id="0" w:name="_Toc394043181"/>
    </w:p>
    <w:p w14:paraId="570309AF" w14:textId="5E438C4F" w:rsidR="005B1914" w:rsidRPr="005B1914" w:rsidRDefault="005B1914" w:rsidP="00E65CA7">
      <w:pPr>
        <w:numPr>
          <w:ilvl w:val="0"/>
          <w:numId w:val="4"/>
        </w:numPr>
        <w:jc w:val="both"/>
      </w:pPr>
      <w:r w:rsidRPr="005B1914">
        <w:rPr>
          <w:b/>
        </w:rPr>
        <w:t xml:space="preserve">All Other White British - </w:t>
      </w:r>
      <w:r w:rsidRPr="005B1914">
        <w:t>White English, White Northern Irish, White Welsh and White Other British</w:t>
      </w:r>
      <w:bookmarkEnd w:id="0"/>
    </w:p>
    <w:sectPr w:rsidR="005B1914" w:rsidRPr="005B1914" w:rsidSect="00B54118">
      <w:pgSz w:w="16838" w:h="11906" w:orient="landscape"/>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3A160264"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A4470">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5DB27D38"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A4470">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295684A5"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A4470">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2C298DF9"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A4470">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24C0074C"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A4470">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25273447"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A4470">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721C5"/>
    <w:multiLevelType w:val="hybridMultilevel"/>
    <w:tmpl w:val="57BE8B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FDC648C"/>
    <w:multiLevelType w:val="hybridMultilevel"/>
    <w:tmpl w:val="DCCACF6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DEA7526"/>
    <w:multiLevelType w:val="hybridMultilevel"/>
    <w:tmpl w:val="DF9C0DC0"/>
    <w:lvl w:ilvl="0" w:tplc="FC2232B0">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3"/>
  </w:num>
  <w:num w:numId="2" w16cid:durableId="1563903504">
    <w:abstractNumId w:val="0"/>
  </w:num>
  <w:num w:numId="3" w16cid:durableId="2082019081">
    <w:abstractNumId w:val="1"/>
  </w:num>
  <w:num w:numId="4" w16cid:durableId="980639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20"/>
  <w:displayHorizontalDrawingGridEvery w:val="2"/>
  <w:displayVerticalDrawingGridEvery w:val="2"/>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41760"/>
    <w:rsid w:val="00090F3B"/>
    <w:rsid w:val="000E2F19"/>
    <w:rsid w:val="000E404F"/>
    <w:rsid w:val="000E43FF"/>
    <w:rsid w:val="000E6526"/>
    <w:rsid w:val="0011481A"/>
    <w:rsid w:val="00141533"/>
    <w:rsid w:val="00167528"/>
    <w:rsid w:val="00184727"/>
    <w:rsid w:val="00195CC4"/>
    <w:rsid w:val="001F2261"/>
    <w:rsid w:val="00207326"/>
    <w:rsid w:val="00216214"/>
    <w:rsid w:val="00253DF6"/>
    <w:rsid w:val="00255F1E"/>
    <w:rsid w:val="00260402"/>
    <w:rsid w:val="00260FBC"/>
    <w:rsid w:val="002C3539"/>
    <w:rsid w:val="002F2F0C"/>
    <w:rsid w:val="00317F26"/>
    <w:rsid w:val="0036503B"/>
    <w:rsid w:val="00376A4A"/>
    <w:rsid w:val="00381234"/>
    <w:rsid w:val="003D6D03"/>
    <w:rsid w:val="003E12CA"/>
    <w:rsid w:val="003F5EC4"/>
    <w:rsid w:val="004010DC"/>
    <w:rsid w:val="004341F0"/>
    <w:rsid w:val="004363EC"/>
    <w:rsid w:val="00456324"/>
    <w:rsid w:val="00475460"/>
    <w:rsid w:val="00490317"/>
    <w:rsid w:val="00491644"/>
    <w:rsid w:val="00496A08"/>
    <w:rsid w:val="004E1605"/>
    <w:rsid w:val="004F653C"/>
    <w:rsid w:val="00540A52"/>
    <w:rsid w:val="00546476"/>
    <w:rsid w:val="00557306"/>
    <w:rsid w:val="00576C5E"/>
    <w:rsid w:val="005A4470"/>
    <w:rsid w:val="005B1914"/>
    <w:rsid w:val="00645CFA"/>
    <w:rsid w:val="00673E50"/>
    <w:rsid w:val="00674A89"/>
    <w:rsid w:val="00685219"/>
    <w:rsid w:val="006D5799"/>
    <w:rsid w:val="007107FB"/>
    <w:rsid w:val="007440EA"/>
    <w:rsid w:val="00750D83"/>
    <w:rsid w:val="00785DBC"/>
    <w:rsid w:val="00793DD5"/>
    <w:rsid w:val="007C500F"/>
    <w:rsid w:val="007D55F6"/>
    <w:rsid w:val="007F490F"/>
    <w:rsid w:val="0086779C"/>
    <w:rsid w:val="00874BFD"/>
    <w:rsid w:val="008964EF"/>
    <w:rsid w:val="008B609A"/>
    <w:rsid w:val="00915E01"/>
    <w:rsid w:val="00943232"/>
    <w:rsid w:val="009631A4"/>
    <w:rsid w:val="00977296"/>
    <w:rsid w:val="009D2AA5"/>
    <w:rsid w:val="00A25E93"/>
    <w:rsid w:val="00A320FF"/>
    <w:rsid w:val="00A43793"/>
    <w:rsid w:val="00A70AC0"/>
    <w:rsid w:val="00A84EA9"/>
    <w:rsid w:val="00AC443C"/>
    <w:rsid w:val="00B033D6"/>
    <w:rsid w:val="00B11A55"/>
    <w:rsid w:val="00B17211"/>
    <w:rsid w:val="00B23D8B"/>
    <w:rsid w:val="00B461B2"/>
    <w:rsid w:val="00B54118"/>
    <w:rsid w:val="00B654B6"/>
    <w:rsid w:val="00B71B3C"/>
    <w:rsid w:val="00BB4396"/>
    <w:rsid w:val="00BC389E"/>
    <w:rsid w:val="00BD0588"/>
    <w:rsid w:val="00BE1888"/>
    <w:rsid w:val="00BF1B57"/>
    <w:rsid w:val="00BF6B81"/>
    <w:rsid w:val="00C077A8"/>
    <w:rsid w:val="00C14FF4"/>
    <w:rsid w:val="00C1679F"/>
    <w:rsid w:val="00C20CAE"/>
    <w:rsid w:val="00C606A2"/>
    <w:rsid w:val="00C63872"/>
    <w:rsid w:val="00C84948"/>
    <w:rsid w:val="00C94ED8"/>
    <w:rsid w:val="00CC0FA5"/>
    <w:rsid w:val="00CE09FA"/>
    <w:rsid w:val="00CF1111"/>
    <w:rsid w:val="00D05706"/>
    <w:rsid w:val="00D24CD3"/>
    <w:rsid w:val="00D27DC5"/>
    <w:rsid w:val="00D47E36"/>
    <w:rsid w:val="00D5102B"/>
    <w:rsid w:val="00E417E5"/>
    <w:rsid w:val="00E55D79"/>
    <w:rsid w:val="00E65CA7"/>
    <w:rsid w:val="00E947F4"/>
    <w:rsid w:val="00EC6C33"/>
    <w:rsid w:val="00EE2373"/>
    <w:rsid w:val="00EF0FBB"/>
    <w:rsid w:val="00EF4761"/>
    <w:rsid w:val="00F0209D"/>
    <w:rsid w:val="00F22824"/>
    <w:rsid w:val="00F56498"/>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qFormat/>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character" w:styleId="UnresolvedMention">
    <w:name w:val="Unresolved Mention"/>
    <w:basedOn w:val="DefaultParagraphFont"/>
    <w:uiPriority w:val="99"/>
    <w:semiHidden/>
    <w:unhideWhenUsed/>
    <w:rsid w:val="00673E50"/>
    <w:rPr>
      <w:color w:val="605E5C"/>
      <w:shd w:val="clear" w:color="auto" w:fill="E1DFDD"/>
    </w:rPr>
  </w:style>
  <w:style w:type="character" w:styleId="FollowedHyperlink">
    <w:name w:val="FollowedHyperlink"/>
    <w:basedOn w:val="DefaultParagraphFont"/>
    <w:uiPriority w:val="99"/>
    <w:semiHidden/>
    <w:unhideWhenUsed/>
    <w:rsid w:val="00673E5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626020">
      <w:bodyDiv w:val="1"/>
      <w:marLeft w:val="0"/>
      <w:marRight w:val="0"/>
      <w:marTop w:val="0"/>
      <w:marBottom w:val="0"/>
      <w:divBdr>
        <w:top w:val="none" w:sz="0" w:space="0" w:color="auto"/>
        <w:left w:val="none" w:sz="0" w:space="0" w:color="auto"/>
        <w:bottom w:val="none" w:sz="0" w:space="0" w:color="auto"/>
        <w:right w:val="none" w:sz="0" w:space="0" w:color="auto"/>
      </w:divBdr>
    </w:div>
    <w:div w:id="1852984309">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cotland.police.uk/spa-media/3jmlr1yq/edi_monitoring_report_21_22_9958_ar.pdf" TargetMode="External"/><Relationship Id="rId18" Type="http://schemas.openxmlformats.org/officeDocument/2006/relationships/hyperlink" Target="mailto:enquiries@foi.sco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scotland.police.uk/spa-media/1c3b4flz/edi-monitor-employ-report-16694-25-ar.pdf" TargetMode="External"/><Relationship Id="rId17" Type="http://schemas.openxmlformats.org/officeDocument/2006/relationships/hyperlink" Target="https://www.foi.scot/appeal"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foi@scotland.police.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scotland.police.uk/about-us/how-we-do-it/strategic-planning/"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scotland.police.uk/access-to-information/freedom-of-information/disclosure-lo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cotland.police.uk/spa-media/ftbagc0p/employment-monitoring-report-19-20_4723_21_ar-v1-final.pdf"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2.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B123AC-42E2-4EC8-B0BD-ED6743DFF6D4}">
  <ds:schemaRefs>
    <ds:schemaRef ds:uri="http://purl.org/dc/elements/1.1/"/>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0e32d40b-a8f5-4c24-a46b-b72b5f0b9b52"/>
    <ds:schemaRef ds:uri="http://schemas.microsoft.com/office/2006/metadata/properties"/>
    <ds:schemaRef ds:uri="http://purl.org/dc/dcmitype/"/>
    <ds:schemaRef ds:uri="http://purl.org/dc/terms/"/>
  </ds:schemaRefs>
</ds:datastoreItem>
</file>

<file path=customXml/itemProps4.xml><?xml version="1.0" encoding="utf-8"?>
<ds:datastoreItem xmlns:ds="http://schemas.openxmlformats.org/officeDocument/2006/customXml" ds:itemID="{EAD57741-B32E-4E45-9511-B25FC8216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877</Words>
  <Characters>5002</Characters>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2025-08-14T15:53:00Z</cp:lastPrinted>
  <dcterms:created xsi:type="dcterms:W3CDTF">2025-08-14T15:52:00Z</dcterms:created>
  <dcterms:modified xsi:type="dcterms:W3CDTF">2025-08-14T16:00:00Z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