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B146C8" w:rsidR="00B17211" w:rsidRPr="00B17211" w:rsidRDefault="00B17211" w:rsidP="007F490F">
            <w:r w:rsidRPr="007F490F">
              <w:rPr>
                <w:rStyle w:val="Heading2Char"/>
              </w:rPr>
              <w:t>Our reference:</w:t>
            </w:r>
            <w:r>
              <w:t xml:space="preserve">  FOI 2</w:t>
            </w:r>
            <w:r w:rsidR="00EF0FBB">
              <w:t>5</w:t>
            </w:r>
            <w:r>
              <w:t>-</w:t>
            </w:r>
            <w:r w:rsidR="00C057D6">
              <w:t>1590</w:t>
            </w:r>
          </w:p>
          <w:p w14:paraId="34BDABA6" w14:textId="3A180532" w:rsidR="00B17211" w:rsidRDefault="00456324" w:rsidP="00EE2373">
            <w:r w:rsidRPr="007F490F">
              <w:rPr>
                <w:rStyle w:val="Heading2Char"/>
              </w:rPr>
              <w:t>Respon</w:t>
            </w:r>
            <w:r w:rsidR="007D55F6">
              <w:rPr>
                <w:rStyle w:val="Heading2Char"/>
              </w:rPr>
              <w:t>ded to:</w:t>
            </w:r>
            <w:r w:rsidR="007F490F">
              <w:t xml:space="preserve">  </w:t>
            </w:r>
            <w:r w:rsidR="00493165">
              <w:t>09</w:t>
            </w:r>
            <w:r w:rsidR="005254E3">
              <w:t xml:space="preserve"> </w:t>
            </w:r>
            <w:r w:rsidR="00C057D6">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872CCC" w14:textId="0C51BF15" w:rsidR="00C057D6" w:rsidRPr="00C057D6" w:rsidRDefault="00C057D6" w:rsidP="00C057D6">
      <w:pPr>
        <w:tabs>
          <w:tab w:val="left" w:pos="5400"/>
        </w:tabs>
        <w:rPr>
          <w:rFonts w:eastAsiaTheme="majorEastAsia" w:cstheme="majorBidi"/>
          <w:b/>
          <w:color w:val="000000" w:themeColor="text1"/>
          <w:szCs w:val="26"/>
        </w:rPr>
      </w:pPr>
      <w:r w:rsidRPr="00C057D6">
        <w:rPr>
          <w:rFonts w:eastAsiaTheme="majorEastAsia" w:cstheme="majorBidi"/>
          <w:b/>
          <w:color w:val="000000" w:themeColor="text1"/>
          <w:szCs w:val="26"/>
        </w:rPr>
        <w:t>For each year (financial or calendar) since 2014 please provide the number of:</w:t>
      </w:r>
    </w:p>
    <w:p w14:paraId="11CE4E1A" w14:textId="77777777" w:rsidR="00C057D6" w:rsidRPr="00C057D6" w:rsidRDefault="00C057D6" w:rsidP="00C057D6">
      <w:pPr>
        <w:numPr>
          <w:ilvl w:val="0"/>
          <w:numId w:val="2"/>
        </w:numPr>
        <w:tabs>
          <w:tab w:val="num" w:pos="720"/>
          <w:tab w:val="left" w:pos="5400"/>
        </w:tabs>
        <w:rPr>
          <w:rFonts w:eastAsiaTheme="majorEastAsia" w:cstheme="majorBidi"/>
          <w:b/>
          <w:color w:val="000000" w:themeColor="text1"/>
          <w:szCs w:val="26"/>
        </w:rPr>
      </w:pPr>
      <w:r w:rsidRPr="00C057D6">
        <w:rPr>
          <w:rFonts w:eastAsiaTheme="majorEastAsia" w:cstheme="majorBidi"/>
          <w:b/>
          <w:color w:val="000000" w:themeColor="text1"/>
          <w:szCs w:val="26"/>
        </w:rPr>
        <w:t>Subject Access Requests (SARs) submitted to Police Scotland.</w:t>
      </w:r>
    </w:p>
    <w:p w14:paraId="3296F391" w14:textId="77777777" w:rsidR="00C057D6" w:rsidRPr="00C057D6" w:rsidRDefault="00C057D6" w:rsidP="00C057D6">
      <w:pPr>
        <w:numPr>
          <w:ilvl w:val="0"/>
          <w:numId w:val="2"/>
        </w:numPr>
        <w:tabs>
          <w:tab w:val="num" w:pos="720"/>
          <w:tab w:val="left" w:pos="5400"/>
        </w:tabs>
        <w:rPr>
          <w:rFonts w:eastAsiaTheme="majorEastAsia" w:cstheme="majorBidi"/>
          <w:b/>
          <w:color w:val="000000" w:themeColor="text1"/>
          <w:szCs w:val="26"/>
        </w:rPr>
      </w:pPr>
      <w:r w:rsidRPr="00C057D6">
        <w:rPr>
          <w:rFonts w:eastAsiaTheme="majorEastAsia" w:cstheme="majorBidi"/>
          <w:b/>
          <w:color w:val="000000" w:themeColor="text1"/>
          <w:szCs w:val="26"/>
        </w:rPr>
        <w:t>SAR responses which were </w:t>
      </w:r>
      <w:r w:rsidRPr="00C057D6">
        <w:rPr>
          <w:rFonts w:eastAsiaTheme="majorEastAsia" w:cstheme="majorBidi"/>
          <w:b/>
          <w:bCs/>
          <w:color w:val="000000" w:themeColor="text1"/>
          <w:szCs w:val="26"/>
        </w:rPr>
        <w:t xml:space="preserve">NOT </w:t>
      </w:r>
      <w:r w:rsidRPr="00C057D6">
        <w:rPr>
          <w:rFonts w:eastAsiaTheme="majorEastAsia" w:cstheme="majorBidi"/>
          <w:b/>
          <w:color w:val="000000" w:themeColor="text1"/>
          <w:szCs w:val="26"/>
        </w:rPr>
        <w:t>provided within the one month time limit (meaning the number of SAR responses which were issued late).</w:t>
      </w:r>
    </w:p>
    <w:p w14:paraId="6F8B29A2" w14:textId="77777777" w:rsidR="00C057D6" w:rsidRDefault="00C057D6" w:rsidP="00C057D6">
      <w:pPr>
        <w:pStyle w:val="ListParagraph"/>
        <w:tabs>
          <w:tab w:val="left" w:pos="5400"/>
        </w:tabs>
        <w:ind w:left="360"/>
      </w:pPr>
      <w:r>
        <w:t>First of all, information for the period prior to 2020 is not held by Police Scotland and section 17 of the Act therefore applies.</w:t>
      </w:r>
    </w:p>
    <w:p w14:paraId="75567750" w14:textId="588F72F4" w:rsidR="00C057D6" w:rsidRDefault="00C057D6" w:rsidP="00C057D6">
      <w:pPr>
        <w:pStyle w:val="ListParagraph"/>
        <w:tabs>
          <w:tab w:val="left" w:pos="5400"/>
        </w:tabs>
        <w:ind w:left="360"/>
      </w:pPr>
      <w:r>
        <w:t>For the period since, the information sought is detailed below.</w:t>
      </w:r>
    </w:p>
    <w:p w14:paraId="4FEF807A" w14:textId="5ABBD3FC" w:rsidR="00C057D6" w:rsidRDefault="00C057D6" w:rsidP="00C057D6">
      <w:pPr>
        <w:pStyle w:val="ListParagraph"/>
        <w:tabs>
          <w:tab w:val="left" w:pos="5400"/>
        </w:tabs>
        <w:ind w:left="360"/>
      </w:pPr>
      <w:r>
        <w:t>Please note that as an extension of up to 2 further months can be applied, we do not specifically record whether responses were issued within one month.  Instead, we record compliance or otherwise with the statutory deadline, whatever that may be.</w:t>
      </w:r>
    </w:p>
    <w:p w14:paraId="5463ED35" w14:textId="49182605" w:rsidR="00C057D6" w:rsidRDefault="00C057D6" w:rsidP="00C057D6">
      <w:pPr>
        <w:pStyle w:val="ListParagraph"/>
        <w:tabs>
          <w:tab w:val="left" w:pos="5400"/>
        </w:tabs>
        <w:ind w:left="360"/>
      </w:pPr>
      <w:r>
        <w:t>I have therefore provided you with data that reflects our recorded ‘compliance rate’, which I trust will be of assistance.</w:t>
      </w:r>
    </w:p>
    <w:tbl>
      <w:tblPr>
        <w:tblStyle w:val="TableGrid"/>
        <w:tblW w:w="7308" w:type="dxa"/>
        <w:tblInd w:w="360" w:type="dxa"/>
        <w:tblLook w:val="04A0" w:firstRow="1" w:lastRow="0" w:firstColumn="1" w:lastColumn="0" w:noHBand="0" w:noVBand="1"/>
      </w:tblPr>
      <w:tblGrid>
        <w:gridCol w:w="2221"/>
        <w:gridCol w:w="2430"/>
        <w:gridCol w:w="2657"/>
      </w:tblGrid>
      <w:tr w:rsidR="00C057D6" w:rsidRPr="00C057D6" w14:paraId="430D69EB" w14:textId="77777777" w:rsidTr="00C057D6">
        <w:tc>
          <w:tcPr>
            <w:tcW w:w="2221" w:type="dxa"/>
            <w:shd w:val="clear" w:color="auto" w:fill="D9D9D9" w:themeFill="background1" w:themeFillShade="D9"/>
            <w:vAlign w:val="center"/>
          </w:tcPr>
          <w:p w14:paraId="56CDCAF1" w14:textId="77777777" w:rsidR="00C057D6" w:rsidRPr="00C057D6" w:rsidRDefault="00C057D6" w:rsidP="00C057D6">
            <w:pPr>
              <w:spacing w:line="240" w:lineRule="auto"/>
              <w:rPr>
                <w:b/>
                <w:bCs/>
              </w:rPr>
            </w:pPr>
            <w:r w:rsidRPr="00C057D6">
              <w:rPr>
                <w:b/>
                <w:bCs/>
              </w:rPr>
              <w:t>Year</w:t>
            </w:r>
          </w:p>
        </w:tc>
        <w:tc>
          <w:tcPr>
            <w:tcW w:w="2430" w:type="dxa"/>
            <w:shd w:val="clear" w:color="auto" w:fill="D9D9D9" w:themeFill="background1" w:themeFillShade="D9"/>
            <w:vAlign w:val="center"/>
          </w:tcPr>
          <w:p w14:paraId="2FEF6FA5" w14:textId="77777777" w:rsidR="00C057D6" w:rsidRPr="00C057D6" w:rsidRDefault="00C057D6" w:rsidP="00C057D6">
            <w:pPr>
              <w:spacing w:line="240" w:lineRule="auto"/>
              <w:rPr>
                <w:b/>
                <w:bCs/>
              </w:rPr>
            </w:pPr>
            <w:r w:rsidRPr="00C057D6">
              <w:rPr>
                <w:b/>
                <w:bCs/>
              </w:rPr>
              <w:t>SARs Received</w:t>
            </w:r>
          </w:p>
        </w:tc>
        <w:tc>
          <w:tcPr>
            <w:tcW w:w="2657" w:type="dxa"/>
            <w:shd w:val="clear" w:color="auto" w:fill="D9D9D9" w:themeFill="background1" w:themeFillShade="D9"/>
            <w:vAlign w:val="center"/>
          </w:tcPr>
          <w:p w14:paraId="0F9ADC98" w14:textId="77777777" w:rsidR="00C057D6" w:rsidRPr="00C057D6" w:rsidRDefault="00C057D6" w:rsidP="00C057D6">
            <w:pPr>
              <w:spacing w:line="240" w:lineRule="auto"/>
              <w:rPr>
                <w:b/>
                <w:bCs/>
              </w:rPr>
            </w:pPr>
            <w:r w:rsidRPr="00C057D6">
              <w:rPr>
                <w:b/>
                <w:bCs/>
              </w:rPr>
              <w:t>Compliance Rate</w:t>
            </w:r>
          </w:p>
        </w:tc>
      </w:tr>
      <w:tr w:rsidR="00C057D6" w:rsidRPr="00C057D6" w14:paraId="3EDAF0F6" w14:textId="77777777" w:rsidTr="00C057D6">
        <w:tc>
          <w:tcPr>
            <w:tcW w:w="2221" w:type="dxa"/>
            <w:vAlign w:val="center"/>
          </w:tcPr>
          <w:p w14:paraId="74A526C6" w14:textId="77777777" w:rsidR="00C057D6" w:rsidRPr="00C057D6" w:rsidRDefault="00C057D6" w:rsidP="00C057D6">
            <w:pPr>
              <w:spacing w:line="240" w:lineRule="auto"/>
            </w:pPr>
            <w:r w:rsidRPr="00C057D6">
              <w:t>2020</w:t>
            </w:r>
          </w:p>
        </w:tc>
        <w:tc>
          <w:tcPr>
            <w:tcW w:w="2430" w:type="dxa"/>
            <w:vAlign w:val="center"/>
          </w:tcPr>
          <w:p w14:paraId="7ECD61ED" w14:textId="77777777" w:rsidR="00C057D6" w:rsidRPr="00C057D6" w:rsidRDefault="00C057D6" w:rsidP="00C057D6">
            <w:pPr>
              <w:spacing w:line="240" w:lineRule="auto"/>
            </w:pPr>
            <w:r w:rsidRPr="00C057D6">
              <w:t>5,559</w:t>
            </w:r>
          </w:p>
        </w:tc>
        <w:tc>
          <w:tcPr>
            <w:tcW w:w="2657" w:type="dxa"/>
            <w:vAlign w:val="center"/>
          </w:tcPr>
          <w:p w14:paraId="2832C5CC" w14:textId="77777777" w:rsidR="00C057D6" w:rsidRPr="00C057D6" w:rsidRDefault="00C057D6" w:rsidP="00C057D6">
            <w:pPr>
              <w:spacing w:line="240" w:lineRule="auto"/>
            </w:pPr>
            <w:r w:rsidRPr="00C057D6">
              <w:t>93%</w:t>
            </w:r>
          </w:p>
        </w:tc>
      </w:tr>
      <w:tr w:rsidR="00C057D6" w:rsidRPr="00C057D6" w14:paraId="483EDAEA" w14:textId="77777777" w:rsidTr="00C057D6">
        <w:tc>
          <w:tcPr>
            <w:tcW w:w="2221" w:type="dxa"/>
            <w:vAlign w:val="center"/>
          </w:tcPr>
          <w:p w14:paraId="705ADCA4" w14:textId="77777777" w:rsidR="00C057D6" w:rsidRPr="00C057D6" w:rsidRDefault="00C057D6" w:rsidP="00C057D6">
            <w:pPr>
              <w:spacing w:line="240" w:lineRule="auto"/>
            </w:pPr>
            <w:r w:rsidRPr="00C057D6">
              <w:t>2021</w:t>
            </w:r>
          </w:p>
        </w:tc>
        <w:tc>
          <w:tcPr>
            <w:tcW w:w="2430" w:type="dxa"/>
            <w:vAlign w:val="center"/>
          </w:tcPr>
          <w:p w14:paraId="68CF6029" w14:textId="77777777" w:rsidR="00C057D6" w:rsidRPr="00C057D6" w:rsidRDefault="00C057D6" w:rsidP="00C057D6">
            <w:pPr>
              <w:spacing w:line="240" w:lineRule="auto"/>
            </w:pPr>
            <w:r w:rsidRPr="00C057D6">
              <w:t>5,900</w:t>
            </w:r>
          </w:p>
        </w:tc>
        <w:tc>
          <w:tcPr>
            <w:tcW w:w="2657" w:type="dxa"/>
            <w:vAlign w:val="center"/>
          </w:tcPr>
          <w:p w14:paraId="76A8E3FA" w14:textId="77777777" w:rsidR="00C057D6" w:rsidRPr="00C057D6" w:rsidRDefault="00C057D6" w:rsidP="00C057D6">
            <w:pPr>
              <w:spacing w:line="240" w:lineRule="auto"/>
            </w:pPr>
            <w:r w:rsidRPr="00C057D6">
              <w:t>92.1%</w:t>
            </w:r>
          </w:p>
        </w:tc>
      </w:tr>
      <w:tr w:rsidR="00C057D6" w:rsidRPr="00C057D6" w14:paraId="27028481" w14:textId="77777777" w:rsidTr="00C057D6">
        <w:tc>
          <w:tcPr>
            <w:tcW w:w="2221" w:type="dxa"/>
            <w:vAlign w:val="center"/>
          </w:tcPr>
          <w:p w14:paraId="2E612ED5" w14:textId="77777777" w:rsidR="00C057D6" w:rsidRPr="00C057D6" w:rsidRDefault="00C057D6" w:rsidP="00C057D6">
            <w:pPr>
              <w:spacing w:line="240" w:lineRule="auto"/>
            </w:pPr>
            <w:r w:rsidRPr="00C057D6">
              <w:t>2022</w:t>
            </w:r>
          </w:p>
        </w:tc>
        <w:tc>
          <w:tcPr>
            <w:tcW w:w="2430" w:type="dxa"/>
            <w:vAlign w:val="center"/>
          </w:tcPr>
          <w:p w14:paraId="614E6377" w14:textId="77777777" w:rsidR="00C057D6" w:rsidRPr="00C057D6" w:rsidRDefault="00C057D6" w:rsidP="00C057D6">
            <w:pPr>
              <w:spacing w:line="240" w:lineRule="auto"/>
            </w:pPr>
            <w:r w:rsidRPr="00C057D6">
              <w:t>6,455</w:t>
            </w:r>
          </w:p>
        </w:tc>
        <w:tc>
          <w:tcPr>
            <w:tcW w:w="2657" w:type="dxa"/>
            <w:vAlign w:val="center"/>
          </w:tcPr>
          <w:p w14:paraId="174AAE04" w14:textId="77777777" w:rsidR="00C057D6" w:rsidRPr="00C057D6" w:rsidRDefault="00C057D6" w:rsidP="00C057D6">
            <w:pPr>
              <w:spacing w:line="240" w:lineRule="auto"/>
            </w:pPr>
            <w:r w:rsidRPr="00C057D6">
              <w:t>93.1%</w:t>
            </w:r>
          </w:p>
        </w:tc>
      </w:tr>
      <w:tr w:rsidR="00C057D6" w:rsidRPr="00C057D6" w14:paraId="2C009FC1" w14:textId="77777777" w:rsidTr="00C057D6">
        <w:tc>
          <w:tcPr>
            <w:tcW w:w="2221" w:type="dxa"/>
            <w:vAlign w:val="center"/>
          </w:tcPr>
          <w:p w14:paraId="26A2136B" w14:textId="77777777" w:rsidR="00C057D6" w:rsidRPr="00C057D6" w:rsidRDefault="00C057D6" w:rsidP="00C057D6">
            <w:pPr>
              <w:spacing w:line="240" w:lineRule="auto"/>
            </w:pPr>
            <w:r w:rsidRPr="00C057D6">
              <w:t>2023</w:t>
            </w:r>
          </w:p>
        </w:tc>
        <w:tc>
          <w:tcPr>
            <w:tcW w:w="2430" w:type="dxa"/>
            <w:vAlign w:val="center"/>
          </w:tcPr>
          <w:p w14:paraId="32CFBF72" w14:textId="77777777" w:rsidR="00C057D6" w:rsidRPr="00C057D6" w:rsidRDefault="00C057D6" w:rsidP="00C057D6">
            <w:pPr>
              <w:spacing w:line="240" w:lineRule="auto"/>
            </w:pPr>
            <w:r w:rsidRPr="00C057D6">
              <w:t>7,564</w:t>
            </w:r>
          </w:p>
        </w:tc>
        <w:tc>
          <w:tcPr>
            <w:tcW w:w="2657" w:type="dxa"/>
            <w:vAlign w:val="center"/>
          </w:tcPr>
          <w:p w14:paraId="66F04E81" w14:textId="77777777" w:rsidR="00C057D6" w:rsidRPr="00C057D6" w:rsidRDefault="00C057D6" w:rsidP="00C057D6">
            <w:pPr>
              <w:spacing w:line="240" w:lineRule="auto"/>
            </w:pPr>
            <w:r w:rsidRPr="00C057D6">
              <w:t>87%</w:t>
            </w:r>
          </w:p>
        </w:tc>
      </w:tr>
      <w:tr w:rsidR="00C057D6" w:rsidRPr="00C057D6" w14:paraId="6B74C5DB" w14:textId="77777777" w:rsidTr="00C057D6">
        <w:tc>
          <w:tcPr>
            <w:tcW w:w="2221" w:type="dxa"/>
            <w:vAlign w:val="center"/>
          </w:tcPr>
          <w:p w14:paraId="2EFD7061" w14:textId="77777777" w:rsidR="00C057D6" w:rsidRPr="00C057D6" w:rsidRDefault="00C057D6" w:rsidP="00C057D6">
            <w:pPr>
              <w:spacing w:line="240" w:lineRule="auto"/>
            </w:pPr>
            <w:r w:rsidRPr="00C057D6">
              <w:t>2024</w:t>
            </w:r>
          </w:p>
        </w:tc>
        <w:tc>
          <w:tcPr>
            <w:tcW w:w="2430" w:type="dxa"/>
            <w:vAlign w:val="center"/>
          </w:tcPr>
          <w:p w14:paraId="4BCCF4BB" w14:textId="77777777" w:rsidR="00C057D6" w:rsidRPr="00C057D6" w:rsidRDefault="00C057D6" w:rsidP="00C057D6">
            <w:pPr>
              <w:spacing w:line="240" w:lineRule="auto"/>
            </w:pPr>
            <w:r w:rsidRPr="00C057D6">
              <w:t>8,704</w:t>
            </w:r>
          </w:p>
        </w:tc>
        <w:tc>
          <w:tcPr>
            <w:tcW w:w="2657" w:type="dxa"/>
            <w:vAlign w:val="center"/>
          </w:tcPr>
          <w:p w14:paraId="10D58C51" w14:textId="77777777" w:rsidR="00C057D6" w:rsidRPr="00C057D6" w:rsidRDefault="00C057D6" w:rsidP="00C057D6">
            <w:pPr>
              <w:spacing w:line="240" w:lineRule="auto"/>
            </w:pPr>
            <w:r w:rsidRPr="00C057D6">
              <w:t>53.9%</w:t>
            </w:r>
          </w:p>
        </w:tc>
      </w:tr>
      <w:tr w:rsidR="00C057D6" w:rsidRPr="00C057D6" w14:paraId="42337068" w14:textId="77777777" w:rsidTr="00C057D6">
        <w:tc>
          <w:tcPr>
            <w:tcW w:w="2221" w:type="dxa"/>
            <w:vAlign w:val="center"/>
          </w:tcPr>
          <w:p w14:paraId="79D758DE" w14:textId="77777777" w:rsidR="00C057D6" w:rsidRPr="00C057D6" w:rsidRDefault="00C057D6" w:rsidP="00C057D6">
            <w:pPr>
              <w:spacing w:line="240" w:lineRule="auto"/>
            </w:pPr>
            <w:r w:rsidRPr="00C057D6">
              <w:t>2025 (Jan - Mar)</w:t>
            </w:r>
          </w:p>
        </w:tc>
        <w:tc>
          <w:tcPr>
            <w:tcW w:w="2430" w:type="dxa"/>
            <w:vAlign w:val="center"/>
          </w:tcPr>
          <w:p w14:paraId="557935A8" w14:textId="77777777" w:rsidR="00C057D6" w:rsidRPr="00C057D6" w:rsidRDefault="00C057D6" w:rsidP="00C057D6">
            <w:pPr>
              <w:spacing w:line="240" w:lineRule="auto"/>
            </w:pPr>
            <w:r w:rsidRPr="00C057D6">
              <w:t>2,575</w:t>
            </w:r>
          </w:p>
        </w:tc>
        <w:tc>
          <w:tcPr>
            <w:tcW w:w="2657" w:type="dxa"/>
            <w:vAlign w:val="center"/>
          </w:tcPr>
          <w:p w14:paraId="260C555C" w14:textId="77777777" w:rsidR="00C057D6" w:rsidRPr="00C057D6" w:rsidRDefault="00C057D6" w:rsidP="00C057D6">
            <w:pPr>
              <w:spacing w:line="240" w:lineRule="auto"/>
            </w:pPr>
            <w:r w:rsidRPr="00C057D6">
              <w:t>65.8%</w:t>
            </w:r>
          </w:p>
        </w:tc>
      </w:tr>
    </w:tbl>
    <w:p w14:paraId="2B8CB197" w14:textId="77777777" w:rsidR="00C057D6" w:rsidRDefault="00C057D6" w:rsidP="00C057D6">
      <w:pPr>
        <w:pStyle w:val="ListParagraph"/>
        <w:tabs>
          <w:tab w:val="left" w:pos="5400"/>
        </w:tabs>
        <w:ind w:left="360"/>
      </w:pPr>
    </w:p>
    <w:p w14:paraId="5A284AE3" w14:textId="5900B18F" w:rsidR="00C057D6" w:rsidRDefault="009A3808" w:rsidP="00C057D6">
      <w:pPr>
        <w:pStyle w:val="ListParagraph"/>
        <w:tabs>
          <w:tab w:val="left" w:pos="5400"/>
        </w:tabs>
        <w:ind w:left="360"/>
      </w:pPr>
      <w:r>
        <w:t>As you will note, there was a 57% increase in the annual volume of SARs received between 2020 and 2024.</w:t>
      </w:r>
    </w:p>
    <w:p w14:paraId="64C45CDF" w14:textId="77777777" w:rsidR="00C057D6" w:rsidRDefault="00C057D6" w:rsidP="00C057D6">
      <w:pPr>
        <w:pStyle w:val="ListParagraph"/>
        <w:tabs>
          <w:tab w:val="left" w:pos="5400"/>
        </w:tabs>
        <w:ind w:left="360"/>
      </w:pPr>
    </w:p>
    <w:p w14:paraId="640ADD63" w14:textId="77777777" w:rsidR="00C057D6" w:rsidRPr="00C057D6" w:rsidRDefault="00C057D6" w:rsidP="00C057D6">
      <w:pPr>
        <w:numPr>
          <w:ilvl w:val="0"/>
          <w:numId w:val="2"/>
        </w:numPr>
        <w:tabs>
          <w:tab w:val="num" w:pos="720"/>
          <w:tab w:val="left" w:pos="5400"/>
        </w:tabs>
        <w:rPr>
          <w:rFonts w:eastAsiaTheme="majorEastAsia" w:cstheme="majorBidi"/>
          <w:b/>
          <w:color w:val="000000" w:themeColor="text1"/>
          <w:szCs w:val="26"/>
        </w:rPr>
      </w:pPr>
      <w:r w:rsidRPr="00C057D6">
        <w:rPr>
          <w:rFonts w:eastAsiaTheme="majorEastAsia" w:cstheme="majorBidi"/>
          <w:b/>
          <w:color w:val="000000" w:themeColor="text1"/>
          <w:szCs w:val="26"/>
        </w:rPr>
        <w:lastRenderedPageBreak/>
        <w:t>The number of complaints submitted in relation to SAR handling.</w:t>
      </w:r>
    </w:p>
    <w:p w14:paraId="469B1BF2" w14:textId="096A37D5" w:rsidR="00C057D6" w:rsidRDefault="009A3808" w:rsidP="00793DD5">
      <w:pPr>
        <w:tabs>
          <w:tab w:val="left" w:pos="5400"/>
        </w:tabs>
      </w:pPr>
      <w:r>
        <w:t>We began recording what we term as an internal SAR review in January 2022.</w:t>
      </w:r>
    </w:p>
    <w:p w14:paraId="3F86D44E" w14:textId="6454DD92" w:rsidR="009A3808" w:rsidRDefault="009A3808" w:rsidP="00793DD5">
      <w:pPr>
        <w:tabs>
          <w:tab w:val="left" w:pos="5400"/>
        </w:tabs>
      </w:pPr>
      <w:r>
        <w:t>Since that time, we have received 324:</w:t>
      </w:r>
    </w:p>
    <w:p w14:paraId="184A1244" w14:textId="7E1391E9" w:rsidR="009A3808" w:rsidRDefault="009A3808" w:rsidP="00793DD5">
      <w:pPr>
        <w:tabs>
          <w:tab w:val="left" w:pos="5400"/>
        </w:tabs>
      </w:pPr>
      <w:r>
        <w:t>2022 - 104</w:t>
      </w:r>
      <w:r>
        <w:br/>
        <w:t>2023 - 127</w:t>
      </w:r>
      <w:r>
        <w:br/>
        <w:t>2024 - 59</w:t>
      </w:r>
      <w:r>
        <w:br/>
        <w:t>2025 - 34</w:t>
      </w:r>
    </w:p>
    <w:p w14:paraId="5E1FF79C" w14:textId="148BE6CC" w:rsidR="009A3808" w:rsidRDefault="009A3808" w:rsidP="00793DD5">
      <w:pPr>
        <w:tabs>
          <w:tab w:val="left" w:pos="5400"/>
        </w:tabs>
      </w:pPr>
      <w:r>
        <w:t>These will vary significantly in scope - covering everything from compliance with deadlines through to dissatisfaction with exemptions applied etc.</w:t>
      </w:r>
    </w:p>
    <w:p w14:paraId="6C851EBA" w14:textId="60C5815D" w:rsidR="009A3808" w:rsidRDefault="00756D57" w:rsidP="00793DD5">
      <w:pPr>
        <w:tabs>
          <w:tab w:val="left" w:pos="5400"/>
        </w:tabs>
      </w:pPr>
      <w:r>
        <w:t>In relation to complaints to the external regulator, the Information Commissioner’s Office (ICO)</w:t>
      </w:r>
      <w:r w:rsidR="006B49E9">
        <w:t>,</w:t>
      </w:r>
      <w:r>
        <w:t xml:space="preserve"> records do go back to 2019 </w:t>
      </w:r>
      <w:r w:rsidR="006B49E9">
        <w:t>however</w:t>
      </w:r>
      <w:r>
        <w:t xml:space="preserve"> </w:t>
      </w:r>
      <w:r>
        <w:rPr>
          <w:b/>
          <w:bCs/>
        </w:rPr>
        <w:t xml:space="preserve">all </w:t>
      </w:r>
      <w:r>
        <w:t>ICO complaints were recorded together at that time.  To explain, only a proportion of ICO complaints will relate to SARs, others may relate to other individual rights requests or alleged data breaches etc.</w:t>
      </w:r>
    </w:p>
    <w:p w14:paraId="050FF67D" w14:textId="49935726" w:rsidR="00756D57" w:rsidRDefault="00756D57" w:rsidP="00756D57">
      <w:pPr>
        <w:tabs>
          <w:tab w:val="left" w:pos="5400"/>
        </w:tabs>
      </w:pPr>
      <w:r>
        <w:t xml:space="preserve">For that earlier period, every complaint would have to be individually assessed to determine whether or not it related to a SAR and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do so.  </w:t>
      </w:r>
    </w:p>
    <w:p w14:paraId="506FDE58" w14:textId="77777777" w:rsidR="00756D57" w:rsidRPr="00453F0A" w:rsidRDefault="00756D57" w:rsidP="006879B0">
      <w:r>
        <w:t>I am therefore refusing to provide the information sought in terms of s</w:t>
      </w:r>
      <w:r w:rsidRPr="00453F0A">
        <w:t xml:space="preserve">ection 12(1) </w:t>
      </w:r>
      <w:r>
        <w:t xml:space="preserve">- </w:t>
      </w:r>
      <w:r w:rsidRPr="00453F0A">
        <w:t>Excessive Cost of Compliance.</w:t>
      </w:r>
    </w:p>
    <w:p w14:paraId="056C1603" w14:textId="4E31195E" w:rsidR="00756D57" w:rsidRDefault="00756D57" w:rsidP="00793DD5">
      <w:pPr>
        <w:tabs>
          <w:tab w:val="left" w:pos="5400"/>
        </w:tabs>
      </w:pPr>
      <w:r>
        <w:t>In 2023, ICO complaints that relate to SARs started to be recorded separately and the associated data is as follows:</w:t>
      </w:r>
    </w:p>
    <w:p w14:paraId="045276F9" w14:textId="7E4D2583" w:rsidR="006B49E9" w:rsidRPr="00756D57" w:rsidRDefault="006B49E9" w:rsidP="00793DD5">
      <w:pPr>
        <w:tabs>
          <w:tab w:val="left" w:pos="5400"/>
        </w:tabs>
      </w:pPr>
      <w:r>
        <w:t>2023 - 29</w:t>
      </w:r>
      <w:r>
        <w:br/>
        <w:t>2024 - 45</w:t>
      </w:r>
      <w:r>
        <w:br/>
        <w:t>2025 - 44</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5A655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3133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EFCB6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9DD70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6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CB350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0212D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6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B92216"/>
    <w:multiLevelType w:val="multilevel"/>
    <w:tmpl w:val="DC1EF9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07238746">
    <w:abstractNumId w:val="0"/>
  </w:num>
  <w:num w:numId="2" w16cid:durableId="51793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3DF6"/>
    <w:rsid w:val="00255F1E"/>
    <w:rsid w:val="00297ED0"/>
    <w:rsid w:val="002F5274"/>
    <w:rsid w:val="0036503B"/>
    <w:rsid w:val="00376A4A"/>
    <w:rsid w:val="003D6D03"/>
    <w:rsid w:val="003E12CA"/>
    <w:rsid w:val="004010DC"/>
    <w:rsid w:val="004341F0"/>
    <w:rsid w:val="00456324"/>
    <w:rsid w:val="00475460"/>
    <w:rsid w:val="00490317"/>
    <w:rsid w:val="00491644"/>
    <w:rsid w:val="00493165"/>
    <w:rsid w:val="00496A08"/>
    <w:rsid w:val="004E1605"/>
    <w:rsid w:val="004F653C"/>
    <w:rsid w:val="00512601"/>
    <w:rsid w:val="005254E3"/>
    <w:rsid w:val="00540A52"/>
    <w:rsid w:val="00557306"/>
    <w:rsid w:val="005C182C"/>
    <w:rsid w:val="005D58C4"/>
    <w:rsid w:val="00645CFA"/>
    <w:rsid w:val="00685219"/>
    <w:rsid w:val="006A005F"/>
    <w:rsid w:val="006B49E9"/>
    <w:rsid w:val="006D5799"/>
    <w:rsid w:val="007073F5"/>
    <w:rsid w:val="007440EA"/>
    <w:rsid w:val="00750D83"/>
    <w:rsid w:val="00756D57"/>
    <w:rsid w:val="00785DBC"/>
    <w:rsid w:val="00793DD5"/>
    <w:rsid w:val="007D55F6"/>
    <w:rsid w:val="007F490F"/>
    <w:rsid w:val="00847A9F"/>
    <w:rsid w:val="0086779C"/>
    <w:rsid w:val="00874BFD"/>
    <w:rsid w:val="008964EF"/>
    <w:rsid w:val="008E2A0F"/>
    <w:rsid w:val="00915E01"/>
    <w:rsid w:val="009631A4"/>
    <w:rsid w:val="00977296"/>
    <w:rsid w:val="009A3808"/>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57D6"/>
    <w:rsid w:val="00C077A8"/>
    <w:rsid w:val="00C14D80"/>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124671">
      <w:bodyDiv w:val="1"/>
      <w:marLeft w:val="0"/>
      <w:marRight w:val="0"/>
      <w:marTop w:val="0"/>
      <w:marBottom w:val="0"/>
      <w:divBdr>
        <w:top w:val="none" w:sz="0" w:space="0" w:color="auto"/>
        <w:left w:val="none" w:sz="0" w:space="0" w:color="auto"/>
        <w:bottom w:val="none" w:sz="0" w:space="0" w:color="auto"/>
        <w:right w:val="none" w:sz="0" w:space="0" w:color="auto"/>
      </w:divBdr>
    </w:div>
    <w:div w:id="14505843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0e32d40b-a8f5-4c24-a46b-b72b5f0b9b52"/>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542</Words>
  <Characters>3095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2025-06-09T09:38:00Z</cp:lastPrinted>
  <dcterms:created xsi:type="dcterms:W3CDTF">2024-01-26T13:56:00Z</dcterms:created>
  <dcterms:modified xsi:type="dcterms:W3CDTF">2025-06-09T09:39:00Z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