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54E8138" w:rsidR="00B17211" w:rsidRPr="00B17211" w:rsidRDefault="00B17211" w:rsidP="007F490F">
            <w:r w:rsidRPr="007F490F">
              <w:rPr>
                <w:rStyle w:val="Heading2Char"/>
              </w:rPr>
              <w:t>Our reference:</w:t>
            </w:r>
            <w:r>
              <w:t xml:space="preserve">  FOI </w:t>
            </w:r>
            <w:r w:rsidR="0019035B">
              <w:t>25-0075</w:t>
            </w:r>
          </w:p>
          <w:p w14:paraId="34BDABA6" w14:textId="12BC8E52" w:rsidR="00B17211" w:rsidRDefault="00456324" w:rsidP="00EE2373">
            <w:r w:rsidRPr="007F490F">
              <w:rPr>
                <w:rStyle w:val="Heading2Char"/>
              </w:rPr>
              <w:t>Respon</w:t>
            </w:r>
            <w:r w:rsidR="007D55F6">
              <w:rPr>
                <w:rStyle w:val="Heading2Char"/>
              </w:rPr>
              <w:t>ded to:</w:t>
            </w:r>
            <w:r w:rsidR="007F490F">
              <w:t xml:space="preserve">  </w:t>
            </w:r>
            <w:r w:rsidR="00476094">
              <w:t>20</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FFEAC98" w14:textId="7444C0A9" w:rsidR="00552F82" w:rsidRDefault="00552F82" w:rsidP="00552F82">
      <w:pPr>
        <w:pStyle w:val="Heading2"/>
      </w:pPr>
      <w:r w:rsidRPr="00552F82">
        <w:t>Can you please provide me the following information?</w:t>
      </w:r>
    </w:p>
    <w:p w14:paraId="3FD68049" w14:textId="567B716A" w:rsidR="009531E0" w:rsidRDefault="00552F82" w:rsidP="009531E0">
      <w:pPr>
        <w:pStyle w:val="Heading2"/>
      </w:pPr>
      <w:r w:rsidRPr="00552F82">
        <w:t>The highest speed clocked by speed cameras or any other form of monitoring by police in each of the last five years.</w:t>
      </w:r>
    </w:p>
    <w:p w14:paraId="01C87BEC" w14:textId="097F84C2" w:rsidR="00476094" w:rsidRPr="00552F82" w:rsidRDefault="00476094" w:rsidP="00476094">
      <w:pPr>
        <w:pStyle w:val="Heading2"/>
      </w:pPr>
      <w:r w:rsidRPr="00552F82">
        <w:t>Where each of the offences took place (area and particular road)</w:t>
      </w:r>
    </w:p>
    <w:p w14:paraId="0346CB3B" w14:textId="14B9EE29" w:rsidR="00476094" w:rsidRDefault="00476094" w:rsidP="00476094">
      <w:pPr>
        <w:pStyle w:val="Heading2"/>
      </w:pPr>
      <w:r w:rsidRPr="00552F82">
        <w:t>Any additional info on the charge/outcome for each of these cases.</w:t>
      </w:r>
    </w:p>
    <w:p w14:paraId="43C10104" w14:textId="77777777" w:rsidR="00581F7F" w:rsidRPr="00581F7F" w:rsidRDefault="00581F7F" w:rsidP="00581F7F"/>
    <w:p w14:paraId="23045633" w14:textId="51E19DD6" w:rsidR="009531E0" w:rsidRDefault="009531E0" w:rsidP="009531E0">
      <w:r>
        <w:t>Unfortunately,</w:t>
      </w:r>
      <w:r w:rsidRPr="00453F0A">
        <w:t xml:space="preserve"> I estimate that </w:t>
      </w:r>
      <w:r>
        <w:t>retrieving data for ‘</w:t>
      </w:r>
      <w:r>
        <w:rPr>
          <w:bCs/>
        </w:rPr>
        <w:t>a</w:t>
      </w:r>
      <w:r w:rsidRPr="009531E0">
        <w:rPr>
          <w:bCs/>
        </w:rPr>
        <w:t>ny other form of monitoring</w:t>
      </w:r>
      <w:r>
        <w:rPr>
          <w:bCs/>
        </w:rPr>
        <w:t xml:space="preserve">’ i.e., police officer detection </w:t>
      </w:r>
      <w:r w:rsidRPr="00453F0A">
        <w:t>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22AEB1F3" w14:textId="5A625372" w:rsidR="009531E0" w:rsidRDefault="009531E0" w:rsidP="009531E0">
      <w:r>
        <w:t xml:space="preserve">By way of explanation the only way to collate this data would be to manually assess each crime report to determine the speed recorded. This is clearly an exercise that would far exceed the cost threshold outlined within the Act </w:t>
      </w:r>
    </w:p>
    <w:p w14:paraId="5E1937D0" w14:textId="222A948A" w:rsidR="009531E0" w:rsidRDefault="009531E0" w:rsidP="009531E0">
      <w:r>
        <w:t xml:space="preserve">As such the following information relates only to detected speeding offences by speed cameras operated by Police Scotland Safety Cameras. </w:t>
      </w:r>
    </w:p>
    <w:p w14:paraId="50B07EE2" w14:textId="2872C9E4" w:rsidR="00552F82" w:rsidRDefault="009531E0" w:rsidP="00552F82">
      <w:pPr>
        <w:tabs>
          <w:tab w:val="left" w:pos="5400"/>
        </w:tabs>
        <w:rPr>
          <w:rFonts w:eastAsiaTheme="majorEastAsia" w:cstheme="majorBidi"/>
          <w:bCs/>
          <w:color w:val="000000" w:themeColor="text1"/>
          <w:szCs w:val="26"/>
        </w:rPr>
      </w:pPr>
      <w:r>
        <w:t xml:space="preserve">Additionally, </w:t>
      </w:r>
      <w:r w:rsidR="00476094">
        <w:t>in</w:t>
      </w:r>
      <w:r w:rsidR="00552F82">
        <w:t xml:space="preserve"> line with the forces retention policy</w:t>
      </w:r>
      <w:r>
        <w:t>,</w:t>
      </w:r>
      <w:r w:rsidR="00552F82">
        <w:t xml:space="preserve"> information is only held for three years plus current year</w:t>
      </w:r>
      <w:r>
        <w:t>. A</w:t>
      </w:r>
      <w:r w:rsidR="00552F82">
        <w:t>s such t</w:t>
      </w:r>
      <w:r w:rsidR="00552F82">
        <w:rPr>
          <w:rFonts w:eastAsiaTheme="majorEastAsia" w:cstheme="majorBidi"/>
          <w:bCs/>
          <w:color w:val="000000" w:themeColor="text1"/>
          <w:szCs w:val="26"/>
        </w:rPr>
        <w:t xml:space="preserve">he information sought for the years prior to 2022 is not held by </w:t>
      </w:r>
      <w:r w:rsidR="00552F82" w:rsidRPr="00646E3D">
        <w:rPr>
          <w:rFonts w:eastAsiaTheme="majorEastAsia" w:cstheme="majorBidi"/>
          <w:bCs/>
          <w:color w:val="000000" w:themeColor="text1"/>
          <w:szCs w:val="26"/>
        </w:rPr>
        <w:t xml:space="preserve">Police Scotland </w:t>
      </w:r>
      <w:r w:rsidR="00552F82">
        <w:rPr>
          <w:rFonts w:eastAsiaTheme="majorEastAsia" w:cstheme="majorBidi"/>
          <w:bCs/>
          <w:color w:val="000000" w:themeColor="text1"/>
          <w:szCs w:val="26"/>
        </w:rPr>
        <w:t>and section 17 of the Act therefore applies.</w:t>
      </w:r>
      <w:r>
        <w:rPr>
          <w:rFonts w:eastAsiaTheme="majorEastAsia" w:cstheme="majorBidi"/>
          <w:bCs/>
          <w:color w:val="000000" w:themeColor="text1"/>
          <w:szCs w:val="26"/>
        </w:rPr>
        <w:t xml:space="preserve"> </w:t>
      </w:r>
    </w:p>
    <w:p w14:paraId="41A464B7" w14:textId="5EDF9E56" w:rsidR="00552F82" w:rsidRDefault="00476094" w:rsidP="00552F82">
      <w:pPr>
        <w:tabs>
          <w:tab w:val="left" w:pos="5400"/>
        </w:tabs>
      </w:pPr>
      <w:r>
        <w:t>Please see the table below which shows the highest recorded speeds</w:t>
      </w:r>
      <w:r w:rsidR="00581F7F">
        <w:t>,</w:t>
      </w:r>
      <w:r>
        <w:t>the location and outcome</w:t>
      </w:r>
      <w:r w:rsidR="00581F7F">
        <w:t xml:space="preserve"> for each requested year.</w:t>
      </w:r>
      <w:r>
        <w:t xml:space="preserve"> It is important to note that this data excludes emergency response vehicles</w:t>
      </w:r>
      <w:r w:rsidR="00581F7F">
        <w:t xml:space="preserve"> as these ar</w:t>
      </w:r>
      <w:r w:rsidR="00581F7F" w:rsidRPr="00581F7F">
        <w:t>e exempt from speed limits if staying within those limits will compromise emergency response times.</w:t>
      </w:r>
    </w:p>
    <w:tbl>
      <w:tblPr>
        <w:tblStyle w:val="TableGrid"/>
        <w:tblW w:w="0" w:type="auto"/>
        <w:tblLook w:val="04A0" w:firstRow="1" w:lastRow="0" w:firstColumn="1" w:lastColumn="0" w:noHBand="0" w:noVBand="1"/>
      </w:tblPr>
      <w:tblGrid>
        <w:gridCol w:w="751"/>
        <w:gridCol w:w="1565"/>
        <w:gridCol w:w="3933"/>
        <w:gridCol w:w="3379"/>
      </w:tblGrid>
      <w:tr w:rsidR="00476094" w14:paraId="668CF47C" w14:textId="77777777" w:rsidTr="00581F7F">
        <w:tc>
          <w:tcPr>
            <w:tcW w:w="0" w:type="auto"/>
            <w:shd w:val="clear" w:color="auto" w:fill="BFBFBF" w:themeFill="background1" w:themeFillShade="BF"/>
          </w:tcPr>
          <w:p w14:paraId="2FD1936D" w14:textId="3805978D" w:rsidR="00476094" w:rsidRDefault="00476094" w:rsidP="00476094">
            <w:pPr>
              <w:tabs>
                <w:tab w:val="left" w:pos="5400"/>
              </w:tabs>
              <w:jc w:val="center"/>
              <w:rPr>
                <w:rFonts w:eastAsiaTheme="majorEastAsia" w:cstheme="majorBidi"/>
                <w:b/>
                <w:color w:val="000000" w:themeColor="text1"/>
                <w:szCs w:val="26"/>
              </w:rPr>
            </w:pPr>
            <w:r>
              <w:rPr>
                <w:rFonts w:eastAsiaTheme="majorEastAsia" w:cstheme="majorBidi"/>
                <w:b/>
                <w:color w:val="000000" w:themeColor="text1"/>
                <w:szCs w:val="26"/>
              </w:rPr>
              <w:lastRenderedPageBreak/>
              <w:t>Year</w:t>
            </w:r>
          </w:p>
        </w:tc>
        <w:tc>
          <w:tcPr>
            <w:tcW w:w="0" w:type="auto"/>
            <w:shd w:val="clear" w:color="auto" w:fill="BFBFBF" w:themeFill="background1" w:themeFillShade="BF"/>
          </w:tcPr>
          <w:p w14:paraId="7877116A" w14:textId="6F30083F" w:rsidR="00476094" w:rsidRDefault="00476094" w:rsidP="00476094">
            <w:pPr>
              <w:tabs>
                <w:tab w:val="left" w:pos="5400"/>
              </w:tabs>
              <w:jc w:val="center"/>
              <w:rPr>
                <w:rFonts w:eastAsiaTheme="majorEastAsia" w:cstheme="majorBidi"/>
                <w:b/>
                <w:color w:val="000000" w:themeColor="text1"/>
                <w:szCs w:val="26"/>
              </w:rPr>
            </w:pPr>
            <w:r>
              <w:rPr>
                <w:rFonts w:eastAsiaTheme="majorEastAsia" w:cstheme="majorBidi"/>
                <w:b/>
                <w:color w:val="000000" w:themeColor="text1"/>
                <w:szCs w:val="26"/>
              </w:rPr>
              <w:t>Speed (mph)</w:t>
            </w:r>
          </w:p>
        </w:tc>
        <w:tc>
          <w:tcPr>
            <w:tcW w:w="0" w:type="auto"/>
            <w:shd w:val="clear" w:color="auto" w:fill="BFBFBF" w:themeFill="background1" w:themeFillShade="BF"/>
          </w:tcPr>
          <w:p w14:paraId="16117F5D" w14:textId="05C1D78E" w:rsidR="00476094" w:rsidRDefault="00476094" w:rsidP="00476094">
            <w:pPr>
              <w:tabs>
                <w:tab w:val="left" w:pos="5400"/>
              </w:tabs>
              <w:jc w:val="center"/>
              <w:rPr>
                <w:rFonts w:eastAsiaTheme="majorEastAsia" w:cstheme="majorBidi"/>
                <w:b/>
                <w:color w:val="000000" w:themeColor="text1"/>
                <w:szCs w:val="26"/>
              </w:rPr>
            </w:pPr>
            <w:r>
              <w:rPr>
                <w:rFonts w:eastAsiaTheme="majorEastAsia" w:cstheme="majorBidi"/>
                <w:b/>
                <w:color w:val="000000" w:themeColor="text1"/>
                <w:szCs w:val="26"/>
              </w:rPr>
              <w:t>Location</w:t>
            </w:r>
          </w:p>
        </w:tc>
        <w:tc>
          <w:tcPr>
            <w:tcW w:w="0" w:type="auto"/>
            <w:shd w:val="clear" w:color="auto" w:fill="BFBFBF" w:themeFill="background1" w:themeFillShade="BF"/>
          </w:tcPr>
          <w:p w14:paraId="384FC031" w14:textId="0F41C2FF" w:rsidR="00476094" w:rsidRDefault="00476094" w:rsidP="00476094">
            <w:pPr>
              <w:tabs>
                <w:tab w:val="left" w:pos="5400"/>
              </w:tabs>
              <w:jc w:val="center"/>
              <w:rPr>
                <w:rFonts w:eastAsiaTheme="majorEastAsia" w:cstheme="majorBidi"/>
                <w:b/>
                <w:color w:val="000000" w:themeColor="text1"/>
                <w:szCs w:val="26"/>
              </w:rPr>
            </w:pPr>
            <w:r>
              <w:rPr>
                <w:rFonts w:eastAsiaTheme="majorEastAsia" w:cstheme="majorBidi"/>
                <w:b/>
                <w:color w:val="000000" w:themeColor="text1"/>
                <w:szCs w:val="26"/>
              </w:rPr>
              <w:t>Outcome</w:t>
            </w:r>
          </w:p>
        </w:tc>
      </w:tr>
      <w:tr w:rsidR="00476094" w14:paraId="70FE899C" w14:textId="77777777" w:rsidTr="00581F7F">
        <w:tc>
          <w:tcPr>
            <w:tcW w:w="0" w:type="auto"/>
          </w:tcPr>
          <w:p w14:paraId="488C2D56" w14:textId="2E13507F" w:rsidR="00476094" w:rsidRPr="00476094" w:rsidRDefault="00476094" w:rsidP="00476094">
            <w:pPr>
              <w:jc w:val="center"/>
            </w:pPr>
            <w:r w:rsidRPr="00476094">
              <w:t>2022</w:t>
            </w:r>
          </w:p>
        </w:tc>
        <w:tc>
          <w:tcPr>
            <w:tcW w:w="0" w:type="auto"/>
          </w:tcPr>
          <w:p w14:paraId="67810A37" w14:textId="2BBFC6C8" w:rsidR="00476094" w:rsidRPr="00476094" w:rsidRDefault="00476094" w:rsidP="00476094">
            <w:pPr>
              <w:jc w:val="center"/>
            </w:pPr>
            <w:r w:rsidRPr="00476094">
              <w:t>134</w:t>
            </w:r>
          </w:p>
        </w:tc>
        <w:tc>
          <w:tcPr>
            <w:tcW w:w="0" w:type="auto"/>
          </w:tcPr>
          <w:p w14:paraId="44B4127C" w14:textId="1596D130" w:rsidR="00476094" w:rsidRPr="00476094" w:rsidRDefault="00476094" w:rsidP="00476094">
            <w:pPr>
              <w:jc w:val="center"/>
            </w:pPr>
            <w:r w:rsidRPr="00476094">
              <w:t>A71 West Lothian</w:t>
            </w:r>
          </w:p>
        </w:tc>
        <w:tc>
          <w:tcPr>
            <w:tcW w:w="0" w:type="auto"/>
          </w:tcPr>
          <w:p w14:paraId="4B35FB82" w14:textId="79D892EB" w:rsidR="00476094" w:rsidRPr="00476094" w:rsidRDefault="00476094" w:rsidP="00476094">
            <w:pPr>
              <w:jc w:val="center"/>
            </w:pPr>
            <w:r w:rsidRPr="00476094">
              <w:t>Reported to the procurator Fiscal</w:t>
            </w:r>
          </w:p>
        </w:tc>
      </w:tr>
      <w:tr w:rsidR="00476094" w14:paraId="546218C1" w14:textId="77777777" w:rsidTr="00581F7F">
        <w:tc>
          <w:tcPr>
            <w:tcW w:w="0" w:type="auto"/>
          </w:tcPr>
          <w:p w14:paraId="6FF20846" w14:textId="706C9332" w:rsidR="00476094" w:rsidRPr="00476094" w:rsidRDefault="00476094" w:rsidP="00476094">
            <w:pPr>
              <w:jc w:val="center"/>
            </w:pPr>
            <w:r w:rsidRPr="00476094">
              <w:t>2023</w:t>
            </w:r>
          </w:p>
        </w:tc>
        <w:tc>
          <w:tcPr>
            <w:tcW w:w="0" w:type="auto"/>
          </w:tcPr>
          <w:p w14:paraId="127998E3" w14:textId="7739B40E" w:rsidR="00476094" w:rsidRPr="00476094" w:rsidRDefault="00476094" w:rsidP="00476094">
            <w:pPr>
              <w:jc w:val="center"/>
            </w:pPr>
            <w:r w:rsidRPr="00476094">
              <w:t>138</w:t>
            </w:r>
          </w:p>
        </w:tc>
        <w:tc>
          <w:tcPr>
            <w:tcW w:w="0" w:type="auto"/>
          </w:tcPr>
          <w:p w14:paraId="33346722" w14:textId="55E3CBD8" w:rsidR="00476094" w:rsidRPr="00476094" w:rsidRDefault="00476094" w:rsidP="00476094">
            <w:pPr>
              <w:jc w:val="center"/>
            </w:pPr>
            <w:r w:rsidRPr="00476094">
              <w:t>A90 between Stonehaven and Dunde</w:t>
            </w:r>
            <w:r w:rsidRPr="00476094">
              <w:t>e</w:t>
            </w:r>
          </w:p>
        </w:tc>
        <w:tc>
          <w:tcPr>
            <w:tcW w:w="0" w:type="auto"/>
          </w:tcPr>
          <w:p w14:paraId="7C654702" w14:textId="64E739FD" w:rsidR="00476094" w:rsidRPr="00476094" w:rsidRDefault="00476094" w:rsidP="00476094">
            <w:pPr>
              <w:jc w:val="center"/>
            </w:pPr>
            <w:r w:rsidRPr="00476094">
              <w:t>No further action</w:t>
            </w:r>
          </w:p>
        </w:tc>
      </w:tr>
      <w:tr w:rsidR="00476094" w14:paraId="104C7B78" w14:textId="77777777" w:rsidTr="00581F7F">
        <w:tc>
          <w:tcPr>
            <w:tcW w:w="0" w:type="auto"/>
          </w:tcPr>
          <w:p w14:paraId="525C75DC" w14:textId="3E0611E0" w:rsidR="00476094" w:rsidRPr="00476094" w:rsidRDefault="00476094" w:rsidP="00476094">
            <w:pPr>
              <w:jc w:val="center"/>
            </w:pPr>
            <w:r w:rsidRPr="00476094">
              <w:t>2024</w:t>
            </w:r>
          </w:p>
        </w:tc>
        <w:tc>
          <w:tcPr>
            <w:tcW w:w="0" w:type="auto"/>
          </w:tcPr>
          <w:p w14:paraId="18AAA63C" w14:textId="7BBD7DA9" w:rsidR="00476094" w:rsidRPr="00476094" w:rsidRDefault="00476094" w:rsidP="00476094">
            <w:pPr>
              <w:jc w:val="center"/>
            </w:pPr>
            <w:r w:rsidRPr="00476094">
              <w:t>134</w:t>
            </w:r>
          </w:p>
        </w:tc>
        <w:tc>
          <w:tcPr>
            <w:tcW w:w="0" w:type="auto"/>
          </w:tcPr>
          <w:p w14:paraId="40225948" w14:textId="1F0FFA28" w:rsidR="00476094" w:rsidRPr="00476094" w:rsidRDefault="00476094" w:rsidP="00476094">
            <w:pPr>
              <w:jc w:val="center"/>
            </w:pPr>
            <w:r w:rsidRPr="00476094">
              <w:t>M80 near Dunipace</w:t>
            </w:r>
          </w:p>
        </w:tc>
        <w:tc>
          <w:tcPr>
            <w:tcW w:w="0" w:type="auto"/>
          </w:tcPr>
          <w:p w14:paraId="00C7E944" w14:textId="37F3F7B9" w:rsidR="00476094" w:rsidRPr="00476094" w:rsidRDefault="00476094" w:rsidP="00476094">
            <w:pPr>
              <w:jc w:val="center"/>
            </w:pPr>
            <w:r w:rsidRPr="00476094">
              <w:t>Reported to the procurator Fiscal</w:t>
            </w:r>
          </w:p>
        </w:tc>
      </w:tr>
    </w:tbl>
    <w:p w14:paraId="34BDABBD" w14:textId="43CA3896" w:rsidR="00BF6B81" w:rsidRDefault="00476094" w:rsidP="00581F7F">
      <w:r>
        <w:rPr>
          <w:rFonts w:eastAsiaTheme="majorEastAsia" w:cstheme="majorBidi"/>
          <w:bCs/>
          <w:color w:val="000000" w:themeColor="text1"/>
          <w:szCs w:val="26"/>
        </w:rPr>
        <w:t xml:space="preserve">Please note that </w:t>
      </w:r>
      <w:r>
        <w:t>the information is taken from a live database and is subject to change as updates are received.  The information is correct as of 10</w:t>
      </w:r>
      <w:r w:rsidRPr="00552F82">
        <w:rPr>
          <w:vertAlign w:val="superscript"/>
        </w:rPr>
        <w:t>th</w:t>
      </w:r>
      <w:r>
        <w:t xml:space="preserve"> January 2025.</w:t>
      </w:r>
    </w:p>
    <w:p w14:paraId="020C4FFD" w14:textId="77777777" w:rsidR="00581F7F" w:rsidRPr="00B11A55" w:rsidRDefault="00581F7F" w:rsidP="00581F7F"/>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003B4E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1F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31076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1F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45A0F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1F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9CF779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1F7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CB069E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1F7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5D3C85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1F7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E010B0"/>
    <w:multiLevelType w:val="hybridMultilevel"/>
    <w:tmpl w:val="B218F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308051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41BE"/>
    <w:rsid w:val="00090F3B"/>
    <w:rsid w:val="000C316A"/>
    <w:rsid w:val="000E2F19"/>
    <w:rsid w:val="000E6526"/>
    <w:rsid w:val="00141533"/>
    <w:rsid w:val="001576DD"/>
    <w:rsid w:val="00167528"/>
    <w:rsid w:val="0019035B"/>
    <w:rsid w:val="00195CC4"/>
    <w:rsid w:val="001B68C2"/>
    <w:rsid w:val="00201727"/>
    <w:rsid w:val="00207326"/>
    <w:rsid w:val="00253DF6"/>
    <w:rsid w:val="00255F1E"/>
    <w:rsid w:val="002A0988"/>
    <w:rsid w:val="002B7114"/>
    <w:rsid w:val="00327DEE"/>
    <w:rsid w:val="00332319"/>
    <w:rsid w:val="0036503B"/>
    <w:rsid w:val="003D6D03"/>
    <w:rsid w:val="003E12CA"/>
    <w:rsid w:val="004010DC"/>
    <w:rsid w:val="004341F0"/>
    <w:rsid w:val="00456324"/>
    <w:rsid w:val="00464084"/>
    <w:rsid w:val="00475460"/>
    <w:rsid w:val="00476094"/>
    <w:rsid w:val="00490317"/>
    <w:rsid w:val="00491644"/>
    <w:rsid w:val="00496A08"/>
    <w:rsid w:val="004E1605"/>
    <w:rsid w:val="004F653C"/>
    <w:rsid w:val="0051023B"/>
    <w:rsid w:val="00540A52"/>
    <w:rsid w:val="00552F82"/>
    <w:rsid w:val="00557306"/>
    <w:rsid w:val="00581F7F"/>
    <w:rsid w:val="0059321B"/>
    <w:rsid w:val="005F10F6"/>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964EF"/>
    <w:rsid w:val="00906245"/>
    <w:rsid w:val="00915E01"/>
    <w:rsid w:val="009531E0"/>
    <w:rsid w:val="009631A4"/>
    <w:rsid w:val="00977296"/>
    <w:rsid w:val="00A061E3"/>
    <w:rsid w:val="00A25E93"/>
    <w:rsid w:val="00A320FF"/>
    <w:rsid w:val="00A70AC0"/>
    <w:rsid w:val="00A725F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950986">
      <w:bodyDiv w:val="1"/>
      <w:marLeft w:val="0"/>
      <w:marRight w:val="0"/>
      <w:marTop w:val="0"/>
      <w:marBottom w:val="0"/>
      <w:divBdr>
        <w:top w:val="none" w:sz="0" w:space="0" w:color="auto"/>
        <w:left w:val="none" w:sz="0" w:space="0" w:color="auto"/>
        <w:bottom w:val="none" w:sz="0" w:space="0" w:color="auto"/>
        <w:right w:val="none" w:sz="0" w:space="0" w:color="auto"/>
      </w:divBdr>
    </w:div>
    <w:div w:id="1129477024">
      <w:bodyDiv w:val="1"/>
      <w:marLeft w:val="0"/>
      <w:marRight w:val="0"/>
      <w:marTop w:val="0"/>
      <w:marBottom w:val="0"/>
      <w:divBdr>
        <w:top w:val="none" w:sz="0" w:space="0" w:color="auto"/>
        <w:left w:val="none" w:sz="0" w:space="0" w:color="auto"/>
        <w:bottom w:val="none" w:sz="0" w:space="0" w:color="auto"/>
        <w:right w:val="none" w:sz="0" w:space="0" w:color="auto"/>
      </w:divBdr>
    </w:div>
    <w:div w:id="1313174001">
      <w:bodyDiv w:val="1"/>
      <w:marLeft w:val="0"/>
      <w:marRight w:val="0"/>
      <w:marTop w:val="0"/>
      <w:marBottom w:val="0"/>
      <w:divBdr>
        <w:top w:val="none" w:sz="0" w:space="0" w:color="auto"/>
        <w:left w:val="none" w:sz="0" w:space="0" w:color="auto"/>
        <w:bottom w:val="none" w:sz="0" w:space="0" w:color="auto"/>
        <w:right w:val="none" w:sz="0" w:space="0" w:color="auto"/>
      </w:divBdr>
    </w:div>
    <w:div w:id="1351057286">
      <w:bodyDiv w:val="1"/>
      <w:marLeft w:val="0"/>
      <w:marRight w:val="0"/>
      <w:marTop w:val="0"/>
      <w:marBottom w:val="0"/>
      <w:divBdr>
        <w:top w:val="none" w:sz="0" w:space="0" w:color="auto"/>
        <w:left w:val="none" w:sz="0" w:space="0" w:color="auto"/>
        <w:bottom w:val="none" w:sz="0" w:space="0" w:color="auto"/>
        <w:right w:val="none" w:sz="0" w:space="0" w:color="auto"/>
      </w:divBdr>
    </w:div>
    <w:div w:id="1436555637">
      <w:bodyDiv w:val="1"/>
      <w:marLeft w:val="0"/>
      <w:marRight w:val="0"/>
      <w:marTop w:val="0"/>
      <w:marBottom w:val="0"/>
      <w:divBdr>
        <w:top w:val="none" w:sz="0" w:space="0" w:color="auto"/>
        <w:left w:val="none" w:sz="0" w:space="0" w:color="auto"/>
        <w:bottom w:val="none" w:sz="0" w:space="0" w:color="auto"/>
        <w:right w:val="none" w:sz="0" w:space="0" w:color="auto"/>
      </w:divBdr>
    </w:div>
    <w:div w:id="1492255547">
      <w:bodyDiv w:val="1"/>
      <w:marLeft w:val="0"/>
      <w:marRight w:val="0"/>
      <w:marTop w:val="0"/>
      <w:marBottom w:val="0"/>
      <w:divBdr>
        <w:top w:val="none" w:sz="0" w:space="0" w:color="auto"/>
        <w:left w:val="none" w:sz="0" w:space="0" w:color="auto"/>
        <w:bottom w:val="none" w:sz="0" w:space="0" w:color="auto"/>
        <w:right w:val="none" w:sz="0" w:space="0" w:color="auto"/>
      </w:divBdr>
    </w:div>
    <w:div w:id="1951818377">
      <w:bodyDiv w:val="1"/>
      <w:marLeft w:val="0"/>
      <w:marRight w:val="0"/>
      <w:marTop w:val="0"/>
      <w:marBottom w:val="0"/>
      <w:divBdr>
        <w:top w:val="none" w:sz="0" w:space="0" w:color="auto"/>
        <w:left w:val="none" w:sz="0" w:space="0" w:color="auto"/>
        <w:bottom w:val="none" w:sz="0" w:space="0" w:color="auto"/>
        <w:right w:val="none" w:sz="0" w:space="0" w:color="auto"/>
      </w:divBdr>
    </w:div>
    <w:div w:id="2001500635">
      <w:bodyDiv w:val="1"/>
      <w:marLeft w:val="0"/>
      <w:marRight w:val="0"/>
      <w:marTop w:val="0"/>
      <w:marBottom w:val="0"/>
      <w:divBdr>
        <w:top w:val="none" w:sz="0" w:space="0" w:color="auto"/>
        <w:left w:val="none" w:sz="0" w:space="0" w:color="auto"/>
        <w:bottom w:val="none" w:sz="0" w:space="0" w:color="auto"/>
        <w:right w:val="none" w:sz="0" w:space="0" w:color="auto"/>
      </w:divBdr>
    </w:div>
    <w:div w:id="210306406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494</Words>
  <Characters>2821</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