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87DD15E" w:rsidR="00B17211" w:rsidRPr="00B17211" w:rsidRDefault="00B17211" w:rsidP="007F490F">
            <w:r w:rsidRPr="007F490F">
              <w:rPr>
                <w:rStyle w:val="Heading2Char"/>
              </w:rPr>
              <w:t>Our reference:</w:t>
            </w:r>
            <w:r>
              <w:t xml:space="preserve">  FOI 2</w:t>
            </w:r>
            <w:r w:rsidR="00EF0FBB">
              <w:t>5</w:t>
            </w:r>
            <w:r>
              <w:t>-</w:t>
            </w:r>
            <w:r w:rsidR="00BC6E96">
              <w:t>3665</w:t>
            </w:r>
          </w:p>
          <w:p w14:paraId="34BDABA6" w14:textId="3E969118" w:rsidR="00B17211" w:rsidRDefault="00456324" w:rsidP="00EE2373">
            <w:r w:rsidRPr="007F490F">
              <w:rPr>
                <w:rStyle w:val="Heading2Char"/>
              </w:rPr>
              <w:t>Respon</w:t>
            </w:r>
            <w:r w:rsidR="007D55F6">
              <w:rPr>
                <w:rStyle w:val="Heading2Char"/>
              </w:rPr>
              <w:t>ded to:</w:t>
            </w:r>
            <w:r w:rsidR="007F490F">
              <w:t xml:space="preserve">  </w:t>
            </w:r>
            <w:r w:rsidR="006E7BFE">
              <w:t>22</w:t>
            </w:r>
            <w:r w:rsidR="006E7BFE" w:rsidRPr="006E7BFE">
              <w:rPr>
                <w:vertAlign w:val="superscript"/>
              </w:rPr>
              <w:t>nd</w:t>
            </w:r>
            <w:r w:rsidR="006E7BFE">
              <w:t xml:space="preserve"> </w:t>
            </w:r>
            <w:r w:rsidR="00BC6E96">
              <w:t>Dec</w:t>
            </w:r>
            <w:r w:rsidR="0034364D">
              <w:t>ember</w:t>
            </w:r>
            <w:r>
              <w:t xml:space="preserve"> 202</w:t>
            </w:r>
            <w:r w:rsidR="00EF0FBB">
              <w:t>5</w:t>
            </w:r>
          </w:p>
        </w:tc>
      </w:tr>
    </w:tbl>
    <w:p w14:paraId="5FD27590" w14:textId="77777777" w:rsidR="009E4961" w:rsidRPr="007D1918" w:rsidRDefault="009E4961" w:rsidP="009E4961">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B36EEFD" w14:textId="77777777" w:rsidR="00697C09" w:rsidRDefault="00697C09" w:rsidP="00A240C7">
      <w:pPr>
        <w:pStyle w:val="Heading2"/>
      </w:pPr>
      <w:r w:rsidRPr="00697C09">
        <w:t>How many police stations have closed each year from 2023 to the present.</w:t>
      </w:r>
    </w:p>
    <w:p w14:paraId="1372C018" w14:textId="1A45B323" w:rsidR="009E4961" w:rsidRPr="009E4961" w:rsidRDefault="009E4961" w:rsidP="009E4961">
      <w:pPr>
        <w:pStyle w:val="Heading2"/>
      </w:pPr>
      <w:r w:rsidRPr="00697C09">
        <w:t>How many police counters have closed each year from 2023 to the present.</w:t>
      </w:r>
    </w:p>
    <w:p w14:paraId="6B6706E3" w14:textId="71FEDD93" w:rsidR="00697C09" w:rsidRPr="00697C09" w:rsidRDefault="00697C09" w:rsidP="00A240C7">
      <w:r w:rsidRPr="00697C09">
        <w:t xml:space="preserve">In response to </w:t>
      </w:r>
      <w:r w:rsidR="009E4961">
        <w:t>these questions</w:t>
      </w:r>
      <w:r w:rsidRPr="00697C09">
        <w:t>, I must first of all advise you that there is no requirement to record when a Police Station</w:t>
      </w:r>
      <w:r w:rsidR="009E4961">
        <w:t xml:space="preserve"> or Police counter</w:t>
      </w:r>
      <w:r w:rsidRPr="00697C09">
        <w:t xml:space="preserve"> is closed. As such, in terms of section 17, the information you are seeking is not held. </w:t>
      </w:r>
    </w:p>
    <w:p w14:paraId="52BD2086" w14:textId="77777777" w:rsidR="00697C09" w:rsidRPr="00697C09" w:rsidRDefault="00697C09" w:rsidP="00A240C7">
      <w:r w:rsidRPr="00697C09">
        <w:t xml:space="preserve">Scotland’s policing estate has been built up over the course of several decades and some buildings are no longer in the right place or operationally fit for purpose. </w:t>
      </w:r>
    </w:p>
    <w:p w14:paraId="3C958FF1" w14:textId="77777777" w:rsidR="00697C09" w:rsidRPr="00697C09" w:rsidRDefault="00697C09" w:rsidP="00A240C7">
      <w:r w:rsidRPr="00697C09">
        <w:t xml:space="preserve">Many Police Station sales were as a result of properties declared surplus by Legacy Forces although the sales occurred post-formation of Police Scotland. The majority of these decisions, which took place prior to the formation of Police Scotland, were taken after lengthy and detailed consultation with our partners and local communities and this process remains the same today. </w:t>
      </w:r>
    </w:p>
    <w:p w14:paraId="6026682F" w14:textId="50BFF388" w:rsidR="00697C09" w:rsidRDefault="00697C09" w:rsidP="00A240C7">
      <w:r w:rsidRPr="00697C09">
        <w:t xml:space="preserve">In the vast majority of cases, Police Stations which were closed were moved to new modern co-located accommodation within the same towns or officers were moved to new Police Stations nearby.  </w:t>
      </w:r>
    </w:p>
    <w:p w14:paraId="32F62C7B" w14:textId="0A4BD260" w:rsidR="009E4961" w:rsidRDefault="009E4961" w:rsidP="00A240C7">
      <w:r>
        <w:t xml:space="preserve">Information on public counters is available online with the corresponding opening times, which can be accessed at the following link: </w:t>
      </w:r>
      <w:hyperlink r:id="rId11" w:history="1">
        <w:r w:rsidRPr="009E4961">
          <w:rPr>
            <w:rStyle w:val="Hyperlink"/>
          </w:rPr>
          <w:t>Police Scotland's station opening hours - Police Scotland</w:t>
        </w:r>
      </w:hyperlink>
    </w:p>
    <w:p w14:paraId="52B3B734" w14:textId="3E7B3F32" w:rsidR="009E4961" w:rsidRDefault="009E4961" w:rsidP="009E4961">
      <w:r>
        <w:t xml:space="preserve">In terms of front counter arrangements, I can confirm that whilst the opening times of the stations which are provided on the website are not routinely changed, every effort is made to keep front counters open on the times advertised. However in the event of sickness or annual leave the front counter may not be manned and in these instances officers working </w:t>
      </w:r>
      <w:r>
        <w:lastRenderedPageBreak/>
        <w:t xml:space="preserve">within the station will attend to customers at the front counter where this can be accommodated. </w:t>
      </w:r>
    </w:p>
    <w:p w14:paraId="689FB861" w14:textId="77777777" w:rsidR="009E4961" w:rsidRDefault="009E4961" w:rsidP="009E4961">
      <w:r>
        <w:t xml:space="preserve">On occasions where no one is available to attend at the front counter, the 101 phone outside the station should be used to contact the ACR, who will arrange for an officer to attend at the station. There are occasions where it has been necessary to close a front counter, if cover cannot be provided. </w:t>
      </w:r>
    </w:p>
    <w:p w14:paraId="43ED92E9" w14:textId="52715108" w:rsidR="00A240C7" w:rsidRDefault="009E4961" w:rsidP="00697C09">
      <w:r>
        <w:t>Please note that where a station is advertised as being open 24 hours this does not change and the front counter at these stations is manned 24/7.</w:t>
      </w:r>
    </w:p>
    <w:p w14:paraId="57DCE58A" w14:textId="77777777" w:rsidR="009E4961" w:rsidRDefault="009E4961" w:rsidP="00697C09"/>
    <w:p w14:paraId="7A05727A" w14:textId="77777777" w:rsidR="00697C09" w:rsidRPr="00697C09" w:rsidRDefault="00697C09" w:rsidP="00A240C7">
      <w:pPr>
        <w:pStyle w:val="Heading2"/>
      </w:pPr>
      <w:r w:rsidRPr="00697C09">
        <w:t>How many police stations or buildings have been sold each year from 2023 to the present.</w:t>
      </w:r>
    </w:p>
    <w:p w14:paraId="4115732A" w14:textId="5CCD625C" w:rsidR="00697C09" w:rsidRDefault="00697C09" w:rsidP="00697C09">
      <w:r w:rsidRPr="00697C09">
        <w:t>The table below details the number of police stations</w:t>
      </w:r>
      <w:r w:rsidR="00A240C7">
        <w:t xml:space="preserve"> or buildings</w:t>
      </w:r>
      <w:r w:rsidRPr="00697C09">
        <w:t xml:space="preserve"> which have been sold </w:t>
      </w:r>
      <w:r w:rsidR="00A240C7">
        <w:t xml:space="preserve">each year </w:t>
      </w:r>
      <w:r w:rsidRPr="00697C09">
        <w:t>sinc</w:t>
      </w:r>
      <w:r w:rsidR="00A240C7">
        <w:t xml:space="preserve">e 2023 to present. </w:t>
      </w:r>
    </w:p>
    <w:tbl>
      <w:tblPr>
        <w:tblStyle w:val="TableGrid"/>
        <w:tblW w:w="8073" w:type="dxa"/>
        <w:tblLook w:val="04A0" w:firstRow="1" w:lastRow="0" w:firstColumn="1" w:lastColumn="0" w:noHBand="0" w:noVBand="1"/>
        <w:tblCaption w:val="Number of Police Stations and Buildings sold from 2023 to date"/>
        <w:tblDescription w:val="Number of Police Stations and Buildings sold from 2023 to date"/>
      </w:tblPr>
      <w:tblGrid>
        <w:gridCol w:w="2691"/>
        <w:gridCol w:w="2691"/>
        <w:gridCol w:w="2691"/>
      </w:tblGrid>
      <w:tr w:rsidR="00A240C7" w:rsidRPr="00557306" w14:paraId="0EE5D6C5" w14:textId="2D139022" w:rsidTr="00A240C7">
        <w:trPr>
          <w:tblHeader/>
        </w:trPr>
        <w:tc>
          <w:tcPr>
            <w:tcW w:w="2691" w:type="dxa"/>
            <w:shd w:val="clear" w:color="auto" w:fill="D9D9D9" w:themeFill="background1" w:themeFillShade="D9"/>
          </w:tcPr>
          <w:p w14:paraId="1CAA192C" w14:textId="77777777" w:rsidR="00A240C7" w:rsidRPr="00557306" w:rsidRDefault="00A240C7" w:rsidP="0066517C">
            <w:pPr>
              <w:spacing w:line="240" w:lineRule="auto"/>
              <w:rPr>
                <w:b/>
              </w:rPr>
            </w:pPr>
            <w:r>
              <w:rPr>
                <w:b/>
              </w:rPr>
              <w:t>Year</w:t>
            </w:r>
          </w:p>
        </w:tc>
        <w:tc>
          <w:tcPr>
            <w:tcW w:w="2691" w:type="dxa"/>
            <w:shd w:val="clear" w:color="auto" w:fill="D9D9D9" w:themeFill="background1" w:themeFillShade="D9"/>
          </w:tcPr>
          <w:p w14:paraId="449478A9" w14:textId="77777777" w:rsidR="00A240C7" w:rsidRPr="00557306" w:rsidRDefault="00A240C7" w:rsidP="0066517C">
            <w:pPr>
              <w:spacing w:line="240" w:lineRule="auto"/>
              <w:rPr>
                <w:b/>
              </w:rPr>
            </w:pPr>
            <w:r>
              <w:rPr>
                <w:b/>
              </w:rPr>
              <w:t>Police Stations Sold</w:t>
            </w:r>
          </w:p>
        </w:tc>
        <w:tc>
          <w:tcPr>
            <w:tcW w:w="2691" w:type="dxa"/>
            <w:shd w:val="clear" w:color="auto" w:fill="D9D9D9" w:themeFill="background1" w:themeFillShade="D9"/>
          </w:tcPr>
          <w:p w14:paraId="628D34DA" w14:textId="1A5400BB" w:rsidR="00A240C7" w:rsidRDefault="00A240C7" w:rsidP="0066517C">
            <w:pPr>
              <w:spacing w:line="240" w:lineRule="auto"/>
              <w:rPr>
                <w:b/>
              </w:rPr>
            </w:pPr>
            <w:r>
              <w:rPr>
                <w:b/>
              </w:rPr>
              <w:t>Police Houses sold</w:t>
            </w:r>
          </w:p>
        </w:tc>
      </w:tr>
      <w:tr w:rsidR="00A240C7" w14:paraId="052C1747" w14:textId="05B3437C" w:rsidTr="00A240C7">
        <w:tc>
          <w:tcPr>
            <w:tcW w:w="2691" w:type="dxa"/>
          </w:tcPr>
          <w:p w14:paraId="1D6EC289" w14:textId="77777777" w:rsidR="00A240C7" w:rsidRDefault="00A240C7" w:rsidP="0066517C">
            <w:pPr>
              <w:tabs>
                <w:tab w:val="left" w:pos="5400"/>
              </w:tabs>
              <w:spacing w:line="240" w:lineRule="auto"/>
            </w:pPr>
            <w:r>
              <w:t>2023</w:t>
            </w:r>
          </w:p>
        </w:tc>
        <w:tc>
          <w:tcPr>
            <w:tcW w:w="2691" w:type="dxa"/>
          </w:tcPr>
          <w:p w14:paraId="3D29BC5D" w14:textId="77777777" w:rsidR="00A240C7" w:rsidRDefault="00A240C7" w:rsidP="0066517C">
            <w:pPr>
              <w:tabs>
                <w:tab w:val="left" w:pos="5400"/>
              </w:tabs>
              <w:spacing w:line="240" w:lineRule="auto"/>
            </w:pPr>
            <w:r>
              <w:t>4</w:t>
            </w:r>
          </w:p>
        </w:tc>
        <w:tc>
          <w:tcPr>
            <w:tcW w:w="2691" w:type="dxa"/>
          </w:tcPr>
          <w:p w14:paraId="49309482" w14:textId="23ACBE5B" w:rsidR="00A240C7" w:rsidRDefault="00A240C7" w:rsidP="0066517C">
            <w:pPr>
              <w:tabs>
                <w:tab w:val="left" w:pos="5400"/>
              </w:tabs>
              <w:spacing w:line="240" w:lineRule="auto"/>
            </w:pPr>
            <w:r>
              <w:t>6</w:t>
            </w:r>
          </w:p>
        </w:tc>
      </w:tr>
      <w:tr w:rsidR="00A240C7" w14:paraId="7C5D8C2F" w14:textId="67BE1C5C" w:rsidTr="00A240C7">
        <w:tc>
          <w:tcPr>
            <w:tcW w:w="2691" w:type="dxa"/>
          </w:tcPr>
          <w:p w14:paraId="0785A9F5" w14:textId="77777777" w:rsidR="00A240C7" w:rsidRDefault="00A240C7" w:rsidP="0066517C">
            <w:pPr>
              <w:tabs>
                <w:tab w:val="left" w:pos="5400"/>
              </w:tabs>
              <w:spacing w:line="240" w:lineRule="auto"/>
            </w:pPr>
            <w:r>
              <w:t>2024</w:t>
            </w:r>
          </w:p>
        </w:tc>
        <w:tc>
          <w:tcPr>
            <w:tcW w:w="2691" w:type="dxa"/>
          </w:tcPr>
          <w:p w14:paraId="2DD5C118" w14:textId="2DD2F21A" w:rsidR="00A240C7" w:rsidRDefault="00A240C7" w:rsidP="0066517C">
            <w:pPr>
              <w:tabs>
                <w:tab w:val="left" w:pos="5400"/>
              </w:tabs>
              <w:spacing w:line="240" w:lineRule="auto"/>
            </w:pPr>
            <w:r>
              <w:t>8</w:t>
            </w:r>
          </w:p>
        </w:tc>
        <w:tc>
          <w:tcPr>
            <w:tcW w:w="2691" w:type="dxa"/>
          </w:tcPr>
          <w:p w14:paraId="0352ED29" w14:textId="109E9009" w:rsidR="00A240C7" w:rsidRDefault="00A240C7" w:rsidP="0066517C">
            <w:pPr>
              <w:tabs>
                <w:tab w:val="left" w:pos="5400"/>
              </w:tabs>
              <w:spacing w:line="240" w:lineRule="auto"/>
            </w:pPr>
            <w:r>
              <w:t>9</w:t>
            </w:r>
          </w:p>
        </w:tc>
      </w:tr>
      <w:tr w:rsidR="00A240C7" w14:paraId="4E9E8824" w14:textId="1F60FB6A" w:rsidTr="00A240C7">
        <w:tc>
          <w:tcPr>
            <w:tcW w:w="2691" w:type="dxa"/>
          </w:tcPr>
          <w:p w14:paraId="2BD7D871" w14:textId="77777777" w:rsidR="00A240C7" w:rsidRDefault="00A240C7" w:rsidP="0066517C">
            <w:pPr>
              <w:tabs>
                <w:tab w:val="left" w:pos="5400"/>
              </w:tabs>
              <w:spacing w:line="240" w:lineRule="auto"/>
            </w:pPr>
            <w:r>
              <w:t>2025 to date</w:t>
            </w:r>
          </w:p>
        </w:tc>
        <w:tc>
          <w:tcPr>
            <w:tcW w:w="2691" w:type="dxa"/>
          </w:tcPr>
          <w:p w14:paraId="12973A26" w14:textId="1527F70A" w:rsidR="00A240C7" w:rsidRDefault="00A240C7" w:rsidP="0066517C">
            <w:pPr>
              <w:tabs>
                <w:tab w:val="left" w:pos="5400"/>
              </w:tabs>
              <w:spacing w:line="240" w:lineRule="auto"/>
            </w:pPr>
            <w:r>
              <w:t>6</w:t>
            </w:r>
          </w:p>
        </w:tc>
        <w:tc>
          <w:tcPr>
            <w:tcW w:w="2691" w:type="dxa"/>
          </w:tcPr>
          <w:p w14:paraId="6699C9DB" w14:textId="393CFDB2" w:rsidR="00A240C7" w:rsidRDefault="00A240C7" w:rsidP="0066517C">
            <w:pPr>
              <w:tabs>
                <w:tab w:val="left" w:pos="5400"/>
              </w:tabs>
              <w:spacing w:line="240" w:lineRule="auto"/>
            </w:pPr>
            <w:r>
              <w:t>9</w:t>
            </w:r>
          </w:p>
        </w:tc>
      </w:tr>
    </w:tbl>
    <w:p w14:paraId="38E99412" w14:textId="77777777" w:rsidR="006C02C1" w:rsidRPr="00697C09" w:rsidRDefault="006C02C1" w:rsidP="006C02C1"/>
    <w:p w14:paraId="6A9A2C00" w14:textId="77777777" w:rsidR="00697C09" w:rsidRDefault="00697C09" w:rsidP="00A240C7">
      <w:pPr>
        <w:pStyle w:val="Heading2"/>
      </w:pPr>
      <w:r w:rsidRPr="00697C09">
        <w:t>The latest figures on the condition of police stations, including how many are classed as being in poor or bad condition, or needing repairs.</w:t>
      </w:r>
    </w:p>
    <w:p w14:paraId="34BDABAB" w14:textId="40599619" w:rsidR="00255F1E" w:rsidRDefault="00A240C7" w:rsidP="00A240C7">
      <w:r>
        <w:t xml:space="preserve">The table below provides the number of stations requiring repairs across the estate by division. </w:t>
      </w:r>
    </w:p>
    <w:tbl>
      <w:tblPr>
        <w:tblStyle w:val="TableGrid"/>
        <w:tblW w:w="7596" w:type="dxa"/>
        <w:tblLook w:val="04A0" w:firstRow="1" w:lastRow="0" w:firstColumn="1" w:lastColumn="0" w:noHBand="0" w:noVBand="1"/>
        <w:tblCaption w:val="Number of stations requiring repairs across estate by division"/>
        <w:tblDescription w:val="Number of stations requiring repairs across estate by division"/>
      </w:tblPr>
      <w:tblGrid>
        <w:gridCol w:w="3798"/>
        <w:gridCol w:w="3798"/>
      </w:tblGrid>
      <w:tr w:rsidR="00A240C7" w:rsidRPr="00557306" w14:paraId="34BDABB1" w14:textId="77777777" w:rsidTr="00A240C7">
        <w:trPr>
          <w:tblHeader/>
        </w:trPr>
        <w:tc>
          <w:tcPr>
            <w:tcW w:w="3798" w:type="dxa"/>
            <w:shd w:val="clear" w:color="auto" w:fill="D9D9D9" w:themeFill="background1" w:themeFillShade="D9"/>
          </w:tcPr>
          <w:p w14:paraId="34BDABAC" w14:textId="47B0CFBE" w:rsidR="00A240C7" w:rsidRPr="00557306" w:rsidRDefault="00A240C7" w:rsidP="00375AA0">
            <w:pPr>
              <w:spacing w:line="240" w:lineRule="auto"/>
              <w:rPr>
                <w:b/>
              </w:rPr>
            </w:pPr>
            <w:r>
              <w:rPr>
                <w:b/>
              </w:rPr>
              <w:t>Division</w:t>
            </w:r>
          </w:p>
        </w:tc>
        <w:tc>
          <w:tcPr>
            <w:tcW w:w="3798" w:type="dxa"/>
            <w:shd w:val="clear" w:color="auto" w:fill="D9D9D9" w:themeFill="background1" w:themeFillShade="D9"/>
          </w:tcPr>
          <w:p w14:paraId="34BDABAD" w14:textId="0C589FBC" w:rsidR="00A240C7" w:rsidRPr="00557306" w:rsidRDefault="00A240C7" w:rsidP="00375AA0">
            <w:pPr>
              <w:spacing w:line="240" w:lineRule="auto"/>
              <w:rPr>
                <w:b/>
              </w:rPr>
            </w:pPr>
            <w:r>
              <w:rPr>
                <w:b/>
              </w:rPr>
              <w:t xml:space="preserve">Number of Stations requiring repairs </w:t>
            </w:r>
          </w:p>
        </w:tc>
      </w:tr>
      <w:tr w:rsidR="00A240C7" w14:paraId="34BDABB7" w14:textId="77777777" w:rsidTr="00A240C7">
        <w:tc>
          <w:tcPr>
            <w:tcW w:w="3798" w:type="dxa"/>
          </w:tcPr>
          <w:p w14:paraId="34BDABB2" w14:textId="62989A15" w:rsidR="00A240C7" w:rsidRDefault="00A240C7" w:rsidP="00375AA0">
            <w:pPr>
              <w:tabs>
                <w:tab w:val="left" w:pos="5400"/>
              </w:tabs>
              <w:spacing w:line="240" w:lineRule="auto"/>
            </w:pPr>
            <w:r>
              <w:t>North East</w:t>
            </w:r>
          </w:p>
        </w:tc>
        <w:tc>
          <w:tcPr>
            <w:tcW w:w="3798" w:type="dxa"/>
          </w:tcPr>
          <w:p w14:paraId="34BDABB3" w14:textId="603841CF" w:rsidR="00A240C7" w:rsidRDefault="00A240C7" w:rsidP="00375AA0">
            <w:pPr>
              <w:tabs>
                <w:tab w:val="left" w:pos="5400"/>
              </w:tabs>
              <w:spacing w:line="240" w:lineRule="auto"/>
            </w:pPr>
            <w:r>
              <w:t>53</w:t>
            </w:r>
          </w:p>
        </w:tc>
      </w:tr>
      <w:tr w:rsidR="00A240C7" w14:paraId="03CB9643" w14:textId="77777777" w:rsidTr="00A240C7">
        <w:tc>
          <w:tcPr>
            <w:tcW w:w="3798" w:type="dxa"/>
          </w:tcPr>
          <w:p w14:paraId="70267A34" w14:textId="76EE3240" w:rsidR="00A240C7" w:rsidRDefault="00A240C7" w:rsidP="00375AA0">
            <w:pPr>
              <w:tabs>
                <w:tab w:val="left" w:pos="5400"/>
              </w:tabs>
              <w:spacing w:line="240" w:lineRule="auto"/>
            </w:pPr>
            <w:r>
              <w:t>Forth Valley</w:t>
            </w:r>
          </w:p>
        </w:tc>
        <w:tc>
          <w:tcPr>
            <w:tcW w:w="3798" w:type="dxa"/>
          </w:tcPr>
          <w:p w14:paraId="0F2B1B86" w14:textId="576CE84C" w:rsidR="00A240C7" w:rsidRDefault="00A240C7" w:rsidP="00375AA0">
            <w:pPr>
              <w:tabs>
                <w:tab w:val="left" w:pos="5400"/>
              </w:tabs>
              <w:spacing w:line="240" w:lineRule="auto"/>
            </w:pPr>
            <w:r>
              <w:t>13</w:t>
            </w:r>
          </w:p>
        </w:tc>
      </w:tr>
      <w:tr w:rsidR="00A240C7" w14:paraId="558CFCBC" w14:textId="77777777" w:rsidTr="00A240C7">
        <w:tc>
          <w:tcPr>
            <w:tcW w:w="3798" w:type="dxa"/>
          </w:tcPr>
          <w:p w14:paraId="2322E888" w14:textId="50B79133" w:rsidR="00A240C7" w:rsidRDefault="00A240C7" w:rsidP="00375AA0">
            <w:pPr>
              <w:tabs>
                <w:tab w:val="left" w:pos="5400"/>
              </w:tabs>
              <w:spacing w:line="240" w:lineRule="auto"/>
            </w:pPr>
            <w:r>
              <w:t xml:space="preserve">Tayside </w:t>
            </w:r>
          </w:p>
        </w:tc>
        <w:tc>
          <w:tcPr>
            <w:tcW w:w="3798" w:type="dxa"/>
          </w:tcPr>
          <w:p w14:paraId="0D3F6EDE" w14:textId="115787DC" w:rsidR="00A240C7" w:rsidRDefault="00A240C7" w:rsidP="00375AA0">
            <w:pPr>
              <w:tabs>
                <w:tab w:val="left" w:pos="5400"/>
              </w:tabs>
              <w:spacing w:line="240" w:lineRule="auto"/>
            </w:pPr>
            <w:r>
              <w:t>32</w:t>
            </w:r>
          </w:p>
        </w:tc>
      </w:tr>
      <w:tr w:rsidR="00A240C7" w14:paraId="727DA330" w14:textId="77777777" w:rsidTr="00A240C7">
        <w:tc>
          <w:tcPr>
            <w:tcW w:w="3798" w:type="dxa"/>
          </w:tcPr>
          <w:p w14:paraId="270DCD7D" w14:textId="470AD9BC" w:rsidR="00A240C7" w:rsidRDefault="00A240C7" w:rsidP="00375AA0">
            <w:pPr>
              <w:tabs>
                <w:tab w:val="left" w:pos="5400"/>
              </w:tabs>
              <w:spacing w:line="240" w:lineRule="auto"/>
            </w:pPr>
            <w:r>
              <w:t xml:space="preserve">Edinburgh </w:t>
            </w:r>
          </w:p>
        </w:tc>
        <w:tc>
          <w:tcPr>
            <w:tcW w:w="3798" w:type="dxa"/>
          </w:tcPr>
          <w:p w14:paraId="57910BC7" w14:textId="40C1BD72" w:rsidR="00A240C7" w:rsidRDefault="00A240C7" w:rsidP="00375AA0">
            <w:pPr>
              <w:tabs>
                <w:tab w:val="left" w:pos="5400"/>
              </w:tabs>
              <w:spacing w:line="240" w:lineRule="auto"/>
            </w:pPr>
            <w:r>
              <w:t>21</w:t>
            </w:r>
          </w:p>
        </w:tc>
      </w:tr>
      <w:tr w:rsidR="00A240C7" w14:paraId="1F1220FC" w14:textId="77777777" w:rsidTr="00A240C7">
        <w:tc>
          <w:tcPr>
            <w:tcW w:w="3798" w:type="dxa"/>
          </w:tcPr>
          <w:p w14:paraId="09FDE9D0" w14:textId="145A320D" w:rsidR="00A240C7" w:rsidRDefault="00A240C7" w:rsidP="00375AA0">
            <w:pPr>
              <w:tabs>
                <w:tab w:val="left" w:pos="5400"/>
              </w:tabs>
              <w:spacing w:line="240" w:lineRule="auto"/>
            </w:pPr>
            <w:r>
              <w:t>Greater Glasgow</w:t>
            </w:r>
          </w:p>
        </w:tc>
        <w:tc>
          <w:tcPr>
            <w:tcW w:w="3798" w:type="dxa"/>
          </w:tcPr>
          <w:p w14:paraId="6CFF7400" w14:textId="7D4A14BD" w:rsidR="00A240C7" w:rsidRDefault="00A240C7" w:rsidP="00375AA0">
            <w:pPr>
              <w:tabs>
                <w:tab w:val="left" w:pos="5400"/>
              </w:tabs>
              <w:spacing w:line="240" w:lineRule="auto"/>
            </w:pPr>
            <w:r>
              <w:t>35</w:t>
            </w:r>
          </w:p>
        </w:tc>
      </w:tr>
      <w:tr w:rsidR="00A240C7" w14:paraId="1C8F2215" w14:textId="77777777" w:rsidTr="00A240C7">
        <w:tc>
          <w:tcPr>
            <w:tcW w:w="3798" w:type="dxa"/>
          </w:tcPr>
          <w:p w14:paraId="53126026" w14:textId="2DBA40BE" w:rsidR="00A240C7" w:rsidRDefault="00A240C7" w:rsidP="00375AA0">
            <w:pPr>
              <w:tabs>
                <w:tab w:val="left" w:pos="5400"/>
              </w:tabs>
              <w:spacing w:line="240" w:lineRule="auto"/>
            </w:pPr>
            <w:r>
              <w:lastRenderedPageBreak/>
              <w:t>The Lothians &amp; Scottish Borders</w:t>
            </w:r>
          </w:p>
        </w:tc>
        <w:tc>
          <w:tcPr>
            <w:tcW w:w="3798" w:type="dxa"/>
          </w:tcPr>
          <w:p w14:paraId="02FF7098" w14:textId="40A5BED1" w:rsidR="00A240C7" w:rsidRDefault="00A240C7" w:rsidP="00375AA0">
            <w:pPr>
              <w:tabs>
                <w:tab w:val="left" w:pos="5400"/>
              </w:tabs>
              <w:spacing w:line="240" w:lineRule="auto"/>
            </w:pPr>
            <w:r>
              <w:t>29</w:t>
            </w:r>
          </w:p>
        </w:tc>
      </w:tr>
      <w:tr w:rsidR="00A240C7" w14:paraId="133017BC" w14:textId="77777777" w:rsidTr="00A240C7">
        <w:tc>
          <w:tcPr>
            <w:tcW w:w="3798" w:type="dxa"/>
          </w:tcPr>
          <w:p w14:paraId="182EB990" w14:textId="40BA06C7" w:rsidR="00A240C7" w:rsidRDefault="00A240C7" w:rsidP="00375AA0">
            <w:pPr>
              <w:tabs>
                <w:tab w:val="left" w:pos="5400"/>
              </w:tabs>
              <w:spacing w:line="240" w:lineRule="auto"/>
            </w:pPr>
            <w:r>
              <w:t>Renfrewshire &amp; Inverclyde</w:t>
            </w:r>
          </w:p>
        </w:tc>
        <w:tc>
          <w:tcPr>
            <w:tcW w:w="3798" w:type="dxa"/>
          </w:tcPr>
          <w:p w14:paraId="539195E3" w14:textId="71497F83" w:rsidR="00A240C7" w:rsidRDefault="00A240C7" w:rsidP="00375AA0">
            <w:pPr>
              <w:tabs>
                <w:tab w:val="left" w:pos="5400"/>
              </w:tabs>
              <w:spacing w:line="240" w:lineRule="auto"/>
            </w:pPr>
            <w:r>
              <w:t>11</w:t>
            </w:r>
          </w:p>
        </w:tc>
      </w:tr>
      <w:tr w:rsidR="00A240C7" w14:paraId="470851CD" w14:textId="77777777" w:rsidTr="00A240C7">
        <w:tc>
          <w:tcPr>
            <w:tcW w:w="3798" w:type="dxa"/>
          </w:tcPr>
          <w:p w14:paraId="285B1B3C" w14:textId="56A1FF1F" w:rsidR="00A240C7" w:rsidRDefault="00A240C7" w:rsidP="00375AA0">
            <w:pPr>
              <w:tabs>
                <w:tab w:val="left" w:pos="5400"/>
              </w:tabs>
              <w:spacing w:line="240" w:lineRule="auto"/>
            </w:pPr>
            <w:r>
              <w:t>Argyll &amp; West Dunbartonshire</w:t>
            </w:r>
          </w:p>
        </w:tc>
        <w:tc>
          <w:tcPr>
            <w:tcW w:w="3798" w:type="dxa"/>
          </w:tcPr>
          <w:p w14:paraId="4A30A3CA" w14:textId="6C605578" w:rsidR="00A240C7" w:rsidRDefault="00A240C7" w:rsidP="00375AA0">
            <w:pPr>
              <w:tabs>
                <w:tab w:val="left" w:pos="5400"/>
              </w:tabs>
              <w:spacing w:line="240" w:lineRule="auto"/>
            </w:pPr>
            <w:r>
              <w:t>19</w:t>
            </w:r>
          </w:p>
        </w:tc>
      </w:tr>
      <w:tr w:rsidR="00A240C7" w14:paraId="75ED3D6C" w14:textId="77777777" w:rsidTr="00A240C7">
        <w:tc>
          <w:tcPr>
            <w:tcW w:w="3798" w:type="dxa"/>
          </w:tcPr>
          <w:p w14:paraId="04B0ED86" w14:textId="14C120FD" w:rsidR="00A240C7" w:rsidRDefault="00A240C7" w:rsidP="00375AA0">
            <w:pPr>
              <w:tabs>
                <w:tab w:val="left" w:pos="5400"/>
              </w:tabs>
              <w:spacing w:line="240" w:lineRule="auto"/>
            </w:pPr>
            <w:r>
              <w:t>Highlands &amp; Islands</w:t>
            </w:r>
          </w:p>
        </w:tc>
        <w:tc>
          <w:tcPr>
            <w:tcW w:w="3798" w:type="dxa"/>
          </w:tcPr>
          <w:p w14:paraId="1294EA4D" w14:textId="4067ECA1" w:rsidR="00A240C7" w:rsidRDefault="00A240C7" w:rsidP="00375AA0">
            <w:pPr>
              <w:tabs>
                <w:tab w:val="left" w:pos="5400"/>
              </w:tabs>
              <w:spacing w:line="240" w:lineRule="auto"/>
            </w:pPr>
            <w:r>
              <w:t>41</w:t>
            </w:r>
          </w:p>
        </w:tc>
      </w:tr>
      <w:tr w:rsidR="00A240C7" w14:paraId="3E9525BE" w14:textId="77777777" w:rsidTr="00A240C7">
        <w:tc>
          <w:tcPr>
            <w:tcW w:w="3798" w:type="dxa"/>
          </w:tcPr>
          <w:p w14:paraId="6F9E5609" w14:textId="126D8779" w:rsidR="00A240C7" w:rsidRDefault="00A240C7" w:rsidP="00375AA0">
            <w:pPr>
              <w:tabs>
                <w:tab w:val="left" w:pos="5400"/>
              </w:tabs>
              <w:spacing w:line="240" w:lineRule="auto"/>
            </w:pPr>
            <w:r>
              <w:t>Fife</w:t>
            </w:r>
          </w:p>
        </w:tc>
        <w:tc>
          <w:tcPr>
            <w:tcW w:w="3798" w:type="dxa"/>
          </w:tcPr>
          <w:p w14:paraId="285777A1" w14:textId="68A09294" w:rsidR="00A240C7" w:rsidRDefault="00A240C7" w:rsidP="00375AA0">
            <w:pPr>
              <w:tabs>
                <w:tab w:val="left" w:pos="5400"/>
              </w:tabs>
              <w:spacing w:line="240" w:lineRule="auto"/>
            </w:pPr>
            <w:r>
              <w:t>14</w:t>
            </w:r>
          </w:p>
        </w:tc>
      </w:tr>
      <w:tr w:rsidR="00A240C7" w14:paraId="30375D72" w14:textId="77777777" w:rsidTr="00A240C7">
        <w:tc>
          <w:tcPr>
            <w:tcW w:w="3798" w:type="dxa"/>
          </w:tcPr>
          <w:p w14:paraId="467A054C" w14:textId="29DD8294" w:rsidR="00A240C7" w:rsidRDefault="00A240C7" w:rsidP="00375AA0">
            <w:pPr>
              <w:tabs>
                <w:tab w:val="left" w:pos="5400"/>
              </w:tabs>
              <w:spacing w:line="240" w:lineRule="auto"/>
            </w:pPr>
            <w:r>
              <w:t>Lanarkshire</w:t>
            </w:r>
          </w:p>
        </w:tc>
        <w:tc>
          <w:tcPr>
            <w:tcW w:w="3798" w:type="dxa"/>
          </w:tcPr>
          <w:p w14:paraId="5229FF63" w14:textId="0C8DEE5C" w:rsidR="00A240C7" w:rsidRDefault="00A240C7" w:rsidP="00375AA0">
            <w:pPr>
              <w:tabs>
                <w:tab w:val="left" w:pos="5400"/>
              </w:tabs>
              <w:spacing w:line="240" w:lineRule="auto"/>
            </w:pPr>
            <w:r>
              <w:t>26</w:t>
            </w:r>
          </w:p>
        </w:tc>
      </w:tr>
      <w:tr w:rsidR="00A240C7" w14:paraId="17D073D2" w14:textId="77777777" w:rsidTr="00A240C7">
        <w:tc>
          <w:tcPr>
            <w:tcW w:w="3798" w:type="dxa"/>
          </w:tcPr>
          <w:p w14:paraId="76D31999" w14:textId="32C02633" w:rsidR="00A240C7" w:rsidRDefault="00A240C7" w:rsidP="00375AA0">
            <w:pPr>
              <w:tabs>
                <w:tab w:val="left" w:pos="5400"/>
              </w:tabs>
              <w:spacing w:line="240" w:lineRule="auto"/>
            </w:pPr>
            <w:r>
              <w:t>Ayrshire</w:t>
            </w:r>
          </w:p>
        </w:tc>
        <w:tc>
          <w:tcPr>
            <w:tcW w:w="3798" w:type="dxa"/>
          </w:tcPr>
          <w:p w14:paraId="1B89FD8B" w14:textId="06DCB57C" w:rsidR="00A240C7" w:rsidRDefault="00A240C7" w:rsidP="00375AA0">
            <w:pPr>
              <w:tabs>
                <w:tab w:val="left" w:pos="5400"/>
              </w:tabs>
              <w:spacing w:line="240" w:lineRule="auto"/>
            </w:pPr>
            <w:r>
              <w:t>22</w:t>
            </w:r>
          </w:p>
        </w:tc>
      </w:tr>
      <w:tr w:rsidR="00A240C7" w14:paraId="5CB581FC" w14:textId="77777777" w:rsidTr="00A240C7">
        <w:tc>
          <w:tcPr>
            <w:tcW w:w="3798" w:type="dxa"/>
          </w:tcPr>
          <w:p w14:paraId="402F6BBF" w14:textId="33F94CD4" w:rsidR="00A240C7" w:rsidRDefault="00A240C7" w:rsidP="00375AA0">
            <w:pPr>
              <w:tabs>
                <w:tab w:val="left" w:pos="5400"/>
              </w:tabs>
              <w:spacing w:line="240" w:lineRule="auto"/>
            </w:pPr>
            <w:r>
              <w:t>Dumfries &amp; Galloway</w:t>
            </w:r>
          </w:p>
        </w:tc>
        <w:tc>
          <w:tcPr>
            <w:tcW w:w="3798" w:type="dxa"/>
          </w:tcPr>
          <w:p w14:paraId="76455407" w14:textId="26EF74EB" w:rsidR="00A240C7" w:rsidRDefault="00A240C7" w:rsidP="00375AA0">
            <w:pPr>
              <w:tabs>
                <w:tab w:val="left" w:pos="5400"/>
              </w:tabs>
              <w:spacing w:line="240" w:lineRule="auto"/>
            </w:pPr>
            <w:r>
              <w:t>17</w:t>
            </w:r>
          </w:p>
        </w:tc>
      </w:tr>
    </w:tbl>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AF73FD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7B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E0621E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7B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389B31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7B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32110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7BF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8AC516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7BF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69F2AF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7BF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1091"/>
    <w:rsid w:val="00645CFA"/>
    <w:rsid w:val="00685219"/>
    <w:rsid w:val="00697C09"/>
    <w:rsid w:val="006C02C1"/>
    <w:rsid w:val="006D5799"/>
    <w:rsid w:val="006E7BFE"/>
    <w:rsid w:val="007440EA"/>
    <w:rsid w:val="00744AB1"/>
    <w:rsid w:val="00750D83"/>
    <w:rsid w:val="00785DBC"/>
    <w:rsid w:val="00793DD5"/>
    <w:rsid w:val="007D55F6"/>
    <w:rsid w:val="007F490F"/>
    <w:rsid w:val="0086779C"/>
    <w:rsid w:val="00874BFD"/>
    <w:rsid w:val="008964EF"/>
    <w:rsid w:val="008975CC"/>
    <w:rsid w:val="00915E01"/>
    <w:rsid w:val="009631A4"/>
    <w:rsid w:val="00977296"/>
    <w:rsid w:val="009D2AA5"/>
    <w:rsid w:val="009D2F57"/>
    <w:rsid w:val="009E4961"/>
    <w:rsid w:val="00A240C7"/>
    <w:rsid w:val="00A25E93"/>
    <w:rsid w:val="00A320FF"/>
    <w:rsid w:val="00A70AC0"/>
    <w:rsid w:val="00A84EA9"/>
    <w:rsid w:val="00AC443C"/>
    <w:rsid w:val="00B033D6"/>
    <w:rsid w:val="00B11A55"/>
    <w:rsid w:val="00B17211"/>
    <w:rsid w:val="00B461B2"/>
    <w:rsid w:val="00B654B6"/>
    <w:rsid w:val="00B71B3C"/>
    <w:rsid w:val="00BC389E"/>
    <w:rsid w:val="00BC6E96"/>
    <w:rsid w:val="00BE1888"/>
    <w:rsid w:val="00BF6B81"/>
    <w:rsid w:val="00C077A8"/>
    <w:rsid w:val="00C14FF4"/>
    <w:rsid w:val="00C1679F"/>
    <w:rsid w:val="00C606A2"/>
    <w:rsid w:val="00C63872"/>
    <w:rsid w:val="00C84948"/>
    <w:rsid w:val="00C94ED8"/>
    <w:rsid w:val="00CF1111"/>
    <w:rsid w:val="00D05706"/>
    <w:rsid w:val="00D27DC5"/>
    <w:rsid w:val="00D31845"/>
    <w:rsid w:val="00D47E36"/>
    <w:rsid w:val="00E55D79"/>
    <w:rsid w:val="00EE2373"/>
    <w:rsid w:val="00EF0FBB"/>
    <w:rsid w:val="00EF4761"/>
    <w:rsid w:val="00F155C3"/>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9E4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693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contact-us/police-station-opening-hour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686</Words>
  <Characters>3915</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