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610ED" w14:textId="5AF7CAE5" w:rsidR="00301716" w:rsidRDefault="00400D62" w:rsidP="000603A2">
      <w:pPr>
        <w:pStyle w:val="Heading4"/>
      </w:pPr>
      <w:bookmarkStart w:id="0" w:name="_Toc157687357"/>
      <w:bookmarkStart w:id="1" w:name="_Toc157696601"/>
      <w:bookmarkStart w:id="2" w:name="_Toc140746121"/>
      <w:r w:rsidRPr="00400D62">
        <w:t xml:space="preserve">Police Scotland Quarter </w:t>
      </w:r>
      <w:r w:rsidR="002B6E08">
        <w:t>4</w:t>
      </w:r>
      <w:r w:rsidRPr="00400D62">
        <w:t xml:space="preserve"> YTD Performance Report: April </w:t>
      </w:r>
      <w:r w:rsidR="002B6E08">
        <w:t xml:space="preserve">2024 </w:t>
      </w:r>
      <w:r w:rsidRPr="00400D62">
        <w:t xml:space="preserve">to </w:t>
      </w:r>
      <w:r w:rsidR="002B6E08">
        <w:t>March</w:t>
      </w:r>
      <w:r w:rsidR="00DC1350">
        <w:t xml:space="preserve"> 2</w:t>
      </w:r>
      <w:bookmarkEnd w:id="0"/>
      <w:bookmarkEnd w:id="1"/>
      <w:r w:rsidR="00CB49B4">
        <w:t>02</w:t>
      </w:r>
      <w:r w:rsidR="002B6E08">
        <w:t>5</w:t>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1F97212F" w14:textId="00C2ACA6" w:rsidR="000A1D23"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99839163" w:history="1">
            <w:r w:rsidR="000A1D23" w:rsidRPr="008D7766">
              <w:rPr>
                <w:rStyle w:val="Hyperlink"/>
                <w:noProof/>
              </w:rPr>
              <w:t>Deputy Chief Constable Foreword</w:t>
            </w:r>
            <w:r w:rsidR="000A1D23">
              <w:rPr>
                <w:noProof/>
                <w:webHidden/>
              </w:rPr>
              <w:tab/>
            </w:r>
            <w:r w:rsidR="000A1D23">
              <w:rPr>
                <w:noProof/>
                <w:webHidden/>
              </w:rPr>
              <w:fldChar w:fldCharType="begin"/>
            </w:r>
            <w:r w:rsidR="000A1D23">
              <w:rPr>
                <w:noProof/>
                <w:webHidden/>
              </w:rPr>
              <w:instrText xml:space="preserve"> PAGEREF _Toc199839163 \h </w:instrText>
            </w:r>
            <w:r w:rsidR="000A1D23">
              <w:rPr>
                <w:noProof/>
                <w:webHidden/>
              </w:rPr>
            </w:r>
            <w:r w:rsidR="000A1D23">
              <w:rPr>
                <w:noProof/>
                <w:webHidden/>
              </w:rPr>
              <w:fldChar w:fldCharType="separate"/>
            </w:r>
            <w:r w:rsidR="000A1D23">
              <w:rPr>
                <w:noProof/>
                <w:webHidden/>
              </w:rPr>
              <w:t>2</w:t>
            </w:r>
            <w:r w:rsidR="000A1D23">
              <w:rPr>
                <w:noProof/>
                <w:webHidden/>
              </w:rPr>
              <w:fldChar w:fldCharType="end"/>
            </w:r>
          </w:hyperlink>
        </w:p>
        <w:p w14:paraId="03E0CB70" w14:textId="5F08F37E" w:rsidR="000A1D23" w:rsidRDefault="000A1D23">
          <w:pPr>
            <w:pStyle w:val="TOC3"/>
            <w:rPr>
              <w:rFonts w:asciiTheme="minorHAnsi" w:eastAsiaTheme="minorEastAsia" w:hAnsiTheme="minorHAnsi"/>
              <w:noProof/>
              <w:kern w:val="2"/>
              <w:lang w:eastAsia="en-GB"/>
              <w14:ligatures w14:val="standardContextual"/>
            </w:rPr>
          </w:pPr>
          <w:hyperlink w:anchor="_Toc199839164" w:history="1">
            <w:r w:rsidRPr="008D7766">
              <w:rPr>
                <w:rStyle w:val="Hyperlink"/>
                <w:noProof/>
              </w:rPr>
              <w:t>Introduction</w:t>
            </w:r>
            <w:r>
              <w:rPr>
                <w:noProof/>
                <w:webHidden/>
              </w:rPr>
              <w:tab/>
            </w:r>
            <w:r>
              <w:rPr>
                <w:noProof/>
                <w:webHidden/>
              </w:rPr>
              <w:fldChar w:fldCharType="begin"/>
            </w:r>
            <w:r>
              <w:rPr>
                <w:noProof/>
                <w:webHidden/>
              </w:rPr>
              <w:instrText xml:space="preserve"> PAGEREF _Toc199839164 \h </w:instrText>
            </w:r>
            <w:r>
              <w:rPr>
                <w:noProof/>
                <w:webHidden/>
              </w:rPr>
            </w:r>
            <w:r>
              <w:rPr>
                <w:noProof/>
                <w:webHidden/>
              </w:rPr>
              <w:fldChar w:fldCharType="separate"/>
            </w:r>
            <w:r>
              <w:rPr>
                <w:noProof/>
                <w:webHidden/>
              </w:rPr>
              <w:t>4</w:t>
            </w:r>
            <w:r>
              <w:rPr>
                <w:noProof/>
                <w:webHidden/>
              </w:rPr>
              <w:fldChar w:fldCharType="end"/>
            </w:r>
          </w:hyperlink>
        </w:p>
        <w:p w14:paraId="61E9467A" w14:textId="282D7770" w:rsidR="000A1D23" w:rsidRDefault="000A1D23">
          <w:pPr>
            <w:pStyle w:val="TOC3"/>
            <w:rPr>
              <w:rFonts w:asciiTheme="minorHAnsi" w:eastAsiaTheme="minorEastAsia" w:hAnsiTheme="minorHAnsi"/>
              <w:noProof/>
              <w:kern w:val="2"/>
              <w:lang w:eastAsia="en-GB"/>
              <w14:ligatures w14:val="standardContextual"/>
            </w:rPr>
          </w:pPr>
          <w:hyperlink w:anchor="_Toc199839165" w:history="1">
            <w:r w:rsidRPr="008D7766">
              <w:rPr>
                <w:rStyle w:val="Hyperlink"/>
                <w:noProof/>
                <w:lang w:eastAsia="en-GB"/>
              </w:rPr>
              <w:t>Key Insights</w:t>
            </w:r>
            <w:r>
              <w:rPr>
                <w:noProof/>
                <w:webHidden/>
              </w:rPr>
              <w:tab/>
            </w:r>
            <w:r>
              <w:rPr>
                <w:noProof/>
                <w:webHidden/>
              </w:rPr>
              <w:fldChar w:fldCharType="begin"/>
            </w:r>
            <w:r>
              <w:rPr>
                <w:noProof/>
                <w:webHidden/>
              </w:rPr>
              <w:instrText xml:space="preserve"> PAGEREF _Toc199839165 \h </w:instrText>
            </w:r>
            <w:r>
              <w:rPr>
                <w:noProof/>
                <w:webHidden/>
              </w:rPr>
            </w:r>
            <w:r>
              <w:rPr>
                <w:noProof/>
                <w:webHidden/>
              </w:rPr>
              <w:fldChar w:fldCharType="separate"/>
            </w:r>
            <w:r>
              <w:rPr>
                <w:noProof/>
                <w:webHidden/>
              </w:rPr>
              <w:t>5</w:t>
            </w:r>
            <w:r>
              <w:rPr>
                <w:noProof/>
                <w:webHidden/>
              </w:rPr>
              <w:fldChar w:fldCharType="end"/>
            </w:r>
          </w:hyperlink>
        </w:p>
        <w:p w14:paraId="4D419867" w14:textId="7961774B" w:rsidR="000A1D23" w:rsidRDefault="000A1D23">
          <w:pPr>
            <w:pStyle w:val="TOC3"/>
            <w:rPr>
              <w:rFonts w:asciiTheme="minorHAnsi" w:eastAsiaTheme="minorEastAsia" w:hAnsiTheme="minorHAnsi"/>
              <w:noProof/>
              <w:kern w:val="2"/>
              <w:lang w:eastAsia="en-GB"/>
              <w14:ligatures w14:val="standardContextual"/>
            </w:rPr>
          </w:pPr>
          <w:hyperlink w:anchor="_Toc199839166" w:history="1">
            <w:r w:rsidRPr="008D7766">
              <w:rPr>
                <w:rStyle w:val="Hyperlink"/>
                <w:noProof/>
              </w:rPr>
              <w:t>Vision 2030: Safer Communities</w:t>
            </w:r>
            <w:r>
              <w:rPr>
                <w:noProof/>
                <w:webHidden/>
              </w:rPr>
              <w:tab/>
            </w:r>
            <w:r>
              <w:rPr>
                <w:noProof/>
                <w:webHidden/>
              </w:rPr>
              <w:fldChar w:fldCharType="begin"/>
            </w:r>
            <w:r>
              <w:rPr>
                <w:noProof/>
                <w:webHidden/>
              </w:rPr>
              <w:instrText xml:space="preserve"> PAGEREF _Toc199839166 \h </w:instrText>
            </w:r>
            <w:r>
              <w:rPr>
                <w:noProof/>
                <w:webHidden/>
              </w:rPr>
            </w:r>
            <w:r>
              <w:rPr>
                <w:noProof/>
                <w:webHidden/>
              </w:rPr>
              <w:fldChar w:fldCharType="separate"/>
            </w:r>
            <w:r>
              <w:rPr>
                <w:noProof/>
                <w:webHidden/>
              </w:rPr>
              <w:t>7</w:t>
            </w:r>
            <w:r>
              <w:rPr>
                <w:noProof/>
                <w:webHidden/>
              </w:rPr>
              <w:fldChar w:fldCharType="end"/>
            </w:r>
          </w:hyperlink>
        </w:p>
        <w:p w14:paraId="68807857" w14:textId="051082BD" w:rsidR="000A1D23" w:rsidRDefault="000A1D23">
          <w:pPr>
            <w:pStyle w:val="TOC3"/>
            <w:rPr>
              <w:rFonts w:asciiTheme="minorHAnsi" w:eastAsiaTheme="minorEastAsia" w:hAnsiTheme="minorHAnsi"/>
              <w:noProof/>
              <w:kern w:val="2"/>
              <w:lang w:eastAsia="en-GB"/>
              <w14:ligatures w14:val="standardContextual"/>
            </w:rPr>
          </w:pPr>
          <w:hyperlink w:anchor="_Toc199839167" w:history="1">
            <w:r w:rsidRPr="008D7766">
              <w:rPr>
                <w:rStyle w:val="Hyperlink"/>
                <w:noProof/>
              </w:rPr>
              <w:t>Vision 2030: Less Crime</w:t>
            </w:r>
            <w:r>
              <w:rPr>
                <w:noProof/>
                <w:webHidden/>
              </w:rPr>
              <w:tab/>
            </w:r>
            <w:r>
              <w:rPr>
                <w:noProof/>
                <w:webHidden/>
              </w:rPr>
              <w:fldChar w:fldCharType="begin"/>
            </w:r>
            <w:r>
              <w:rPr>
                <w:noProof/>
                <w:webHidden/>
              </w:rPr>
              <w:instrText xml:space="preserve"> PAGEREF _Toc199839167 \h </w:instrText>
            </w:r>
            <w:r>
              <w:rPr>
                <w:noProof/>
                <w:webHidden/>
              </w:rPr>
            </w:r>
            <w:r>
              <w:rPr>
                <w:noProof/>
                <w:webHidden/>
              </w:rPr>
              <w:fldChar w:fldCharType="separate"/>
            </w:r>
            <w:r>
              <w:rPr>
                <w:noProof/>
                <w:webHidden/>
              </w:rPr>
              <w:t>26</w:t>
            </w:r>
            <w:r>
              <w:rPr>
                <w:noProof/>
                <w:webHidden/>
              </w:rPr>
              <w:fldChar w:fldCharType="end"/>
            </w:r>
          </w:hyperlink>
        </w:p>
        <w:p w14:paraId="2395820A" w14:textId="5C3A6934" w:rsidR="000A1D23" w:rsidRDefault="000A1D23">
          <w:pPr>
            <w:pStyle w:val="TOC3"/>
            <w:rPr>
              <w:rFonts w:asciiTheme="minorHAnsi" w:eastAsiaTheme="minorEastAsia" w:hAnsiTheme="minorHAnsi"/>
              <w:noProof/>
              <w:kern w:val="2"/>
              <w:lang w:eastAsia="en-GB"/>
              <w14:ligatures w14:val="standardContextual"/>
            </w:rPr>
          </w:pPr>
          <w:hyperlink w:anchor="_Toc199839168" w:history="1">
            <w:r w:rsidRPr="008D7766">
              <w:rPr>
                <w:rStyle w:val="Hyperlink"/>
                <w:noProof/>
              </w:rPr>
              <w:t>Vision 2030: Supported Victims</w:t>
            </w:r>
            <w:r>
              <w:rPr>
                <w:noProof/>
                <w:webHidden/>
              </w:rPr>
              <w:tab/>
            </w:r>
            <w:r>
              <w:rPr>
                <w:noProof/>
                <w:webHidden/>
              </w:rPr>
              <w:fldChar w:fldCharType="begin"/>
            </w:r>
            <w:r>
              <w:rPr>
                <w:noProof/>
                <w:webHidden/>
              </w:rPr>
              <w:instrText xml:space="preserve"> PAGEREF _Toc199839168 \h </w:instrText>
            </w:r>
            <w:r>
              <w:rPr>
                <w:noProof/>
                <w:webHidden/>
              </w:rPr>
            </w:r>
            <w:r>
              <w:rPr>
                <w:noProof/>
                <w:webHidden/>
              </w:rPr>
              <w:fldChar w:fldCharType="separate"/>
            </w:r>
            <w:r>
              <w:rPr>
                <w:noProof/>
                <w:webHidden/>
              </w:rPr>
              <w:t>40</w:t>
            </w:r>
            <w:r>
              <w:rPr>
                <w:noProof/>
                <w:webHidden/>
              </w:rPr>
              <w:fldChar w:fldCharType="end"/>
            </w:r>
          </w:hyperlink>
        </w:p>
        <w:p w14:paraId="39AA8AB5" w14:textId="162E6BE1" w:rsidR="000A1D23" w:rsidRDefault="000A1D23">
          <w:pPr>
            <w:pStyle w:val="TOC3"/>
            <w:rPr>
              <w:rFonts w:asciiTheme="minorHAnsi" w:eastAsiaTheme="minorEastAsia" w:hAnsiTheme="minorHAnsi"/>
              <w:noProof/>
              <w:kern w:val="2"/>
              <w:lang w:eastAsia="en-GB"/>
              <w14:ligatures w14:val="standardContextual"/>
            </w:rPr>
          </w:pPr>
          <w:hyperlink w:anchor="_Toc199839169" w:history="1">
            <w:r w:rsidRPr="008D7766">
              <w:rPr>
                <w:rStyle w:val="Hyperlink"/>
                <w:noProof/>
              </w:rPr>
              <w:t>Vision 2030: Thriving Workforce</w:t>
            </w:r>
            <w:r>
              <w:rPr>
                <w:noProof/>
                <w:webHidden/>
              </w:rPr>
              <w:tab/>
            </w:r>
            <w:r>
              <w:rPr>
                <w:noProof/>
                <w:webHidden/>
              </w:rPr>
              <w:fldChar w:fldCharType="begin"/>
            </w:r>
            <w:r>
              <w:rPr>
                <w:noProof/>
                <w:webHidden/>
              </w:rPr>
              <w:instrText xml:space="preserve"> PAGEREF _Toc199839169 \h </w:instrText>
            </w:r>
            <w:r>
              <w:rPr>
                <w:noProof/>
                <w:webHidden/>
              </w:rPr>
            </w:r>
            <w:r>
              <w:rPr>
                <w:noProof/>
                <w:webHidden/>
              </w:rPr>
              <w:fldChar w:fldCharType="separate"/>
            </w:r>
            <w:r>
              <w:rPr>
                <w:noProof/>
                <w:webHidden/>
              </w:rPr>
              <w:t>43</w:t>
            </w:r>
            <w:r>
              <w:rPr>
                <w:noProof/>
                <w:webHidden/>
              </w:rPr>
              <w:fldChar w:fldCharType="end"/>
            </w:r>
          </w:hyperlink>
        </w:p>
        <w:p w14:paraId="5E9809C2" w14:textId="27ACA4E1" w:rsidR="000A1D23" w:rsidRDefault="000A1D23">
          <w:pPr>
            <w:pStyle w:val="TOC3"/>
            <w:rPr>
              <w:rFonts w:asciiTheme="minorHAnsi" w:eastAsiaTheme="minorEastAsia" w:hAnsiTheme="minorHAnsi"/>
              <w:noProof/>
              <w:kern w:val="2"/>
              <w:lang w:eastAsia="en-GB"/>
              <w14:ligatures w14:val="standardContextual"/>
            </w:rPr>
          </w:pPr>
          <w:hyperlink w:anchor="_Toc199839170" w:history="1">
            <w:r w:rsidRPr="008D7766">
              <w:rPr>
                <w:rStyle w:val="Hyperlink"/>
                <w:noProof/>
              </w:rPr>
              <w:t>Appendix</w:t>
            </w:r>
            <w:r>
              <w:rPr>
                <w:noProof/>
                <w:webHidden/>
              </w:rPr>
              <w:tab/>
            </w:r>
            <w:r>
              <w:rPr>
                <w:noProof/>
                <w:webHidden/>
              </w:rPr>
              <w:fldChar w:fldCharType="begin"/>
            </w:r>
            <w:r>
              <w:rPr>
                <w:noProof/>
                <w:webHidden/>
              </w:rPr>
              <w:instrText xml:space="preserve"> PAGEREF _Toc199839170 \h </w:instrText>
            </w:r>
            <w:r>
              <w:rPr>
                <w:noProof/>
                <w:webHidden/>
              </w:rPr>
            </w:r>
            <w:r>
              <w:rPr>
                <w:noProof/>
                <w:webHidden/>
              </w:rPr>
              <w:fldChar w:fldCharType="separate"/>
            </w:r>
            <w:r>
              <w:rPr>
                <w:noProof/>
                <w:webHidden/>
              </w:rPr>
              <w:t>53</w:t>
            </w:r>
            <w:r>
              <w:rPr>
                <w:noProof/>
                <w:webHidden/>
              </w:rPr>
              <w:fldChar w:fldCharType="end"/>
            </w:r>
          </w:hyperlink>
        </w:p>
        <w:p w14:paraId="766DF4C5" w14:textId="09BB46AC"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0D34EFAB" w14:textId="77777777" w:rsidR="00BD21DF" w:rsidRDefault="00BD21DF" w:rsidP="00FA36C6">
      <w:pPr>
        <w:spacing w:before="240" w:after="0"/>
      </w:pPr>
    </w:p>
    <w:p w14:paraId="48C24BAD" w14:textId="77777777" w:rsidR="00BD21DF" w:rsidRDefault="00BD21DF" w:rsidP="00FA36C6">
      <w:pPr>
        <w:spacing w:before="240" w:after="0"/>
      </w:pPr>
    </w:p>
    <w:p w14:paraId="5022201C" w14:textId="16CAD42E" w:rsidR="00FA36C6" w:rsidRDefault="00FA36C6" w:rsidP="00FA36C6">
      <w:pPr>
        <w:spacing w:before="240" w:after="0"/>
      </w:pPr>
      <w:r>
        <w:t>This is the 202</w:t>
      </w:r>
      <w:r w:rsidR="00191E5F">
        <w:t>4</w:t>
      </w:r>
      <w:r>
        <w:t>/2</w:t>
      </w:r>
      <w:r w:rsidR="00191E5F">
        <w:t>5</w:t>
      </w:r>
      <w:r>
        <w:t xml:space="preserve"> Q</w:t>
      </w:r>
      <w:r w:rsidR="009B41AA">
        <w:t xml:space="preserve">uarter </w:t>
      </w:r>
      <w:r w:rsidR="002B6E08">
        <w:t>4</w:t>
      </w:r>
      <w:r>
        <w:t xml:space="preserve"> performance report covering the period 01 April </w:t>
      </w:r>
      <w:r w:rsidR="002B6E08">
        <w:t xml:space="preserve">2024 </w:t>
      </w:r>
      <w:r>
        <w:t>to 3</w:t>
      </w:r>
      <w:r w:rsidR="00E47778">
        <w:t>1</w:t>
      </w:r>
      <w:r w:rsidR="00191E5F">
        <w:t xml:space="preserve"> </w:t>
      </w:r>
      <w:r w:rsidR="002B6E08">
        <w:t>March</w:t>
      </w:r>
      <w:r>
        <w:t xml:space="preserve"> 202</w:t>
      </w:r>
      <w:r w:rsidR="002B6E08">
        <w:t>5</w:t>
      </w:r>
      <w:r>
        <w:t xml:space="preserve">. All data is correct at the published date and was extracted at the start of </w:t>
      </w:r>
      <w:r w:rsidR="002B6E08">
        <w:t>April</w:t>
      </w:r>
      <w:r w:rsidR="006F7FD4">
        <w:t xml:space="preserve"> </w:t>
      </w:r>
      <w:r>
        <w:t>202</w:t>
      </w:r>
      <w:r w:rsidR="00E47778">
        <w:t>5</w:t>
      </w:r>
      <w:r>
        <w:t>. The data is extracted from Police Scotland internal systems which are dynamic and continuously updated as investigations progress.</w:t>
      </w:r>
    </w:p>
    <w:p w14:paraId="5E3D46E3" w14:textId="77777777" w:rsidR="002B6E08" w:rsidRDefault="00FA36C6" w:rsidP="00FA36C6">
      <w:pPr>
        <w:spacing w:before="240" w:after="0"/>
      </w:pPr>
      <w:r>
        <w:t xml:space="preserve">This report contains the most up to date recorded crime data that was available at the start of </w:t>
      </w:r>
      <w:r w:rsidR="002B6E08">
        <w:t>April</w:t>
      </w:r>
      <w:r w:rsidR="006F7FD4">
        <w:t xml:space="preserve"> </w:t>
      </w:r>
      <w:r>
        <w:t>202</w:t>
      </w:r>
      <w:r w:rsidR="00E47778">
        <w:t>5</w:t>
      </w:r>
      <w:r>
        <w:t xml:space="preserve"> for Quarter </w:t>
      </w:r>
      <w:r w:rsidR="002B6E08">
        <w:t>4</w:t>
      </w:r>
      <w:r>
        <w:t xml:space="preserve"> of the reporting year 202</w:t>
      </w:r>
      <w:r w:rsidR="00191E5F">
        <w:t>4</w:t>
      </w:r>
      <w:r>
        <w:t>/2</w:t>
      </w:r>
      <w:r w:rsidR="00191E5F">
        <w:t>5</w:t>
      </w:r>
      <w:r>
        <w:t xml:space="preserve">. </w:t>
      </w:r>
    </w:p>
    <w:p w14:paraId="4836BA79" w14:textId="34C3FFE8" w:rsidR="00FA36C6" w:rsidRDefault="00FA36C6" w:rsidP="00FA36C6">
      <w:pPr>
        <w:spacing w:before="240" w:after="0"/>
      </w:pPr>
      <w:r>
        <w:t xml:space="preserve">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6C22BE37"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199839163"/>
      <w:bookmarkEnd w:id="3"/>
      <w:r w:rsidRPr="00D12BB1">
        <w:lastRenderedPageBreak/>
        <w:t>Deputy Chief Constable</w:t>
      </w:r>
      <w:bookmarkEnd w:id="5"/>
      <w:bookmarkEnd w:id="6"/>
      <w:bookmarkEnd w:id="7"/>
      <w:bookmarkEnd w:id="8"/>
      <w:bookmarkEnd w:id="9"/>
      <w:bookmarkEnd w:id="4"/>
      <w:r w:rsidR="00B07689">
        <w:t xml:space="preserve"> Foreword</w:t>
      </w:r>
      <w:bookmarkEnd w:id="10"/>
    </w:p>
    <w:p w14:paraId="4C494832" w14:textId="77777777" w:rsidR="005C51F4" w:rsidRDefault="005C51F4" w:rsidP="005C51F4">
      <w:r>
        <w:t>Our Quarter four performance report, concluding the year from April 2024 to March 2025, underlines that Scotland continues to be a safe place to live and work, and that those who turn to policing for help are well supported.</w:t>
      </w:r>
    </w:p>
    <w:p w14:paraId="326382DA" w14:textId="77777777" w:rsidR="005C51F4" w:rsidRDefault="005C51F4" w:rsidP="005C51F4">
      <w:r>
        <w:t>Serious violent crime is at low levels compared to recent years with homicides at the lowest level on record in Scotland, with all detected or on course to be detected.</w:t>
      </w:r>
    </w:p>
    <w:p w14:paraId="2E9FB31F" w14:textId="77777777" w:rsidR="005C51F4" w:rsidRDefault="005C51F4" w:rsidP="005C51F4">
      <w:r>
        <w:t>Attempted murders and serious assaults were also at their lowest levels in recent years, and with strong detection rates in relation to these offences.</w:t>
      </w:r>
    </w:p>
    <w:p w14:paraId="3FA78281" w14:textId="77777777" w:rsidR="005C51F4" w:rsidRDefault="005C51F4" w:rsidP="005C51F4">
      <w:r>
        <w:t>Overall, group one to five crimes remained at similar levels to the previous year, while the volume of detections and overall detection rates increased.</w:t>
      </w:r>
    </w:p>
    <w:p w14:paraId="18466B54" w14:textId="77777777" w:rsidR="005C51F4" w:rsidRDefault="005C51F4" w:rsidP="005C51F4">
      <w:r>
        <w:t xml:space="preserve">An external survey of over 3,500 people who had police contact during the period found that just under three quarters were satisfied or very satisfied with their experience, the strongest response in recent years. </w:t>
      </w:r>
    </w:p>
    <w:p w14:paraId="60902E89" w14:textId="77777777" w:rsidR="005C51F4" w:rsidRDefault="005C51F4" w:rsidP="005C51F4">
      <w:r>
        <w:t>Positive experiences correlated most strongly with receiving an appropriate response, satisfaction with attending officers, and feeling adequately informed about case progress.</w:t>
      </w:r>
    </w:p>
    <w:p w14:paraId="16562061" w14:textId="77777777" w:rsidR="005C51F4" w:rsidRDefault="005C51F4" w:rsidP="005C51F4">
      <w:r>
        <w:t>Police Scotland continues to respond to community needs as described in this report, including our ongoing commitment to preventing harm on our roads, a crackdown on organised crime, the establishment of a retail crime taskforce supported by Scottish Government funding, and violent crime.</w:t>
      </w:r>
    </w:p>
    <w:p w14:paraId="0124DE37" w14:textId="77777777" w:rsidR="005C51F4" w:rsidRDefault="005C51F4" w:rsidP="005C51F4">
      <w:r>
        <w:t>Road safety continues to be a major focus and priority, with 155 fatalities on Scotland’s roads during 2024/25, up four per cent on the previous year and higher than the five-year average. People seriously injured, people slightly injured and the number of children seriously injured all reduced compared to the previous year.</w:t>
      </w:r>
    </w:p>
    <w:p w14:paraId="7E6DA790" w14:textId="77777777" w:rsidR="005C51F4" w:rsidRDefault="005C51F4" w:rsidP="005C51F4">
      <w:r>
        <w:t>As part of a partnership approach, our officers and staff have delivered a series of road safety campaigns throughout the year and these are detailed in this report.</w:t>
      </w:r>
    </w:p>
    <w:p w14:paraId="4FC2395F" w14:textId="77777777" w:rsidR="005C51F4" w:rsidRDefault="005C51F4" w:rsidP="005C51F4">
      <w:r>
        <w:t>This report highlights Operation Intensity, which targeted a criminal network operating across the country, including in Dumfries, Ayrshire, and Central Scotland.</w:t>
      </w:r>
    </w:p>
    <w:p w14:paraId="691FD2D7" w14:textId="77777777" w:rsidR="005C51F4" w:rsidRDefault="005C51F4" w:rsidP="005C51F4">
      <w:r>
        <w:t>Under Operation Intensity, officers from our Organised Crime and Counter Terrorism Unit made around 100 arrests and seized illegal drugs and firearms while also safeguarding children.</w:t>
      </w:r>
    </w:p>
    <w:p w14:paraId="04E88070" w14:textId="77777777" w:rsidR="005C51F4" w:rsidRDefault="005C51F4" w:rsidP="005C51F4">
      <w:r>
        <w:t>Although housebreaking and motor vehicle crimes have reduced year on year and compared to recent years, we continue to see increases in shoplifting.</w:t>
      </w:r>
    </w:p>
    <w:p w14:paraId="6694059A" w14:textId="77777777" w:rsidR="005C51F4" w:rsidRDefault="005C51F4" w:rsidP="005C51F4">
      <w:r>
        <w:t>Our Retail Crime Taskforce was supported through £3m funding from the Scottish Government and will work alongside key stakeholders, including retailers, to deliver a four-strand prevent, pursue, protect and prepare, approach.</w:t>
      </w:r>
    </w:p>
    <w:p w14:paraId="57A7D8A2" w14:textId="77777777" w:rsidR="005C51F4" w:rsidRDefault="005C51F4" w:rsidP="005C51F4">
      <w:r>
        <w:t xml:space="preserve">This report outlines analysis which found a substantial and consistent level of violent crime being committed by young people, often against other young people. </w:t>
      </w:r>
    </w:p>
    <w:p w14:paraId="5D2EAA13" w14:textId="77777777" w:rsidR="005C51F4" w:rsidRDefault="005C51F4" w:rsidP="005C51F4">
      <w:r>
        <w:lastRenderedPageBreak/>
        <w:t>We continue to develop our national violence prevention strategy and work with partners, including local authorities, the third sector, and others, to prevent violence and reduce the harm it causes.</w:t>
      </w:r>
    </w:p>
    <w:p w14:paraId="623F71F8" w14:textId="77777777" w:rsidR="005C51F4" w:rsidRDefault="005C51F4" w:rsidP="005C51F4">
      <w:r>
        <w:t>This report also provides an update on the use of stop and search, which continues to be a valuable policing tactic with over 900 weapons recovered during this reporting period.</w:t>
      </w:r>
    </w:p>
    <w:p w14:paraId="03C9B521" w14:textId="1515A565" w:rsidR="000A1D23" w:rsidRDefault="005C51F4" w:rsidP="005C51F4">
      <w:r>
        <w:t>Through our regular performance reporting, we seek to provide meaningful information and insight into the work Police Scotland is taking to deliver on the five strategic outcomes in our Annual Police Plan and which contributes to our 2030 Vision of safer communities, less crime, supported victims, and thriving workforce.</w:t>
      </w:r>
    </w:p>
    <w:p w14:paraId="74EAC823" w14:textId="77777777" w:rsidR="000A1D23" w:rsidRDefault="000A1D23" w:rsidP="005C51F4"/>
    <w:p w14:paraId="388B72FD" w14:textId="2B4B17E6" w:rsidR="00FF2F06" w:rsidRDefault="00B65AB2" w:rsidP="00FF2F06">
      <w:r w:rsidRPr="00E43B8E">
        <w:rPr>
          <w:noProof/>
          <w:lang w:eastAsia="en-GB"/>
        </w:rPr>
        <w:drawing>
          <wp:inline distT="0" distB="0" distL="0" distR="0" wp14:anchorId="7AE0A9B1" wp14:editId="607DF3BD">
            <wp:extent cx="615982" cy="234962"/>
            <wp:effectExtent l="0" t="0" r="0" b="0"/>
            <wp:docPr id="416460816" name="Picture 416460816" descr="DCC Alan Speirs KP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0816" name="Picture 416460816" descr="DCC Alan Speirs KPM Signature."/>
                    <pic:cNvPicPr/>
                  </pic:nvPicPr>
                  <pic:blipFill>
                    <a:blip r:embed="rId13"/>
                    <a:stretch>
                      <a:fillRect/>
                    </a:stretch>
                  </pic:blipFill>
                  <pic:spPr>
                    <a:xfrm>
                      <a:off x="0" y="0"/>
                      <a:ext cx="615982" cy="234962"/>
                    </a:xfrm>
                    <a:prstGeom prst="rect">
                      <a:avLst/>
                    </a:prstGeom>
                  </pic:spPr>
                </pic:pic>
              </a:graphicData>
            </a:graphic>
          </wp:inline>
        </w:drawing>
      </w:r>
    </w:p>
    <w:p w14:paraId="41BC6F1F" w14:textId="2C8F80A1" w:rsidR="00B65AB2" w:rsidRDefault="00B65AB2" w:rsidP="00FF2F06">
      <w:r>
        <w:t>DCC Alan Speirs</w:t>
      </w:r>
      <w:r w:rsidR="005D06DA">
        <w:t xml:space="preserve"> KPM</w:t>
      </w:r>
    </w:p>
    <w:p w14:paraId="655DCE8D" w14:textId="6FDBB694" w:rsidR="00BD21DF" w:rsidRDefault="00B65AB2" w:rsidP="00FF2F06">
      <w:r>
        <w:t>Deputy Chief Constable Professionalism</w:t>
      </w:r>
      <w:r w:rsidR="004C65C7">
        <w:t xml:space="preserve"> &amp; Enabling Services</w:t>
      </w:r>
    </w:p>
    <w:p w14:paraId="298D6568" w14:textId="2EED6C3B" w:rsidR="000C3C84" w:rsidRDefault="000C3C84" w:rsidP="00FF2F06">
      <w:r>
        <w:br w:type="page"/>
      </w:r>
    </w:p>
    <w:p w14:paraId="6EE36D66" w14:textId="7AE19FE0" w:rsidR="00D12BB1" w:rsidRDefault="00D12BB1" w:rsidP="008D48E9">
      <w:pPr>
        <w:pStyle w:val="Heading3"/>
      </w:pPr>
      <w:bookmarkStart w:id="11" w:name="_Toc199839164"/>
      <w:r w:rsidRPr="007B42BA">
        <w:lastRenderedPageBreak/>
        <w:t>Introduction</w:t>
      </w:r>
      <w:bookmarkEnd w:id="11"/>
    </w:p>
    <w:p w14:paraId="176F7DC3" w14:textId="45D95728" w:rsidR="00E84146" w:rsidRPr="00B47E6D" w:rsidRDefault="008E4FDA" w:rsidP="008E4FDA">
      <w:r w:rsidRPr="00B47E6D">
        <w:t xml:space="preserve">This is the </w:t>
      </w:r>
      <w:r w:rsidR="004F5D44">
        <w:t>final</w:t>
      </w:r>
      <w:r w:rsidRPr="00B47E6D">
        <w:t xml:space="preserve"> Quarterly report of the 202</w:t>
      </w:r>
      <w:r w:rsidR="00601F31" w:rsidRPr="00B47E6D">
        <w:t>4</w:t>
      </w:r>
      <w:r w:rsidRPr="00B47E6D">
        <w:t>/2</w:t>
      </w:r>
      <w:r w:rsidR="00601F31" w:rsidRPr="00B47E6D">
        <w:t>5</w:t>
      </w:r>
      <w:r w:rsidRPr="00B47E6D">
        <w:t xml:space="preserve"> performance cycle, reporting on our</w:t>
      </w:r>
      <w:r w:rsidR="00601F31" w:rsidRPr="00B47E6D">
        <w:t xml:space="preserve"> </w:t>
      </w:r>
      <w:hyperlink r:id="rId14" w:history="1">
        <w:r w:rsidR="00601F31" w:rsidRPr="00131778">
          <w:rPr>
            <w:rStyle w:val="Hyperlink"/>
          </w:rPr>
          <w:t>Performance and Accountability Framework</w:t>
        </w:r>
      </w:hyperlink>
      <w:r w:rsidR="00E84146" w:rsidRPr="00B47E6D">
        <w:t>.</w:t>
      </w:r>
    </w:p>
    <w:p w14:paraId="7E823ADC" w14:textId="2582373B" w:rsidR="00C2679C" w:rsidRPr="00B47E6D" w:rsidRDefault="00C2679C" w:rsidP="00C2679C">
      <w:r w:rsidRPr="00B47E6D">
        <w:t>Our outcomes focused Performance Framework is linked to our strategic planning processes and aligns to the Strategic Outcomes as detailed in the</w:t>
      </w:r>
      <w:r w:rsidR="000C7FEB" w:rsidRPr="00B47E6D">
        <w:t xml:space="preserve"> </w:t>
      </w:r>
      <w:hyperlink r:id="rId15" w:history="1">
        <w:r w:rsidR="000C7FEB" w:rsidRPr="0097174A">
          <w:rPr>
            <w:rStyle w:val="Hyperlink"/>
          </w:rPr>
          <w:t>Annual Police Plan 2024/25</w:t>
        </w:r>
      </w:hyperlink>
      <w:r w:rsidRPr="00B47E6D">
        <w:t>, these being:</w:t>
      </w:r>
    </w:p>
    <w:p w14:paraId="65190B9F" w14:textId="5A20D27C" w:rsidR="00C2679C" w:rsidRPr="00B47E6D" w:rsidRDefault="00645D37" w:rsidP="004E679C">
      <w:pPr>
        <w:pStyle w:val="Bullet"/>
        <w:framePr w:wrap="around"/>
      </w:pPr>
      <w:r>
        <w:rPr>
          <w:rStyle w:val="Strong"/>
        </w:rPr>
        <w:t xml:space="preserve">Strategic Outcome 1: </w:t>
      </w:r>
      <w:r w:rsidR="00C2679C" w:rsidRPr="00B47E6D">
        <w:rPr>
          <w:rStyle w:val="Strong"/>
        </w:rPr>
        <w:t>Public Safety and Wellbeing</w:t>
      </w:r>
      <w:r w:rsidR="00C2679C" w:rsidRPr="00B47E6D">
        <w:t xml:space="preserve"> – threats to public safety and wellbeing are resolved by a proactive and responsive police service</w:t>
      </w:r>
    </w:p>
    <w:p w14:paraId="0CDFBCCA" w14:textId="4D409CE8" w:rsidR="00C2679C" w:rsidRPr="00B47E6D" w:rsidRDefault="00645D37" w:rsidP="004E679C">
      <w:pPr>
        <w:pStyle w:val="Bullet"/>
        <w:framePr w:wrap="around"/>
      </w:pPr>
      <w:r>
        <w:rPr>
          <w:rStyle w:val="Strong"/>
        </w:rPr>
        <w:t xml:space="preserve">Strategic Outcome 2: </w:t>
      </w:r>
      <w:r w:rsidR="00C2679C" w:rsidRPr="00B47E6D">
        <w:rPr>
          <w:rStyle w:val="Strong"/>
        </w:rPr>
        <w:t>Needs of Local Communities</w:t>
      </w:r>
      <w:r w:rsidR="00C2679C" w:rsidRPr="00B47E6D">
        <w:t xml:space="preserve"> – the needs of local communities are addressed through effective service delivery</w:t>
      </w:r>
    </w:p>
    <w:p w14:paraId="7E5A45AE" w14:textId="67461751" w:rsidR="00C2679C" w:rsidRPr="00B47E6D" w:rsidRDefault="00645D37" w:rsidP="004E679C">
      <w:pPr>
        <w:pStyle w:val="Bullet"/>
        <w:framePr w:wrap="around"/>
      </w:pPr>
      <w:r>
        <w:rPr>
          <w:rStyle w:val="Strong"/>
        </w:rPr>
        <w:t xml:space="preserve">Strategic Outcome 3: </w:t>
      </w:r>
      <w:r w:rsidR="00C2679C" w:rsidRPr="00B47E6D">
        <w:rPr>
          <w:rStyle w:val="Strong"/>
        </w:rPr>
        <w:t>Confidence in Policing</w:t>
      </w:r>
      <w:r w:rsidR="00C2679C" w:rsidRPr="00B47E6D">
        <w:t xml:space="preserve"> – the public, communities and partners are engaged, involved and have confidence in policing</w:t>
      </w:r>
    </w:p>
    <w:p w14:paraId="68301C2B" w14:textId="203D3050" w:rsidR="00C2679C" w:rsidRPr="00B47E6D" w:rsidRDefault="00645D37" w:rsidP="004E679C">
      <w:pPr>
        <w:pStyle w:val="Bullet"/>
        <w:framePr w:wrap="around"/>
      </w:pPr>
      <w:r>
        <w:rPr>
          <w:rStyle w:val="Strong"/>
        </w:rPr>
        <w:t xml:space="preserve">Strategic Outcome 4: </w:t>
      </w:r>
      <w:r w:rsidR="00C2679C" w:rsidRPr="00B47E6D">
        <w:rPr>
          <w:rStyle w:val="Strong"/>
        </w:rPr>
        <w:t>Working Environment</w:t>
      </w:r>
      <w:r w:rsidR="00C2679C" w:rsidRPr="00B47E6D">
        <w:t xml:space="preserve"> – our people are supported through a positive working environment, enabling them to serve the public</w:t>
      </w:r>
    </w:p>
    <w:p w14:paraId="18B5967C" w14:textId="5804198B" w:rsidR="00C2679C" w:rsidRPr="00B47E6D" w:rsidRDefault="00645D37" w:rsidP="004E679C">
      <w:pPr>
        <w:pStyle w:val="Bullet"/>
        <w:framePr w:wrap="around"/>
      </w:pPr>
      <w:r>
        <w:rPr>
          <w:rStyle w:val="Strong"/>
        </w:rPr>
        <w:t xml:space="preserve">Strategic Outcome 5: </w:t>
      </w:r>
      <w:r w:rsidR="00C2679C" w:rsidRPr="00B47E6D">
        <w:rPr>
          <w:rStyle w:val="Strong"/>
        </w:rPr>
        <w:t>Sustainable and Adaptable Service</w:t>
      </w:r>
      <w:r w:rsidR="00C2679C" w:rsidRPr="00B47E6D">
        <w:t xml:space="preserve"> – Police Scotland is sustainable, adaptable and prepared for future challenges</w:t>
      </w:r>
    </w:p>
    <w:p w14:paraId="3DD479FA" w14:textId="40859273" w:rsidR="00FF03AB" w:rsidRPr="00FF03AB" w:rsidRDefault="00E47778" w:rsidP="008D48E9">
      <w:r>
        <w:t>The</w:t>
      </w:r>
      <w:r w:rsidR="00FF03AB">
        <w:t xml:space="preserve"> Police Scotland </w:t>
      </w:r>
      <w:hyperlink r:id="rId16" w:history="1">
        <w:r w:rsidR="00FF03AB" w:rsidRPr="003C6592">
          <w:rPr>
            <w:rStyle w:val="Hyperlink"/>
          </w:rPr>
          <w:t>2030 Vision</w:t>
        </w:r>
      </w:hyperlink>
      <w:r w:rsidR="00FF03AB">
        <w:t xml:space="preserve"> provides the service with a clear, aspirational direction of travel to shape the development of Police Scotland. Our 2030 Vision is for safer communities, less crime, supported victims and a thriving workforce.</w:t>
      </w:r>
    </w:p>
    <w:p w14:paraId="367CCE3B" w14:textId="38C76503" w:rsidR="008518F7" w:rsidRPr="000A05D0" w:rsidRDefault="004F3885" w:rsidP="008518F7">
      <w:bookmarkStart w:id="12" w:name="_Hlk189469777"/>
      <w:r w:rsidRPr="000A05D0">
        <w:t xml:space="preserve">The report is structured under </w:t>
      </w:r>
      <w:r w:rsidR="00624F7D">
        <w:t xml:space="preserve">Safer Communities, </w:t>
      </w:r>
      <w:r w:rsidRPr="000A05D0">
        <w:t>Less Crime, Supported Victims and Thriving Workforce as per the Chief Constable’s Vision 2030 report</w:t>
      </w:r>
      <w:r>
        <w:t xml:space="preserve">. </w:t>
      </w:r>
      <w:r w:rsidR="00FF5CD1">
        <w:t>K</w:t>
      </w:r>
      <w:r w:rsidR="00D8614B" w:rsidRPr="000A05D0">
        <w:t>ey insight</w:t>
      </w:r>
      <w:r w:rsidR="00FF5CD1">
        <w:t>s</w:t>
      </w:r>
      <w:r w:rsidR="00D8614B" w:rsidRPr="000A05D0">
        <w:t xml:space="preserve"> </w:t>
      </w:r>
      <w:r w:rsidR="00FF5CD1">
        <w:t>identified this quarter include low levels of serious violent crimes</w:t>
      </w:r>
      <w:r w:rsidR="00605CB9">
        <w:t xml:space="preserve"> and anti-social behaviour</w:t>
      </w:r>
      <w:r w:rsidR="00FF5CD1">
        <w:t>, increased hate crime detection rates, the decrease in missing persons investigations</w:t>
      </w:r>
      <w:r w:rsidR="00605CB9">
        <w:t>, the success of Operation INTENSITY, improved call handling times</w:t>
      </w:r>
      <w:r w:rsidR="00FF5CD1">
        <w:t xml:space="preserve"> and the upward trend in user satisfaction</w:t>
      </w:r>
      <w:bookmarkEnd w:id="12"/>
      <w:r w:rsidR="004F5D44">
        <w:t>.</w:t>
      </w:r>
    </w:p>
    <w:p w14:paraId="42FD2D5C" w14:textId="5A822676" w:rsidR="00297AFD" w:rsidRPr="004C65C7" w:rsidRDefault="00296FEF" w:rsidP="008518F7">
      <w:pPr>
        <w:rPr>
          <w:lang w:eastAsia="en-GB"/>
        </w:rPr>
      </w:pPr>
      <w:bookmarkStart w:id="13" w:name="_Hlk189469819"/>
      <w:r w:rsidRPr="000A05D0">
        <w:t>E</w:t>
      </w:r>
      <w:r w:rsidR="009C531E" w:rsidRPr="000A05D0">
        <w:t xml:space="preserve">xamples of good </w:t>
      </w:r>
      <w:r w:rsidR="00A7197A">
        <w:t>practice/</w:t>
      </w:r>
      <w:r w:rsidR="009C531E" w:rsidRPr="000A05D0">
        <w:t>proactiv</w:t>
      </w:r>
      <w:r w:rsidR="00A7197A">
        <w:t>ity</w:t>
      </w:r>
      <w:r w:rsidR="009C531E" w:rsidRPr="000A05D0">
        <w:t>/preventative policin</w:t>
      </w:r>
      <w:r w:rsidRPr="000A05D0">
        <w:t xml:space="preserve">g </w:t>
      </w:r>
      <w:r w:rsidR="00D8614B" w:rsidRPr="000A05D0">
        <w:t>activity has been highlighted in the following areas:</w:t>
      </w:r>
    </w:p>
    <w:bookmarkEnd w:id="13"/>
    <w:p w14:paraId="324B5F4D" w14:textId="77777777" w:rsidR="007D0081" w:rsidRPr="00E01AF8" w:rsidRDefault="007D0081" w:rsidP="007D0081">
      <w:pPr>
        <w:pStyle w:val="ListBullet"/>
        <w:rPr>
          <w:lang w:eastAsia="en-GB"/>
        </w:rPr>
      </w:pPr>
      <w:r>
        <w:fldChar w:fldCharType="begin"/>
      </w:r>
      <w:r>
        <w:instrText>HYPERLINK \l "Intensity"</w:instrText>
      </w:r>
      <w:r>
        <w:fldChar w:fldCharType="separate"/>
      </w:r>
      <w:r w:rsidRPr="00E01AF8">
        <w:rPr>
          <w:rStyle w:val="Hyperlink"/>
          <w:lang w:eastAsia="en-GB"/>
        </w:rPr>
        <w:t>Operation I</w:t>
      </w:r>
      <w:r w:rsidRPr="00E01AF8">
        <w:rPr>
          <w:rStyle w:val="Hyperlink"/>
          <w:lang w:eastAsia="en-GB"/>
        </w:rPr>
        <w:t>N</w:t>
      </w:r>
      <w:r w:rsidRPr="00E01AF8">
        <w:rPr>
          <w:rStyle w:val="Hyperlink"/>
          <w:lang w:eastAsia="en-GB"/>
        </w:rPr>
        <w:t>TENSITY</w:t>
      </w:r>
      <w:r>
        <w:fldChar w:fldCharType="end"/>
      </w:r>
    </w:p>
    <w:p w14:paraId="1093DD73" w14:textId="77777777" w:rsidR="007D0081" w:rsidRDefault="007D0081" w:rsidP="007D0081">
      <w:pPr>
        <w:pStyle w:val="Bullets"/>
      </w:pPr>
      <w:hyperlink w:anchor="CountyLines" w:history="1">
        <w:r w:rsidRPr="000C66D5">
          <w:rPr>
            <w:rStyle w:val="Hyperlink"/>
          </w:rPr>
          <w:t>County Lines A</w:t>
        </w:r>
        <w:r w:rsidRPr="000C66D5">
          <w:rPr>
            <w:rStyle w:val="Hyperlink"/>
          </w:rPr>
          <w:t>w</w:t>
        </w:r>
        <w:r w:rsidRPr="000C66D5">
          <w:rPr>
            <w:rStyle w:val="Hyperlink"/>
          </w:rPr>
          <w:t>areness</w:t>
        </w:r>
      </w:hyperlink>
    </w:p>
    <w:p w14:paraId="13A33B67" w14:textId="77777777" w:rsidR="007D0081" w:rsidRDefault="007D0081" w:rsidP="007D0081">
      <w:pPr>
        <w:pStyle w:val="Bullets"/>
      </w:pPr>
      <w:hyperlink w:anchor="RoadSafety" w:history="1">
        <w:r w:rsidRPr="000C66D5">
          <w:rPr>
            <w:rStyle w:val="Hyperlink"/>
          </w:rPr>
          <w:t>Road Safet</w:t>
        </w:r>
        <w:r w:rsidRPr="000C66D5">
          <w:rPr>
            <w:rStyle w:val="Hyperlink"/>
          </w:rPr>
          <w:t>y</w:t>
        </w:r>
        <w:r w:rsidRPr="000C66D5">
          <w:rPr>
            <w:rStyle w:val="Hyperlink"/>
          </w:rPr>
          <w:t xml:space="preserve"> Campaigns</w:t>
        </w:r>
      </w:hyperlink>
    </w:p>
    <w:p w14:paraId="782AA1DA" w14:textId="77777777" w:rsidR="007D0081" w:rsidRPr="00204889" w:rsidRDefault="007D0081" w:rsidP="007D0081">
      <w:pPr>
        <w:pStyle w:val="Bullets"/>
      </w:pPr>
      <w:hyperlink w:anchor="Tutelage" w:history="1">
        <w:r w:rsidRPr="000C66D5">
          <w:rPr>
            <w:rStyle w:val="Hyperlink"/>
          </w:rPr>
          <w:t>Operation TU</w:t>
        </w:r>
        <w:r w:rsidRPr="000C66D5">
          <w:rPr>
            <w:rStyle w:val="Hyperlink"/>
          </w:rPr>
          <w:t>T</w:t>
        </w:r>
        <w:r w:rsidRPr="000C66D5">
          <w:rPr>
            <w:rStyle w:val="Hyperlink"/>
          </w:rPr>
          <w:t>ELAGE</w:t>
        </w:r>
      </w:hyperlink>
    </w:p>
    <w:p w14:paraId="4B8EF368" w14:textId="5052D7CA" w:rsidR="00D41D8D" w:rsidRDefault="004C65C7" w:rsidP="004C65C7">
      <w:pPr>
        <w:pStyle w:val="Bullets"/>
      </w:pPr>
      <w:hyperlink w:anchor="Violence" w:history="1">
        <w:r w:rsidRPr="000C66D5">
          <w:rPr>
            <w:rStyle w:val="Hyperlink"/>
          </w:rPr>
          <w:t>Violence Contr</w:t>
        </w:r>
        <w:r w:rsidRPr="000C66D5">
          <w:rPr>
            <w:rStyle w:val="Hyperlink"/>
          </w:rPr>
          <w:t>o</w:t>
        </w:r>
        <w:r w:rsidRPr="000C66D5">
          <w:rPr>
            <w:rStyle w:val="Hyperlink"/>
          </w:rPr>
          <w:t>l Strategy</w:t>
        </w:r>
      </w:hyperlink>
    </w:p>
    <w:p w14:paraId="27A7BF6F" w14:textId="6A55203E" w:rsidR="009C0849" w:rsidRPr="009C0849" w:rsidRDefault="009C0849" w:rsidP="009C0849">
      <w:pPr>
        <w:pStyle w:val="ListBullet"/>
        <w:rPr>
          <w:lang w:eastAsia="en-GB"/>
        </w:rPr>
      </w:pPr>
      <w:hyperlink w:anchor="Woodwhite" w:history="1">
        <w:r w:rsidRPr="009C0849">
          <w:rPr>
            <w:rStyle w:val="Hyperlink"/>
            <w:lang w:eastAsia="en-GB"/>
          </w:rPr>
          <w:t>Operation W</w:t>
        </w:r>
        <w:r w:rsidR="0082315A">
          <w:rPr>
            <w:rStyle w:val="Hyperlink"/>
            <w:lang w:eastAsia="en-GB"/>
          </w:rPr>
          <w:t>O</w:t>
        </w:r>
        <w:r w:rsidR="0082315A">
          <w:rPr>
            <w:rStyle w:val="Hyperlink"/>
            <w:lang w:eastAsia="en-GB"/>
          </w:rPr>
          <w:t>O</w:t>
        </w:r>
        <w:r w:rsidR="0082315A">
          <w:rPr>
            <w:rStyle w:val="Hyperlink"/>
            <w:lang w:eastAsia="en-GB"/>
          </w:rPr>
          <w:t>DWHITE</w:t>
        </w:r>
      </w:hyperlink>
    </w:p>
    <w:p w14:paraId="08953E0D" w14:textId="354FB723" w:rsidR="004C65C7" w:rsidRDefault="004C65C7" w:rsidP="004C65C7">
      <w:pPr>
        <w:pStyle w:val="Bullets"/>
      </w:pPr>
      <w:hyperlink w:anchor="RetailCrime" w:history="1">
        <w:r w:rsidRPr="000C66D5">
          <w:rPr>
            <w:rStyle w:val="Hyperlink"/>
          </w:rPr>
          <w:t>Retail Crime</w:t>
        </w:r>
        <w:r w:rsidRPr="000C66D5">
          <w:rPr>
            <w:rStyle w:val="Hyperlink"/>
          </w:rPr>
          <w:t xml:space="preserve"> </w:t>
        </w:r>
        <w:r w:rsidRPr="000C66D5">
          <w:rPr>
            <w:rStyle w:val="Hyperlink"/>
          </w:rPr>
          <w:t>Taskforce</w:t>
        </w:r>
      </w:hyperlink>
    </w:p>
    <w:p w14:paraId="5F921875" w14:textId="66011E7D" w:rsidR="004C65C7" w:rsidRDefault="004C65C7" w:rsidP="004C65C7">
      <w:pPr>
        <w:pStyle w:val="Bullets"/>
      </w:pPr>
      <w:hyperlink w:anchor="CyberFraud" w:history="1">
        <w:r w:rsidRPr="000C66D5">
          <w:rPr>
            <w:rStyle w:val="Hyperlink"/>
          </w:rPr>
          <w:t>Cyber and</w:t>
        </w:r>
        <w:r w:rsidRPr="000C66D5">
          <w:rPr>
            <w:rStyle w:val="Hyperlink"/>
          </w:rPr>
          <w:t xml:space="preserve"> </w:t>
        </w:r>
        <w:r w:rsidRPr="000C66D5">
          <w:rPr>
            <w:rStyle w:val="Hyperlink"/>
          </w:rPr>
          <w:t>Fraud Unit</w:t>
        </w:r>
      </w:hyperlink>
    </w:p>
    <w:p w14:paraId="76A79158" w14:textId="77777777" w:rsidR="00FF5CD1" w:rsidRDefault="00FF5CD1">
      <w:pPr>
        <w:spacing w:before="0" w:after="160" w:line="259" w:lineRule="auto"/>
        <w:rPr>
          <w:rFonts w:eastAsiaTheme="majorEastAsia" w:cstheme="majorBidi"/>
          <w:b/>
          <w:sz w:val="28"/>
          <w:lang w:eastAsia="en-GB"/>
        </w:rPr>
      </w:pPr>
      <w:r>
        <w:rPr>
          <w:lang w:eastAsia="en-GB"/>
        </w:rPr>
        <w:br w:type="page"/>
      </w:r>
    </w:p>
    <w:p w14:paraId="188AC481" w14:textId="0A4AE7B4" w:rsidR="00FF5CD1" w:rsidRDefault="00FF5CD1" w:rsidP="00FF5CD1">
      <w:pPr>
        <w:pStyle w:val="Heading3"/>
        <w:rPr>
          <w:lang w:eastAsia="en-GB"/>
        </w:rPr>
      </w:pPr>
      <w:bookmarkStart w:id="14" w:name="_Toc199839165"/>
      <w:r>
        <w:rPr>
          <w:lang w:eastAsia="en-GB"/>
        </w:rPr>
        <w:lastRenderedPageBreak/>
        <w:t>Key Insights</w:t>
      </w:r>
      <w:bookmarkStart w:id="15" w:name="_Hlk197343060"/>
      <w:bookmarkEnd w:id="14"/>
    </w:p>
    <w:p w14:paraId="176F0F94" w14:textId="440B1C2B" w:rsidR="00F4315D" w:rsidRPr="00F07771" w:rsidRDefault="00F4315D" w:rsidP="00F4315D">
      <w:pPr>
        <w:pBdr>
          <w:top w:val="single" w:sz="18" w:space="1" w:color="2E74B5" w:themeColor="accent1" w:themeShade="BF"/>
          <w:bottom w:val="single" w:sz="18" w:space="1" w:color="2E74B5" w:themeColor="accent1" w:themeShade="BF"/>
        </w:pBdr>
        <w:rPr>
          <w:color w:val="2E74B5" w:themeColor="accent1" w:themeShade="BF"/>
          <w:sz w:val="28"/>
          <w:szCs w:val="28"/>
        </w:rPr>
      </w:pPr>
      <w:bookmarkStart w:id="16" w:name="_Hlk197090579"/>
      <w:r>
        <w:rPr>
          <w:color w:val="2E74B5" w:themeColor="accent1" w:themeShade="BF"/>
          <w:sz w:val="28"/>
          <w:szCs w:val="28"/>
        </w:rPr>
        <w:t>Serious Violent Crime at its lowest recorded level in recent years.</w:t>
      </w:r>
    </w:p>
    <w:bookmarkEnd w:id="16"/>
    <w:p w14:paraId="427B9D3A" w14:textId="08175D2F" w:rsidR="00FF5CD1" w:rsidRDefault="00FF5CD1" w:rsidP="00F4315D">
      <w:pPr>
        <w:pStyle w:val="Bullets"/>
      </w:pPr>
      <w:r>
        <w:t xml:space="preserve">There were </w:t>
      </w:r>
      <w:r w:rsidRPr="00CB0518">
        <w:rPr>
          <w:rStyle w:val="Strong"/>
        </w:rPr>
        <w:t>43 homicides</w:t>
      </w:r>
      <w:r>
        <w:t xml:space="preserve"> recorded during 2024/25. This is 18 fewer than last year, 16 fewer than the five-year</w:t>
      </w:r>
      <w:r w:rsidR="005055A7">
        <w:t xml:space="preserve"> </w:t>
      </w:r>
      <w:r>
        <w:t xml:space="preserve">mean and the lowest homicide level on record in Scotland. </w:t>
      </w:r>
      <w:r w:rsidR="00C7400E">
        <w:drawing>
          <wp:inline distT="0" distB="0" distL="0" distR="0" wp14:anchorId="4FC321C0" wp14:editId="673B2308">
            <wp:extent cx="4932000" cy="2573286"/>
            <wp:effectExtent l="0" t="0" r="2540" b="0"/>
            <wp:docPr id="827412490" name="Picture 1" descr="Homicides Line Graph&#10;This line graph shows homicides dropping to their lowest level in recent fiscal years. 64 in 2013/14; 62 in 2014/15; 59 in 2015/16; 65 in 2016/17; 63 in 2017/18; 65 in 2018/19; 67 in 2019/20; 63 in 2020/21; 53 in 2021/22 and 2022/23; 61 in 2023/24; and 43 in 202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12490" name="Picture 1" descr="Homicides Line Graph&#10;This line graph shows homicides dropping to their lowest level in recent fiscal years. 64 in 2013/14; 62 in 2014/15; 59 in 2015/16; 65 in 2016/17; 63 in 2017/18; 65 in 2018/19; 67 in 2019/20; 63 in 2020/21; 53 in 2021/22 and 2022/23; 61 in 2023/24; and 43 in 2024/25.&#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932000" cy="2573286"/>
                    </a:xfrm>
                    <a:prstGeom prst="rect">
                      <a:avLst/>
                    </a:prstGeom>
                    <a:noFill/>
                    <a:ln>
                      <a:noFill/>
                    </a:ln>
                  </pic:spPr>
                </pic:pic>
              </a:graphicData>
            </a:graphic>
          </wp:inline>
        </w:drawing>
      </w:r>
    </w:p>
    <w:p w14:paraId="4D5A5DAF" w14:textId="435C99AF" w:rsidR="00FF5CD1" w:rsidRDefault="00FF5CD1" w:rsidP="00F4315D">
      <w:pPr>
        <w:pStyle w:val="Bullets"/>
      </w:pPr>
      <w:r>
        <w:t>All homicides recorded during the year have been, or are expected to be detected.</w:t>
      </w:r>
    </w:p>
    <w:p w14:paraId="6200D774" w14:textId="77777777" w:rsidR="002D072C" w:rsidRPr="007A2E18" w:rsidRDefault="00FF5CD1" w:rsidP="002D072C">
      <w:pPr>
        <w:pStyle w:val="Bullets"/>
        <w:rPr>
          <w:b/>
        </w:rPr>
      </w:pPr>
      <w:r>
        <w:t>Additionally, attempted murders and serious assaults were at their lowest levels in recent years. Attempted murders have a 95.2% detection rate – this is the second highest level in recent years and only 0.1</w:t>
      </w:r>
      <w:r w:rsidR="005B259F">
        <w:t xml:space="preserve"> percentage</w:t>
      </w:r>
      <w:r>
        <w:t xml:space="preserve"> point below last year’s rate. Serious assaults had a </w:t>
      </w:r>
      <w:r w:rsidR="00E70FCF">
        <w:t>79.0</w:t>
      </w:r>
      <w:r>
        <w:t>% detection rate – the highest in recent years.</w:t>
      </w:r>
    </w:p>
    <w:p w14:paraId="5556733A" w14:textId="5460ED38" w:rsidR="002D072C" w:rsidRPr="00F07771" w:rsidRDefault="002D072C" w:rsidP="002D072C">
      <w:pPr>
        <w:pBdr>
          <w:top w:val="single" w:sz="18" w:space="1" w:color="2E74B5" w:themeColor="accent1" w:themeShade="BF"/>
          <w:bottom w:val="single" w:sz="18" w:space="1" w:color="2E74B5" w:themeColor="accent1" w:themeShade="BF"/>
        </w:pBdr>
        <w:rPr>
          <w:color w:val="2E74B5" w:themeColor="accent1" w:themeShade="BF"/>
          <w:sz w:val="28"/>
          <w:szCs w:val="28"/>
        </w:rPr>
      </w:pPr>
      <w:r w:rsidRPr="002D072C">
        <w:rPr>
          <w:color w:val="2E74B5" w:themeColor="accent1" w:themeShade="BF"/>
          <w:sz w:val="28"/>
          <w:szCs w:val="28"/>
        </w:rPr>
        <w:t>Incidents of Anti-Social Behaviour at lowest level in recent years</w:t>
      </w:r>
    </w:p>
    <w:p w14:paraId="42C735F9" w14:textId="7EC23617" w:rsidR="00281709" w:rsidRPr="00297531" w:rsidRDefault="002D072C" w:rsidP="00891FF6">
      <w:pPr>
        <w:pStyle w:val="Bullets"/>
        <w:rPr>
          <w:b/>
        </w:rPr>
      </w:pPr>
      <w:r w:rsidRPr="002D072C">
        <w:t xml:space="preserve">Following a large increase in </w:t>
      </w:r>
      <w:r w:rsidRPr="002D072C">
        <w:rPr>
          <w:rStyle w:val="Strong"/>
        </w:rPr>
        <w:t>ASB incidents</w:t>
      </w:r>
      <w:r w:rsidRPr="002D072C">
        <w:t xml:space="preserve"> in 2020/21, linked strongly to COVID-19 related lockdowns, incidents of ASB reported by the public have steadily decreased year-on-year. 2024/25 saw </w:t>
      </w:r>
      <w:r w:rsidRPr="002D072C">
        <w:rPr>
          <w:rStyle w:val="Strong"/>
        </w:rPr>
        <w:t>264,304 incidents</w:t>
      </w:r>
      <w:r>
        <w:t xml:space="preserve"> </w:t>
      </w:r>
      <w:r w:rsidRPr="002D072C">
        <w:t>which was a 3.2% reduction from 2023/24 and an 18.2% decrease from the five-year-mean</w:t>
      </w:r>
      <w:r w:rsidR="00297531">
        <w:t>. This is the l</w:t>
      </w:r>
      <w:r w:rsidR="0073275F">
        <w:t>owest</w:t>
      </w:r>
      <w:r w:rsidR="00297531">
        <w:t xml:space="preserve"> volume of incidents in the five-year comparisons</w:t>
      </w:r>
      <w:r w:rsidR="00281709" w:rsidRPr="00297531">
        <w:rPr>
          <w:rStyle w:val="Strong"/>
          <w:b w:val="0"/>
          <w:bCs w:val="0"/>
        </w:rPr>
        <w:t>.</w:t>
      </w:r>
    </w:p>
    <w:p w14:paraId="348AA761" w14:textId="11809A63" w:rsidR="00F4315D" w:rsidRPr="00F07771" w:rsidRDefault="00F4315D" w:rsidP="00F4315D">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Hate Crime detection rate at its highest level since 2020/21</w:t>
      </w:r>
    </w:p>
    <w:bookmarkEnd w:id="15"/>
    <w:p w14:paraId="1CD06842" w14:textId="48A65DA6" w:rsidR="00FF5CD1" w:rsidRDefault="00FF5CD1" w:rsidP="004C65C7">
      <w:pPr>
        <w:pStyle w:val="Bullets"/>
      </w:pPr>
      <w:r w:rsidRPr="00FF5CD1">
        <w:rPr>
          <w:rStyle w:val="Strong"/>
        </w:rPr>
        <w:t>Hate Crime</w:t>
      </w:r>
      <w:r>
        <w:t xml:space="preserve"> detection rate is </w:t>
      </w:r>
      <w:r w:rsidRPr="00CB0518">
        <w:rPr>
          <w:rStyle w:val="Strong"/>
        </w:rPr>
        <w:t xml:space="preserve">up </w:t>
      </w:r>
      <w:r w:rsidR="0008068B" w:rsidRPr="00CB0518">
        <w:rPr>
          <w:rStyle w:val="Strong"/>
        </w:rPr>
        <w:t>9.9</w:t>
      </w:r>
      <w:r w:rsidRPr="00CB0518">
        <w:rPr>
          <w:rStyle w:val="Strong"/>
        </w:rPr>
        <w:t>%</w:t>
      </w:r>
      <w:r>
        <w:t xml:space="preserve"> (6</w:t>
      </w:r>
      <w:r w:rsidR="0008068B">
        <w:t>7.4</w:t>
      </w:r>
      <w:r>
        <w:t>%) compared to last year and is the highest it has been since 20</w:t>
      </w:r>
      <w:r w:rsidR="0008068B">
        <w:t>20/</w:t>
      </w:r>
      <w:r>
        <w:t>2</w:t>
      </w:r>
      <w:r w:rsidR="00D82176">
        <w:t>1.</w:t>
      </w:r>
      <w:bookmarkStart w:id="17" w:name="_Hlk197343109"/>
    </w:p>
    <w:p w14:paraId="5812C017" w14:textId="5D0517CD" w:rsidR="00F4315D" w:rsidRPr="00F07771" w:rsidRDefault="00F4315D" w:rsidP="00F4315D">
      <w:pPr>
        <w:pBdr>
          <w:top w:val="single" w:sz="18" w:space="1" w:color="2E74B5" w:themeColor="accent1" w:themeShade="BF"/>
          <w:bottom w:val="single" w:sz="18" w:space="1" w:color="2E74B5" w:themeColor="accent1" w:themeShade="BF"/>
        </w:pBdr>
        <w:rPr>
          <w:color w:val="2E74B5" w:themeColor="accent1" w:themeShade="BF"/>
          <w:sz w:val="28"/>
          <w:szCs w:val="28"/>
        </w:rPr>
      </w:pPr>
      <w:r w:rsidRPr="00F4315D">
        <w:rPr>
          <w:color w:val="2E74B5" w:themeColor="accent1" w:themeShade="BF"/>
          <w:sz w:val="28"/>
          <w:szCs w:val="28"/>
        </w:rPr>
        <w:t>Missing Persons investigations decreasing over recent years</w:t>
      </w:r>
    </w:p>
    <w:p w14:paraId="61D04F2E" w14:textId="5700928F" w:rsidR="00FF5CD1" w:rsidRDefault="00FF5CD1" w:rsidP="00CB0518">
      <w:pPr>
        <w:pStyle w:val="Bullets"/>
      </w:pPr>
      <w:r>
        <w:t xml:space="preserve">The number of investigations has </w:t>
      </w:r>
      <w:r w:rsidRPr="00CB0518">
        <w:rPr>
          <w:rStyle w:val="Strong"/>
        </w:rPr>
        <w:t>decreased by 10.1%</w:t>
      </w:r>
      <w:r>
        <w:t xml:space="preserve"> (1</w:t>
      </w:r>
      <w:r w:rsidR="006A4B5F">
        <w:t>,</w:t>
      </w:r>
      <w:r>
        <w:t>653</w:t>
      </w:r>
      <w:r w:rsidR="00824EFE">
        <w:t xml:space="preserve"> fewer</w:t>
      </w:r>
      <w:r>
        <w:t xml:space="preserve">) compared to the same period last year. Quarter 4 2024/25 recorded the lowest figures for the last three years falling by 11.9% from the previous </w:t>
      </w:r>
      <w:r w:rsidR="00865A9D">
        <w:t>q</w:t>
      </w:r>
      <w:r>
        <w:t>uarter.</w:t>
      </w:r>
    </w:p>
    <w:p w14:paraId="0F7A8A82" w14:textId="10A7324B" w:rsidR="00FF5CD1" w:rsidRDefault="00FF5CD1" w:rsidP="00CB0518">
      <w:pPr>
        <w:pStyle w:val="Bullets"/>
      </w:pPr>
      <w:r>
        <w:t xml:space="preserve">Investigations involving children and care experienced young people have </w:t>
      </w:r>
      <w:r w:rsidRPr="00CB0518">
        <w:rPr>
          <w:rStyle w:val="Strong"/>
        </w:rPr>
        <w:t>decreased by 12.4%</w:t>
      </w:r>
      <w:r>
        <w:t xml:space="preserve"> (247 </w:t>
      </w:r>
      <w:r w:rsidR="005B0833">
        <w:t>fewer</w:t>
      </w:r>
      <w:r>
        <w:t xml:space="preserve">) in Quarter 4 from the previous </w:t>
      </w:r>
      <w:r w:rsidR="00865A9D">
        <w:t>q</w:t>
      </w:r>
      <w:r>
        <w:t>uarter.</w:t>
      </w:r>
    </w:p>
    <w:p w14:paraId="376AC939" w14:textId="77777777" w:rsidR="002F1EC7" w:rsidRDefault="00FF5CD1" w:rsidP="002F1EC7">
      <w:pPr>
        <w:pStyle w:val="Bullets"/>
      </w:pPr>
      <w:r>
        <w:lastRenderedPageBreak/>
        <w:t xml:space="preserve">Care experience young people recorded the lowest </w:t>
      </w:r>
      <w:r w:rsidR="00865A9D">
        <w:t>q</w:t>
      </w:r>
      <w:r>
        <w:t>uarter in the last three years to date.</w:t>
      </w:r>
    </w:p>
    <w:p w14:paraId="16B66D25" w14:textId="31ED4418" w:rsidR="002F1EC7" w:rsidRPr="00F07771" w:rsidRDefault="002F1EC7" w:rsidP="002F1EC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Around 100 Arrests as a result of Operation INTENSITY</w:t>
      </w:r>
    </w:p>
    <w:p w14:paraId="6B204BD4" w14:textId="111F77C4" w:rsidR="00FF5CD1" w:rsidRDefault="002F1EC7" w:rsidP="00CB0518">
      <w:pPr>
        <w:pStyle w:val="Bullets"/>
      </w:pPr>
      <w:r w:rsidRPr="002F1EC7">
        <w:t xml:space="preserve">Police Scotland has made </w:t>
      </w:r>
      <w:r w:rsidRPr="00D05585">
        <w:rPr>
          <w:rStyle w:val="Strong"/>
        </w:rPr>
        <w:t>around 100 arrests</w:t>
      </w:r>
      <w:r w:rsidRPr="002F1EC7">
        <w:t xml:space="preserve">, seized more than 200 kilograms of illegal drugs, taken three firearms off the street and safeguarded 11 children as part of a significant investigation to dismantle a </w:t>
      </w:r>
      <w:r w:rsidRPr="002F1EC7">
        <w:rPr>
          <w:rStyle w:val="Strong"/>
        </w:rPr>
        <w:t>Scottish organised crime gang</w:t>
      </w:r>
      <w:r>
        <w:t>.</w:t>
      </w:r>
    </w:p>
    <w:p w14:paraId="430D4A3F" w14:textId="3248650B" w:rsidR="00CB0518" w:rsidRPr="00F07771" w:rsidRDefault="00CB0518" w:rsidP="00CB0518">
      <w:pPr>
        <w:pBdr>
          <w:top w:val="single" w:sz="18" w:space="1" w:color="2E74B5" w:themeColor="accent1" w:themeShade="BF"/>
          <w:bottom w:val="single" w:sz="18" w:space="1" w:color="2E74B5" w:themeColor="accent1" w:themeShade="BF"/>
        </w:pBdr>
        <w:rPr>
          <w:color w:val="2E74B5" w:themeColor="accent1" w:themeShade="BF"/>
          <w:sz w:val="28"/>
          <w:szCs w:val="28"/>
        </w:rPr>
      </w:pPr>
      <w:bookmarkStart w:id="18" w:name="_Hlk197091327"/>
      <w:r>
        <w:rPr>
          <w:color w:val="2E74B5" w:themeColor="accent1" w:themeShade="BF"/>
          <w:sz w:val="28"/>
          <w:szCs w:val="28"/>
        </w:rPr>
        <w:t>Improved Call Handling Answer Times for 999 and 101 calls</w:t>
      </w:r>
    </w:p>
    <w:bookmarkEnd w:id="18"/>
    <w:p w14:paraId="0046A2A1" w14:textId="3A204404" w:rsidR="00F0640A" w:rsidRDefault="00054E6C" w:rsidP="00CB0518">
      <w:pPr>
        <w:pStyle w:val="Bullets"/>
      </w:pPr>
      <w:r w:rsidRPr="00392A74">
        <w:t xml:space="preserve">The handling of </w:t>
      </w:r>
      <w:r w:rsidRPr="00054E6C">
        <w:rPr>
          <w:rStyle w:val="Strong"/>
        </w:rPr>
        <w:t>999 calls</w:t>
      </w:r>
      <w:r w:rsidRPr="00392A74">
        <w:t xml:space="preserve"> remains our highest priority.</w:t>
      </w:r>
      <w:r w:rsidR="00CB0518">
        <w:t xml:space="preserve"> </w:t>
      </w:r>
      <w:r w:rsidRPr="00465819">
        <w:t xml:space="preserve">During the </w:t>
      </w:r>
      <w:r>
        <w:t>reporting</w:t>
      </w:r>
      <w:r w:rsidRPr="00465819">
        <w:t xml:space="preserve"> year Police Scotland achieved an average </w:t>
      </w:r>
      <w:r>
        <w:t xml:space="preserve">speed of </w:t>
      </w:r>
      <w:r w:rsidRPr="00465819">
        <w:t xml:space="preserve">answer </w:t>
      </w:r>
      <w:r w:rsidR="00F0640A">
        <w:t xml:space="preserve">for </w:t>
      </w:r>
      <w:r w:rsidR="00F0640A" w:rsidRPr="00CB0518">
        <w:rPr>
          <w:rStyle w:val="Strong"/>
          <w:b w:val="0"/>
        </w:rPr>
        <w:t>999 calls</w:t>
      </w:r>
      <w:r w:rsidR="00F0640A" w:rsidRPr="00CB0518">
        <w:rPr>
          <w:b/>
        </w:rPr>
        <w:t xml:space="preserve"> </w:t>
      </w:r>
      <w:r w:rsidRPr="00CB0518">
        <w:rPr>
          <w:rStyle w:val="Strong"/>
        </w:rPr>
        <w:t>of eight seconds</w:t>
      </w:r>
      <w:r>
        <w:t>,</w:t>
      </w:r>
      <w:r w:rsidRPr="00465819">
        <w:t xml:space="preserve"> </w:t>
      </w:r>
      <w:r>
        <w:t>one</w:t>
      </w:r>
      <w:r w:rsidRPr="00465819">
        <w:t xml:space="preserve"> second quicker than the same period last year</w:t>
      </w:r>
      <w:r w:rsidR="00F0640A">
        <w:t>.</w:t>
      </w:r>
    </w:p>
    <w:p w14:paraId="09426D8A" w14:textId="2DA0E268" w:rsidR="00054E6C" w:rsidRDefault="00F0640A" w:rsidP="00CB0518">
      <w:pPr>
        <w:pStyle w:val="Bullets"/>
      </w:pPr>
      <w:r>
        <w:t>T</w:t>
      </w:r>
      <w:r w:rsidRPr="00F0640A">
        <w:t xml:space="preserve">he average answer time for </w:t>
      </w:r>
      <w:r w:rsidRPr="007D12D0">
        <w:rPr>
          <w:rStyle w:val="Strong"/>
        </w:rPr>
        <w:t>101 calls</w:t>
      </w:r>
      <w:r w:rsidRPr="00CB0518">
        <w:rPr>
          <w:rStyle w:val="Strong"/>
        </w:rPr>
        <w:t xml:space="preserve"> also decreased</w:t>
      </w:r>
      <w:r w:rsidRPr="00F0640A">
        <w:t xml:space="preserve"> by </w:t>
      </w:r>
      <w:r>
        <w:t>one</w:t>
      </w:r>
      <w:r w:rsidRPr="00F0640A">
        <w:t xml:space="preserve"> minute 26 seconds to </w:t>
      </w:r>
      <w:r w:rsidRPr="00CB0518">
        <w:rPr>
          <w:rStyle w:val="Strong"/>
        </w:rPr>
        <w:t>four minutes seven seconds</w:t>
      </w:r>
      <w:r w:rsidRPr="00F0640A">
        <w:t xml:space="preserve"> when compared to 2023/2024</w:t>
      </w:r>
      <w:r>
        <w:t>.</w:t>
      </w:r>
    </w:p>
    <w:p w14:paraId="5FB6F20C" w14:textId="399C4658" w:rsidR="008C3EA2" w:rsidRPr="00D05585" w:rsidRDefault="00D05585" w:rsidP="00D05585">
      <w:pPr>
        <w:pStyle w:val="Bullets"/>
        <w:rPr>
          <w:noProof w:val="0"/>
        </w:rPr>
      </w:pPr>
      <w:r>
        <w:t>I</w:t>
      </w:r>
      <w:r w:rsidRPr="00465819">
        <w:t>n January a rare red weather warning for wind in relation to Storm EOWYN was issued by the Met Office.</w:t>
      </w:r>
      <w:r>
        <w:t xml:space="preserve"> </w:t>
      </w:r>
      <w:r w:rsidRPr="00465819">
        <w:t xml:space="preserve">This led to challenging periods of demand </w:t>
      </w:r>
      <w:r>
        <w:t xml:space="preserve">on Friday 24 January 2025 </w:t>
      </w:r>
      <w:r w:rsidRPr="00465819">
        <w:t xml:space="preserve">as reports of </w:t>
      </w:r>
      <w:r>
        <w:t>r</w:t>
      </w:r>
      <w:r w:rsidRPr="00465819">
        <w:t xml:space="preserve">oad </w:t>
      </w:r>
      <w:r>
        <w:t>t</w:t>
      </w:r>
      <w:r w:rsidRPr="00465819">
        <w:t xml:space="preserve">raffic </w:t>
      </w:r>
      <w:r>
        <w:t>a</w:t>
      </w:r>
      <w:r w:rsidRPr="00465819">
        <w:t xml:space="preserve">ccidents, </w:t>
      </w:r>
      <w:r>
        <w:t>r</w:t>
      </w:r>
      <w:r w:rsidRPr="00465819">
        <w:t xml:space="preserve">oad </w:t>
      </w:r>
      <w:r>
        <w:t>t</w:t>
      </w:r>
      <w:r w:rsidRPr="00465819">
        <w:t xml:space="preserve">raffic </w:t>
      </w:r>
      <w:r>
        <w:t>m</w:t>
      </w:r>
      <w:r w:rsidRPr="00465819">
        <w:t>atters, falling debris and insecure buildings were received which resulted in a 57.5% increase in 999 call</w:t>
      </w:r>
      <w:r>
        <w:t>s</w:t>
      </w:r>
      <w:r w:rsidRPr="00465819">
        <w:t xml:space="preserve"> when compared to the </w:t>
      </w:r>
      <w:r>
        <w:t>same day in the previous week.</w:t>
      </w:r>
    </w:p>
    <w:p w14:paraId="1A6FE5F3" w14:textId="3799B75B" w:rsidR="00CB0518" w:rsidRPr="00F07771" w:rsidRDefault="00CB0518" w:rsidP="00CB0518">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 xml:space="preserve">User Satisfaction </w:t>
      </w:r>
      <w:r w:rsidR="00665197" w:rsidRPr="00665197">
        <w:rPr>
          <w:color w:val="2E74B5" w:themeColor="accent1" w:themeShade="BF"/>
          <w:sz w:val="28"/>
          <w:szCs w:val="28"/>
        </w:rPr>
        <w:t>at its highest quarterly level in the last three years</w:t>
      </w:r>
    </w:p>
    <w:p w14:paraId="2127EC26" w14:textId="027D7580" w:rsidR="00665197" w:rsidRPr="00665197" w:rsidRDefault="00FF5CD1" w:rsidP="00665197">
      <w:pPr>
        <w:pStyle w:val="Bullets"/>
      </w:pPr>
      <w:r w:rsidRPr="00FF5CD1">
        <w:rPr>
          <w:rStyle w:val="Strong"/>
        </w:rPr>
        <w:t>User Satisfaction</w:t>
      </w:r>
      <w:r>
        <w:t xml:space="preserve"> from the User Experience Survey has been on an upward trend throughout the year, rising from 69% in Quarter 1 to </w:t>
      </w:r>
      <w:r w:rsidRPr="00CB0518">
        <w:rPr>
          <w:rStyle w:val="Strong"/>
        </w:rPr>
        <w:t>73% in Quarter 4</w:t>
      </w:r>
      <w:r>
        <w:t>.</w:t>
      </w:r>
      <w:r w:rsidR="002B5144">
        <w:t xml:space="preserve"> </w:t>
      </w:r>
      <w:r w:rsidR="00665197" w:rsidRPr="00665197">
        <w:t>This is the highest quarter</w:t>
      </w:r>
      <w:r w:rsidR="005B0833">
        <w:t>ly</w:t>
      </w:r>
      <w:r w:rsidR="00665197" w:rsidRPr="00665197">
        <w:t xml:space="preserve"> percentage in the last three year period.</w:t>
      </w:r>
    </w:p>
    <w:p w14:paraId="21AD3CF2" w14:textId="139B336B" w:rsidR="00FF5CD1" w:rsidRPr="00FF5CD1" w:rsidRDefault="002B5144" w:rsidP="004C65C7">
      <w:pPr>
        <w:pStyle w:val="Bullets"/>
      </w:pPr>
      <w:r>
        <w:t xml:space="preserve">All </w:t>
      </w:r>
      <w:r w:rsidR="00865A9D">
        <w:t>u</w:t>
      </w:r>
      <w:r>
        <w:t xml:space="preserve">ser </w:t>
      </w:r>
      <w:r w:rsidR="00865A9D">
        <w:t>e</w:t>
      </w:r>
      <w:r>
        <w:t xml:space="preserve">xperience contact touchpoints </w:t>
      </w:r>
      <w:r w:rsidR="00F84795">
        <w:t>(</w:t>
      </w:r>
      <w:r w:rsidR="00F84795" w:rsidRPr="00F84795">
        <w:t>Ease of contact; Treatment by staff member during initial contact; Staff understanding what they needed; Police providing the appropriate response; Treatment by officers who attended the incident; and Being adequately informed about progress)</w:t>
      </w:r>
      <w:r w:rsidR="00F84795">
        <w:t xml:space="preserve"> </w:t>
      </w:r>
      <w:r>
        <w:t>note an increase when compared to the previous quarter.</w:t>
      </w:r>
    </w:p>
    <w:p w14:paraId="746CB073" w14:textId="77777777" w:rsidR="004F5D44" w:rsidRDefault="004F5D44">
      <w:pPr>
        <w:spacing w:before="0" w:after="160" w:line="259" w:lineRule="auto"/>
        <w:rPr>
          <w:rFonts w:eastAsiaTheme="majorEastAsia" w:cstheme="majorBidi"/>
          <w:b/>
          <w:sz w:val="28"/>
          <w:lang w:eastAsia="en-GB"/>
        </w:rPr>
      </w:pPr>
      <w:bookmarkStart w:id="19" w:name="_Hlk189140869"/>
      <w:bookmarkStart w:id="20" w:name="_Hlk189139378"/>
      <w:bookmarkEnd w:id="17"/>
      <w:r>
        <w:rPr>
          <w:lang w:eastAsia="en-GB"/>
        </w:rPr>
        <w:br w:type="page"/>
      </w:r>
    </w:p>
    <w:p w14:paraId="31C82866" w14:textId="77777777" w:rsidR="00624F7D" w:rsidRDefault="00624F7D" w:rsidP="00624F7D">
      <w:pPr>
        <w:pStyle w:val="Heading3"/>
      </w:pPr>
      <w:bookmarkStart w:id="21" w:name="_Hlk189122456"/>
      <w:bookmarkStart w:id="22" w:name="_Toc140746129"/>
      <w:bookmarkStart w:id="23" w:name="_Toc140750244"/>
      <w:bookmarkStart w:id="24" w:name="_Toc142045262"/>
      <w:bookmarkStart w:id="25" w:name="_Toc157687362"/>
      <w:bookmarkStart w:id="26" w:name="_Toc157696606"/>
      <w:bookmarkStart w:id="27" w:name="_Toc199839166"/>
      <w:bookmarkEnd w:id="19"/>
      <w:bookmarkEnd w:id="20"/>
      <w:r>
        <w:lastRenderedPageBreak/>
        <w:t>Vision 2030: Safer Communities</w:t>
      </w:r>
      <w:bookmarkEnd w:id="27"/>
    </w:p>
    <w:p w14:paraId="5C886944" w14:textId="77777777" w:rsidR="009234F0" w:rsidRDefault="009234F0" w:rsidP="009234F0">
      <w:pPr>
        <w:pStyle w:val="Heading4"/>
      </w:pPr>
      <w:r w:rsidRPr="0087741A">
        <w:t>Public Confidence and Experience of Policing</w:t>
      </w:r>
      <w:r>
        <w:t xml:space="preserve"> (Strategic Outcome 3)</w:t>
      </w:r>
    </w:p>
    <w:p w14:paraId="783B2D4B" w14:textId="77777777" w:rsidR="009234F0" w:rsidRPr="00226074" w:rsidRDefault="009234F0" w:rsidP="009234F0">
      <w:r>
        <w:rPr>
          <w:noProof/>
        </w:rPr>
        <w:drawing>
          <wp:inline distT="0" distB="0" distL="0" distR="0" wp14:anchorId="4523ABA8" wp14:editId="047D2367">
            <wp:extent cx="6264000" cy="2775600"/>
            <wp:effectExtent l="0" t="0" r="3810" b="5715"/>
            <wp:docPr id="301623714" name="Picture 1" descr="Trust, User Experience &amp; Public Confidence Comparison Graph&#10;This graph shows the Trust Index scores from 12,047 respondents; User Experience satisfaction from 46,072 respondents and Your Police Public Confidence from 47,235 respondents covering the periods: quarter 1 2022/23 through to quarter 4 2024/25.&#10;The blue line shows the trust index score was 80% from 1,001 respondents in Q1 2022/23; 80% from 1,005 respondents in Q2 2022/23; 78% from 1,012 respondents in Q3 2022/23; 75% from 1,004 respondents in Q4 2022/23; 76% from 1,006 respondents in Q1 2023/24; 75% from 1,001 respondents in Q2 2023/24; 78% from 1,002 respondents in Q3 2023/24; 77% from 1,002 respondents in Q4 2023/24; 79% from 1,003 respondents in Q1 2024/25; 79% from 1,001 respondents in Q2 2024/25; 75% from 1,002 respondents in Q3 2024/25; and 75% from 1,008 respondents in Q4 2024/25..&#10;The orange line shows user experience satisfaction was 67% from 3,752 respondents in Q1 2022/23; 66% from 3,783 respondents in Q2 2022/23; 69% from 3,933 respondents in Q3 2022/23; 70% from 3,908 respondents in Q4 2022/23; 68% from 3,885 respondents in Q1 2023/24; 66% from 3,826 respondents in Q2 2023/24; 69% from 3,935 respondents in Q3 2023/24; 71% from 3,845 respondents in Q4 2023/24; 69% from 3,834 respondents in Q1 2024/25; 70% from 3,912 respondents in Q2 2024/25; 70% from 3,744 respondents in Q3 2024/25; and 73% from 3,715 respondents in Q4 2024/25.&#10;The grey line shows Your Police public confidence was 51% from 945 respondents in Q1 2022/23; 52% from 10,243 respondents in Q2 2022/23; 49% from 3,781 respondents in Q3 2022/23; 48% from 1,929 respondents in Q4 2022/23; 43% from 275 respondents in Q1 2023/24; 50% from 8,071 respondents in Q2 2023/24; 49% from 2,598 respondents in Q3 2023/24; 50% from 3,755 respondents in Q4 2023/24; 47% from 857 respondents in Q1 2024/25; 54% from 9,161 respondents in Q2 2024/25; 50% from 1,333 respondents in Q3 2024/25; and 46% from 4,299 respondents in Q4 2024/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842476" name="Picture 1" descr="Trust, User Experience &amp; Public Confidence Comparison Graph&#10;This graph shows the Trust Index scores from 12,047 respondents; User Experience satisfaction from 46,072 respondents and Your Police Public Confidence from 47,235 respondents covering the periods: quarter 1 2022/23 through to quarter 4 2024/25.&#10;The blue line shows the trust index score was 80% from 1,001 respondents in Q1 2022/23; 80% from 1,005 respondents in Q2 2022/23; 78% from 1,012 respondents in Q3 2022/23; 75% from 1,004 respondents in Q4 2022/23; 76% from 1,006 respondents in Q1 2023/24; 75% from 1,001 respondents in Q2 2023/24; 78% from 1,002 respondents in Q3 2023/24; 77% from 1,002 respondents in Q4 2023/24; 79% from 1,003 respondents in Q1 2024/25; 79% from 1,001 respondents in Q2 2024/25; 75% from 1,002 respondents in Q3 2024/25; and 75% from 1,008 respondents in Q4 2024/25..&#10;The orange line shows user experience satisfaction was 67% from 3,752 respondents in Q1 2022/23; 66% from 3,783 respondents in Q2 2022/23; 69% from 3,933 respondents in Q3 2022/23; 70% from 3,908 respondents in Q4 2022/23; 68% from 3,885 respondents in Q1 2023/24; 66% from 3,826 respondents in Q2 2023/24; 69% from 3,935 respondents in Q3 2023/24; 71% from 3,845 respondents in Q4 2023/24; 69% from 3,834 respondents in Q1 2024/25; 70% from 3,912 respondents in Q2 2024/25; 70% from 3,744 respondents in Q3 2024/25; and 73% from 3,715 respondents in Q4 2024/25.&#10;The grey line shows Your Police public confidence was 51% from 945 respondents in Q1 2022/23; 52% from 10,243 respondents in Q2 2022/23; 49% from 3,781 respondents in Q3 2022/23; 48% from 1,929 respondents in Q4 2022/23; 43% from 275 respondents in Q1 2023/24; 50% from 8,071 respondents in Q2 2023/24; 49% from 2,598 respondents in Q3 2023/24; 50% from 3,755 respondents in Q4 2023/24; 47% from 857 respondents in Q1 2024/25; 54% from 9,161 respondents in Q2 2024/25; 50% from 1,333 respondents in Q3 2024/25; and 46% from 4,299 respondents in Q4 2024/25.&#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000" cy="2775600"/>
                    </a:xfrm>
                    <a:prstGeom prst="rect">
                      <a:avLst/>
                    </a:prstGeom>
                    <a:noFill/>
                  </pic:spPr>
                </pic:pic>
              </a:graphicData>
            </a:graphic>
          </wp:inline>
        </w:drawing>
      </w:r>
    </w:p>
    <w:p w14:paraId="11457D0D" w14:textId="77777777" w:rsidR="009234F0" w:rsidRDefault="009234F0" w:rsidP="009234F0">
      <w:pPr>
        <w:pStyle w:val="Heading4"/>
      </w:pPr>
      <w:r>
        <w:t>Experience of contact and determinants of user satisfaction</w:t>
      </w:r>
    </w:p>
    <w:p w14:paraId="31DB174B" w14:textId="77777777" w:rsidR="009234F0" w:rsidRDefault="009234F0" w:rsidP="009234F0">
      <w:r>
        <w:t>User experience is high and stable, with reported satisfaction up three percentage points on the previous quarter. Overall, 73% of respondents were satisfied or very satisfied with their overall experience.</w:t>
      </w:r>
    </w:p>
    <w:p w14:paraId="3D195B3C" w14:textId="77777777" w:rsidR="009234F0" w:rsidRDefault="009234F0" w:rsidP="009234F0">
      <w:r>
        <w:t>Our breakdown of the contact touchpoints below demonstrates high and stable levels of satisfaction. Ease of contact 79% (up four percentage points); Treatment by staff member during initial contact 87% (up one percentage point); Staff understanding what they needed 88% (up one percentage point); Police providing the appropriate response 69% (up four percentage points); Treatment by officers who attended the incident 84% (up two percentage points); and Being adequately informed about progress 54% (up five percentage points) when compared to Quarter 3.</w:t>
      </w:r>
    </w:p>
    <w:p w14:paraId="10CDCF1D" w14:textId="77777777" w:rsidR="009234F0" w:rsidRDefault="009234F0" w:rsidP="009234F0">
      <w:r>
        <w:t>Positive experiences are correlated most strongly with receiving an appropriate response, satisfaction with attending officers and feeling adequately informed about case progress. Respondents tell us their experience was positive because contact was ‘easy’ with quick answer times using 101/999; service advisors and attending officers taking the time to listen to and understand their needs, bringing empathy and compassion to interactions.</w:t>
      </w:r>
    </w:p>
    <w:p w14:paraId="428F357F" w14:textId="77777777" w:rsidR="009234F0" w:rsidRDefault="009234F0" w:rsidP="009234F0">
      <w:r>
        <w:t xml:space="preserve">Our Modernised Contact and Engagement (MCE) Programme is developing our capability to enhance ‘self-service’ opportunities as set out within our </w:t>
      </w:r>
      <w:hyperlink r:id="rId20" w:history="1">
        <w:r w:rsidRPr="00746F00">
          <w:rPr>
            <w:rStyle w:val="Hyperlink"/>
          </w:rPr>
          <w:t>Public Contact and Engagement Strategy</w:t>
        </w:r>
      </w:hyperlink>
      <w:r>
        <w:t>.</w:t>
      </w:r>
    </w:p>
    <w:p w14:paraId="0B041831" w14:textId="77777777" w:rsidR="009234F0" w:rsidRDefault="009234F0" w:rsidP="009234F0">
      <w:r>
        <w:t xml:space="preserve">In addition, our Policing for Our Communities Programme, as set out in our </w:t>
      </w:r>
      <w:hyperlink r:id="rId21" w:history="1">
        <w:r w:rsidRPr="00746F00">
          <w:rPr>
            <w:rStyle w:val="Hyperlink"/>
          </w:rPr>
          <w:t>Three-year Business Plan</w:t>
        </w:r>
      </w:hyperlink>
      <w:r>
        <w:t>, aims to enhance our community policing model by giving the public the right service as quickly and conveniently as possible. We will work to reduce the number of people that service users need to speak to when resolving their incidents and resolve more issues locally, with the allocation of non-urgent calls to local officers who will work to deliver the most efficient and proportionate resolution.</w:t>
      </w:r>
    </w:p>
    <w:p w14:paraId="3720B51E" w14:textId="77777777" w:rsidR="009234F0" w:rsidRPr="00213922" w:rsidRDefault="009234F0" w:rsidP="009234F0">
      <w:pPr>
        <w:pStyle w:val="Heading4"/>
      </w:pPr>
      <w:r>
        <w:lastRenderedPageBreak/>
        <w:t>Factors influencing confidence in local policing</w:t>
      </w:r>
    </w:p>
    <w:p w14:paraId="7CD104E7" w14:textId="77777777" w:rsidR="009234F0" w:rsidRDefault="009234F0" w:rsidP="009234F0">
      <w:r w:rsidRPr="001614E9">
        <w:t>Quarter 4 saw a decrease in public confidence (down</w:t>
      </w:r>
      <w:r>
        <w:t xml:space="preserve"> four</w:t>
      </w:r>
      <w:r w:rsidRPr="001614E9">
        <w:t xml:space="preserve"> percentage points) to 46%. </w:t>
      </w:r>
      <w:r>
        <w:t>While overall user experience and trust remains broadly consistent over time, public confidence in local policing can fluctuate regularly and this is expected.</w:t>
      </w:r>
    </w:p>
    <w:p w14:paraId="79B61D48" w14:textId="77777777" w:rsidR="009234F0" w:rsidRDefault="009234F0" w:rsidP="009234F0">
      <w:r>
        <w:t>We know that confidence is closely affected by how policing is experienced and perceived locally. In Quarter 4, 74% (down six percentage points from the previous quarter) of survey respondents reported feeling very safe or fairly safe in their area; 58% (down three percentage points) agreed that local police are friendly and approachable; and 25% (down five percentage points) agree local police listen to local concerns.</w:t>
      </w:r>
    </w:p>
    <w:p w14:paraId="5A8E4DAA" w14:textId="77777777" w:rsidR="009234F0" w:rsidRDefault="009234F0" w:rsidP="009234F0">
      <w:r>
        <w:t>When respondents are asked why they expressed a lack of confidence, open-text comments related to broader attitudes of policing shaped by a complex range of perception-based factors. Respondents relay negative, sometimes vicarious, past experiences with the police or a sense that police aren’t dealing with or investigating crime within communities, especially non-serious crime. Over a third of respondents remain not certain about whether the police are addressing local concerns and how they are keeping people safe.</w:t>
      </w:r>
    </w:p>
    <w:p w14:paraId="20464C00" w14:textId="77777777" w:rsidR="009234F0" w:rsidRPr="00213922" w:rsidRDefault="009234F0" w:rsidP="009234F0">
      <w:r>
        <w:t>People who self-reported as having recently (in the past 12 months) been a victim or witness of crime (1,519 respondents) and those living in areas most affected by poverty (1,597 respondents) reported the least confidence in local police. When asked what the police could do to support the community more, the key themes for these groups were related to visibility and policing and partner responses for preventing crime and harm in communities.</w:t>
      </w:r>
    </w:p>
    <w:p w14:paraId="43DE5C4A" w14:textId="77777777" w:rsidR="009234F0" w:rsidRDefault="009234F0" w:rsidP="009234F0">
      <w:pPr>
        <w:pStyle w:val="Heading4"/>
      </w:pPr>
      <w:r>
        <w:t>Public trust score and predictors</w:t>
      </w:r>
    </w:p>
    <w:p w14:paraId="448756E1" w14:textId="77777777" w:rsidR="009234F0" w:rsidRDefault="009234F0" w:rsidP="009234F0">
      <w:r w:rsidRPr="001614E9">
        <w:t>Results have remained relatively stable, between 75%-80% since the Trust Index survey was introduced in June 2022. The Trust Index score in March 2025 was the same as last wave (Dec</w:t>
      </w:r>
      <w:r>
        <w:t>ember</w:t>
      </w:r>
      <w:r w:rsidRPr="001614E9">
        <w:t xml:space="preserve"> </w:t>
      </w:r>
      <w:r>
        <w:t>20</w:t>
      </w:r>
      <w:r w:rsidRPr="001614E9">
        <w:t>24) and this time last year (Mar</w:t>
      </w:r>
      <w:r>
        <w:t>ch 20</w:t>
      </w:r>
      <w:r w:rsidRPr="001614E9">
        <w:t>24).</w:t>
      </w:r>
    </w:p>
    <w:p w14:paraId="171CC0F8" w14:textId="77777777" w:rsidR="009234F0" w:rsidRDefault="009234F0" w:rsidP="009234F0">
      <w:r w:rsidRPr="001614E9">
        <w:t>Most people continue to feel Police Scotland upholds its core values, with the proportion of respondents who felt police uphold the values of Respect (66%), Human Rights (67%), Fairness (65%), and Integrity (67%).</w:t>
      </w:r>
    </w:p>
    <w:p w14:paraId="66C29949" w14:textId="77777777" w:rsidR="00624F7D" w:rsidRDefault="00624F7D" w:rsidP="00624F7D">
      <w:pPr>
        <w:pStyle w:val="Heading4"/>
      </w:pPr>
      <w:r>
        <w:t>Drugs Harm/Supply (Strategic Outcome 1)</w:t>
      </w:r>
    </w:p>
    <w:p w14:paraId="527F6341" w14:textId="77777777" w:rsidR="00624F7D" w:rsidRPr="00CA4AFD" w:rsidRDefault="00624F7D" w:rsidP="00624F7D">
      <w:r w:rsidRPr="00CA4AFD">
        <w:t>To support a public health approach to tack</w:t>
      </w:r>
      <w:r>
        <w:t>l</w:t>
      </w:r>
      <w:r w:rsidRPr="00CA4AFD">
        <w:t>ing drug related harms, Police Scotland works collaboratively with key partners and a wide range of third sector agencies. This joint effort focuses on reducing drug related deaths and harms through effective data sharing processes. By collecting and analysing data, we enhance surveillance, identify emerging trends and areas of concern, and ensure that targeted support is directed to the communities most in need. This includes establishing robust referral pathways to connect individuals with appropriate services and interventions.</w:t>
      </w:r>
    </w:p>
    <w:p w14:paraId="7C0F975E" w14:textId="77777777" w:rsidR="00624F7D" w:rsidRPr="001115F0" w:rsidRDefault="00624F7D" w:rsidP="00624F7D">
      <w:pPr>
        <w:pStyle w:val="Heading4"/>
      </w:pPr>
      <w:r w:rsidRPr="001115F0">
        <w:t>Naloxone</w:t>
      </w:r>
      <w:r>
        <w:t xml:space="preserve"> Administrations</w:t>
      </w:r>
    </w:p>
    <w:p w14:paraId="7D2EDA6B" w14:textId="77777777" w:rsidR="00624F7D" w:rsidRPr="00EC0836" w:rsidRDefault="00624F7D" w:rsidP="00624F7D">
      <w:pPr>
        <w:rPr>
          <w:rFonts w:cs="Arial"/>
        </w:rPr>
      </w:pPr>
      <w:r w:rsidRPr="00F05442">
        <w:rPr>
          <w:rFonts w:cs="Arial"/>
        </w:rPr>
        <w:t xml:space="preserve">In the last quarter, to date there have been 51 Naloxone incidents recorded with 72 doses of Naloxone being administered </w:t>
      </w:r>
      <w:r>
        <w:rPr>
          <w:rFonts w:cs="Arial"/>
        </w:rPr>
        <w:t xml:space="preserve">with </w:t>
      </w:r>
      <w:r w:rsidRPr="00F05442">
        <w:rPr>
          <w:rFonts w:cs="Arial"/>
        </w:rPr>
        <w:t>some incidents requir</w:t>
      </w:r>
      <w:r>
        <w:rPr>
          <w:rFonts w:cs="Arial"/>
        </w:rPr>
        <w:t>ing</w:t>
      </w:r>
      <w:r w:rsidRPr="00F05442">
        <w:rPr>
          <w:rFonts w:cs="Arial"/>
        </w:rPr>
        <w:t xml:space="preserve"> multiple naloxone administration</w:t>
      </w:r>
      <w:r>
        <w:rPr>
          <w:rFonts w:cs="Arial"/>
        </w:rPr>
        <w:t>s.</w:t>
      </w:r>
    </w:p>
    <w:p w14:paraId="097E4305" w14:textId="77777777" w:rsidR="00624F7D" w:rsidRPr="00083B7F" w:rsidRDefault="00624F7D" w:rsidP="00624F7D">
      <w:pPr>
        <w:pStyle w:val="Heading4"/>
      </w:pPr>
      <w:r w:rsidRPr="00083B7F">
        <w:lastRenderedPageBreak/>
        <w:t>Drug Related Death</w:t>
      </w:r>
      <w:r>
        <w:t>s</w:t>
      </w:r>
      <w:r w:rsidRPr="00083B7F">
        <w:t xml:space="preserve"> </w:t>
      </w:r>
    </w:p>
    <w:p w14:paraId="4BDDCBF1" w14:textId="77777777" w:rsidR="00624F7D" w:rsidRDefault="00624F7D" w:rsidP="00624F7D">
      <w:r w:rsidRPr="00C730E7">
        <w:t xml:space="preserve">The latest </w:t>
      </w:r>
      <w:hyperlink r:id="rId22" w:history="1">
        <w:r w:rsidRPr="00364802">
          <w:rPr>
            <w:rStyle w:val="Hyperlink"/>
          </w:rPr>
          <w:t>Scottish Government Drug Related Deaths (DRD) dashboard</w:t>
        </w:r>
      </w:hyperlink>
      <w:r w:rsidRPr="00C730E7">
        <w:t xml:space="preserve"> was published on </w:t>
      </w:r>
      <w:r>
        <w:t>11</w:t>
      </w:r>
      <w:r w:rsidRPr="00C730E7">
        <w:t xml:space="preserve"> </w:t>
      </w:r>
      <w:r>
        <w:t>March</w:t>
      </w:r>
      <w:r w:rsidRPr="00C730E7">
        <w:t xml:space="preserve"> 202</w:t>
      </w:r>
      <w:r>
        <w:t>5. The report shows that during 2024 there were 1,065 suspected drug deaths, which was 11% (132) fewer than in 2023. The Greater Glasgow, Lanarkshire and Edinburgh City areas recorded the highest number of suspected drug related deaths (being 236, 127 and 92 respectively). A majority (64%) of suspected drug related deaths were of people aged between 35 and 54 years old. This is broadly in line with previous periods.</w:t>
      </w:r>
    </w:p>
    <w:p w14:paraId="16E5AE13" w14:textId="77777777" w:rsidR="00624F7D" w:rsidRDefault="00624F7D" w:rsidP="00624F7D">
      <w:r>
        <w:t>Data was also provided for Quarter 3 (October to December 2024), with 232 suspected drug deaths recorded. This was a 5% decrease (12) compared to the previous quarter and a decrease of 22% (65) compared to the same period in 2023.</w:t>
      </w:r>
    </w:p>
    <w:p w14:paraId="0453DA5C" w14:textId="77777777" w:rsidR="00624F7D" w:rsidRDefault="00624F7D" w:rsidP="00624F7D">
      <w:r>
        <w:t>Please note that numbers of suspected drug deaths fluctuate from quarter to quarter. Care should be taken not to interpret movements between individual calendar quarters as indicative of any long-term trend.</w:t>
      </w:r>
    </w:p>
    <w:p w14:paraId="1FECAB87" w14:textId="77777777" w:rsidR="00624F7D" w:rsidRPr="007B4E59" w:rsidRDefault="00624F7D" w:rsidP="00624F7D">
      <w:pPr>
        <w:pStyle w:val="Heading4"/>
      </w:pPr>
      <w:r w:rsidRPr="00011568">
        <w:t xml:space="preserve">Serious Organised Crime Groups </w:t>
      </w:r>
      <w:r>
        <w:t>(SOCGs)</w:t>
      </w:r>
    </w:p>
    <w:p w14:paraId="557D250C" w14:textId="77777777" w:rsidR="00624F7D" w:rsidRPr="00FC70B9" w:rsidRDefault="00624F7D" w:rsidP="00624F7D">
      <w:r w:rsidRPr="00FC70B9">
        <w:t>Serious Organised Crime Group Mapping (SOCGM) is a tool used by law enforcement in Scotland to map the characteristics of the individuals and groups that are known through intelligence and operational activity. The following figures are reflective of the SOCGM picture in Scotland as at 2024/25 Quarter 4.</w:t>
      </w:r>
    </w:p>
    <w:p w14:paraId="3D031061" w14:textId="77777777" w:rsidR="00624F7D" w:rsidRPr="00827D93" w:rsidRDefault="00624F7D" w:rsidP="00624F7D">
      <w:r w:rsidRPr="00FC70B9">
        <w:t>Across 2024/25, 28 mapped operations experienced a decrease in their risk score, 20 an increase in risk score and 16 mapped operations experienced no change in score. During 2024/25, 39 mapped operations were archived, as a result of successful operational activity, comprising 31 Police Scotland led operations and 10 investigated by partners. The archived SOCGs had been involved in drugs, immigration, counterfeit goods, rogue traders, human trafficking (labour &amp; sexual exploitation), cybercrime, fraud and money laundering</w:t>
      </w:r>
      <w:r w:rsidRPr="00827D93">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24F7D" w:rsidRPr="0003495F" w14:paraId="2067C6DE" w14:textId="77777777" w:rsidTr="00C66A3E">
        <w:trPr>
          <w:trHeight w:val="680"/>
          <w:tblHeader/>
        </w:trPr>
        <w:tc>
          <w:tcPr>
            <w:tcW w:w="9862" w:type="dxa"/>
            <w:shd w:val="clear" w:color="auto" w:fill="FFE599" w:themeFill="accent4" w:themeFillTint="66"/>
            <w:vAlign w:val="center"/>
            <w:hideMark/>
          </w:tcPr>
          <w:p w14:paraId="39983CF8" w14:textId="77777777" w:rsidR="00624F7D" w:rsidRPr="00D87D1B" w:rsidRDefault="00624F7D" w:rsidP="00C66A3E">
            <w:pPr>
              <w:pStyle w:val="TableHeaderLeft"/>
              <w:rPr>
                <w:color w:val="000000" w:themeColor="text1"/>
              </w:rPr>
            </w:pPr>
            <w:bookmarkStart w:id="28" w:name="Intensity"/>
            <w:bookmarkEnd w:id="28"/>
            <w:r w:rsidRPr="00D87D1B">
              <w:rPr>
                <w:color w:val="000000" w:themeColor="text1"/>
              </w:rPr>
              <w:t xml:space="preserve">Proactive/Preventative Policing – </w:t>
            </w:r>
            <w:r w:rsidRPr="00171F86">
              <w:rPr>
                <w:color w:val="000000" w:themeColor="text1"/>
              </w:rPr>
              <w:t>Operation I</w:t>
            </w:r>
            <w:r>
              <w:rPr>
                <w:color w:val="000000" w:themeColor="text1"/>
              </w:rPr>
              <w:t>NTENSITY</w:t>
            </w:r>
          </w:p>
        </w:tc>
      </w:tr>
      <w:tr w:rsidR="00624F7D" w:rsidRPr="0003495F" w14:paraId="4AE8FEB8" w14:textId="77777777" w:rsidTr="00C66A3E">
        <w:trPr>
          <w:trHeight w:val="680"/>
        </w:trPr>
        <w:tc>
          <w:tcPr>
            <w:tcW w:w="9862" w:type="dxa"/>
            <w:shd w:val="clear" w:color="auto" w:fill="FFF2CC" w:themeFill="accent4" w:themeFillTint="33"/>
            <w:vAlign w:val="center"/>
            <w:hideMark/>
          </w:tcPr>
          <w:p w14:paraId="48450525" w14:textId="77777777" w:rsidR="00624F7D" w:rsidRPr="00171F86" w:rsidRDefault="00624F7D" w:rsidP="00C66A3E">
            <w:pPr>
              <w:pStyle w:val="TableBodyLeft"/>
              <w:rPr>
                <w:color w:val="000000" w:themeColor="text1"/>
              </w:rPr>
            </w:pPr>
            <w:r w:rsidRPr="00171F86">
              <w:rPr>
                <w:color w:val="000000" w:themeColor="text1"/>
              </w:rPr>
              <w:t>Police Scotland has made around 100 arrests, seized more than 200 kilograms of illegal drugs, taken three firearms off the street and safeguarded 11 children as part of a significant investigation to dismantle a Scottish organised crime gang.</w:t>
            </w:r>
          </w:p>
          <w:p w14:paraId="1AE335C2" w14:textId="77777777" w:rsidR="00624F7D" w:rsidRPr="00171F86" w:rsidRDefault="00624F7D" w:rsidP="00C66A3E">
            <w:pPr>
              <w:pStyle w:val="TableBodyLeft"/>
              <w:rPr>
                <w:color w:val="000000" w:themeColor="text1"/>
              </w:rPr>
            </w:pPr>
            <w:r w:rsidRPr="00171F86">
              <w:rPr>
                <w:color w:val="000000" w:themeColor="text1"/>
              </w:rPr>
              <w:t>Operation Intensity, which began in May 2023, involved officers from the Organised Crime and Counter Terrorism Unit and targeted a criminal network operating across the country, including in Dumfries, Ayrshire, and Central Scotland.</w:t>
            </w:r>
          </w:p>
          <w:p w14:paraId="19921ABC" w14:textId="77777777" w:rsidR="00624F7D" w:rsidRPr="00171F86" w:rsidRDefault="00624F7D" w:rsidP="00C66A3E">
            <w:pPr>
              <w:pStyle w:val="TableBodyLeft"/>
              <w:rPr>
                <w:color w:val="000000" w:themeColor="text1"/>
              </w:rPr>
            </w:pPr>
            <w:r w:rsidRPr="00171F86">
              <w:rPr>
                <w:color w:val="000000" w:themeColor="text1"/>
              </w:rPr>
              <w:t>Intelligence indicated the group was well resourced and was exploiting vulnerable people in some of our most deprived communities to fund their crimes.</w:t>
            </w:r>
          </w:p>
          <w:p w14:paraId="15186E2C" w14:textId="77777777" w:rsidR="00624F7D" w:rsidRPr="00171F86" w:rsidRDefault="00624F7D" w:rsidP="00C66A3E">
            <w:pPr>
              <w:pStyle w:val="TableBodyLeft"/>
              <w:rPr>
                <w:color w:val="000000" w:themeColor="text1"/>
              </w:rPr>
            </w:pPr>
            <w:r w:rsidRPr="00171F86">
              <w:rPr>
                <w:color w:val="000000" w:themeColor="text1"/>
              </w:rPr>
              <w:t>Couriers travelling by car were used to operate dealing lines, who were then resupplied from safe houses.</w:t>
            </w:r>
          </w:p>
          <w:p w14:paraId="65475996" w14:textId="77777777" w:rsidR="00624F7D" w:rsidRPr="00171F86" w:rsidRDefault="00624F7D" w:rsidP="00C66A3E">
            <w:pPr>
              <w:pStyle w:val="TableBodyLeft"/>
              <w:rPr>
                <w:color w:val="000000" w:themeColor="text1"/>
              </w:rPr>
            </w:pPr>
            <w:r w:rsidRPr="00171F86">
              <w:rPr>
                <w:color w:val="000000" w:themeColor="text1"/>
              </w:rPr>
              <w:t>The arrests, in both rural and urban areas, took place within a number of local divisions, spanning from Argyll to Tayside.</w:t>
            </w:r>
          </w:p>
          <w:p w14:paraId="7D44B3E5" w14:textId="77777777" w:rsidR="00624F7D" w:rsidRPr="00171F86" w:rsidRDefault="00624F7D" w:rsidP="00C66A3E">
            <w:pPr>
              <w:pStyle w:val="TableBodyLeft"/>
              <w:rPr>
                <w:color w:val="000000" w:themeColor="text1"/>
              </w:rPr>
            </w:pPr>
            <w:r w:rsidRPr="00171F86">
              <w:rPr>
                <w:color w:val="000000" w:themeColor="text1"/>
              </w:rPr>
              <w:lastRenderedPageBreak/>
              <w:t>Forty-six search warrants were executed as part of action to disrupt the gang, which resulted in large quantities of drugs, including cocaine, heroin, ecstasy, pills and herbal cannabis being seized.</w:t>
            </w:r>
          </w:p>
          <w:p w14:paraId="4FB64151" w14:textId="77777777" w:rsidR="00624F7D" w:rsidRPr="00171F86" w:rsidRDefault="00624F7D" w:rsidP="00C66A3E">
            <w:pPr>
              <w:pStyle w:val="TableBodyLeft"/>
              <w:rPr>
                <w:color w:val="000000" w:themeColor="text1"/>
              </w:rPr>
            </w:pPr>
            <w:r w:rsidRPr="00171F86">
              <w:rPr>
                <w:color w:val="000000" w:themeColor="text1"/>
              </w:rPr>
              <w:t>More than £600,000 in cash and firearms, including a handgun, air weapon and a BB gun, were also recovered with ammunition.</w:t>
            </w:r>
          </w:p>
          <w:p w14:paraId="1DF49446" w14:textId="77777777" w:rsidR="00624F7D" w:rsidRPr="00D87D1B" w:rsidRDefault="00624F7D" w:rsidP="00C66A3E">
            <w:pPr>
              <w:pStyle w:val="TableBodyLeft"/>
              <w:rPr>
                <w:color w:val="000000" w:themeColor="text1"/>
              </w:rPr>
            </w:pPr>
            <w:r w:rsidRPr="00171F86">
              <w:rPr>
                <w:color w:val="000000" w:themeColor="text1"/>
              </w:rPr>
              <w:t>Alongside this enforcement activity, 11 children were safeguarded after officers identified they were at risk from the gang as part of their criminal activities. They were referred to partner agencies or passed into the care of family members</w:t>
            </w:r>
            <w:r w:rsidRPr="00F53199">
              <w:rPr>
                <w:color w:val="000000" w:themeColor="text1"/>
              </w:rPr>
              <w:t>.</w:t>
            </w:r>
          </w:p>
        </w:tc>
      </w:tr>
    </w:tbl>
    <w:p w14:paraId="6780C902" w14:textId="77777777" w:rsidR="00624F7D" w:rsidRPr="00EE1D1A" w:rsidRDefault="00624F7D" w:rsidP="00624F7D">
      <w:pPr>
        <w:pStyle w:val="Heading4"/>
      </w:pPr>
      <w:r>
        <w:lastRenderedPageBreak/>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624F7D" w:rsidRPr="004F1401" w14:paraId="385BCD71" w14:textId="77777777" w:rsidTr="00C66A3E">
        <w:trPr>
          <w:tblHeader/>
        </w:trPr>
        <w:tc>
          <w:tcPr>
            <w:tcW w:w="7597" w:type="dxa"/>
            <w:shd w:val="clear" w:color="auto" w:fill="23ACCF"/>
            <w:vAlign w:val="center"/>
          </w:tcPr>
          <w:p w14:paraId="52AC4EB5" w14:textId="77777777" w:rsidR="00624F7D" w:rsidRPr="004F1401" w:rsidRDefault="00624F7D" w:rsidP="00C66A3E">
            <w:pPr>
              <w:pStyle w:val="TableHeaderLeft"/>
            </w:pPr>
            <w:r w:rsidRPr="0082659C">
              <w:t>Mechanism</w:t>
            </w:r>
          </w:p>
        </w:tc>
        <w:tc>
          <w:tcPr>
            <w:tcW w:w="2268" w:type="dxa"/>
            <w:shd w:val="clear" w:color="auto" w:fill="23ACCF"/>
            <w:vAlign w:val="center"/>
          </w:tcPr>
          <w:p w14:paraId="37544EB2" w14:textId="77777777" w:rsidR="00624F7D" w:rsidRPr="0082659C" w:rsidRDefault="00624F7D" w:rsidP="00C66A3E">
            <w:pPr>
              <w:pStyle w:val="TableHeaderCentre"/>
              <w:rPr>
                <w:color w:val="auto"/>
              </w:rPr>
            </w:pPr>
            <w:r w:rsidRPr="0082659C">
              <w:rPr>
                <w:color w:val="auto"/>
              </w:rPr>
              <w:t>Amount</w:t>
            </w:r>
          </w:p>
        </w:tc>
      </w:tr>
      <w:tr w:rsidR="00624F7D" w:rsidRPr="004F1401" w14:paraId="67A5595D" w14:textId="77777777" w:rsidTr="00C66A3E">
        <w:trPr>
          <w:cantSplit/>
          <w:trHeight w:val="680"/>
        </w:trPr>
        <w:tc>
          <w:tcPr>
            <w:tcW w:w="7597" w:type="dxa"/>
            <w:shd w:val="clear" w:color="000000" w:fill="FFFFFF"/>
            <w:vAlign w:val="center"/>
          </w:tcPr>
          <w:p w14:paraId="34E54C88" w14:textId="77777777" w:rsidR="00624F7D" w:rsidRPr="004F1401" w:rsidRDefault="00624F7D" w:rsidP="00C66A3E">
            <w:pPr>
              <w:pStyle w:val="TableBodyLeft"/>
            </w:pPr>
            <w:r>
              <w:t>Proceeds of Crime Act (POCA) – YTD figures for POCA represent those provided to COPFS and CRU for consideration of confiscation and forfeiture</w:t>
            </w:r>
          </w:p>
        </w:tc>
        <w:tc>
          <w:tcPr>
            <w:tcW w:w="2268" w:type="dxa"/>
            <w:shd w:val="clear" w:color="auto" w:fill="auto"/>
            <w:vAlign w:val="center"/>
          </w:tcPr>
          <w:p w14:paraId="5BB5C722" w14:textId="77777777" w:rsidR="00624F7D" w:rsidRPr="00A6090C" w:rsidRDefault="00624F7D" w:rsidP="00C66A3E">
            <w:pPr>
              <w:pStyle w:val="TableBodyCentre"/>
            </w:pPr>
            <w:r w:rsidRPr="00E173B1">
              <w:t>£41,183,560</w:t>
            </w:r>
          </w:p>
        </w:tc>
      </w:tr>
      <w:tr w:rsidR="00624F7D" w:rsidRPr="004F1401" w14:paraId="07AE81CD" w14:textId="77777777" w:rsidTr="00C66A3E">
        <w:trPr>
          <w:cantSplit/>
          <w:trHeight w:val="680"/>
        </w:trPr>
        <w:tc>
          <w:tcPr>
            <w:tcW w:w="7597" w:type="dxa"/>
            <w:shd w:val="clear" w:color="000000" w:fill="FFFFFF"/>
            <w:vAlign w:val="center"/>
          </w:tcPr>
          <w:p w14:paraId="4D6221D8" w14:textId="77777777" w:rsidR="00624F7D" w:rsidRDefault="00624F7D" w:rsidP="00C66A3E">
            <w:pPr>
              <w:pStyle w:val="TableBodyLeft"/>
            </w:pPr>
            <w:r>
              <w:t>Confiscations Orders</w:t>
            </w:r>
          </w:p>
        </w:tc>
        <w:tc>
          <w:tcPr>
            <w:tcW w:w="2268" w:type="dxa"/>
            <w:shd w:val="clear" w:color="auto" w:fill="auto"/>
            <w:vAlign w:val="center"/>
          </w:tcPr>
          <w:p w14:paraId="48B94C3C" w14:textId="77777777" w:rsidR="00624F7D" w:rsidRPr="005B728E" w:rsidRDefault="00624F7D" w:rsidP="00C66A3E">
            <w:pPr>
              <w:pStyle w:val="TableBodyCentre"/>
            </w:pPr>
            <w:r w:rsidRPr="005B728E">
              <w:t>£6,879,513</w:t>
            </w:r>
          </w:p>
        </w:tc>
      </w:tr>
      <w:tr w:rsidR="00624F7D" w:rsidRPr="004F1401" w14:paraId="299D0C1C" w14:textId="77777777" w:rsidTr="00C66A3E">
        <w:trPr>
          <w:cantSplit/>
          <w:trHeight w:val="680"/>
        </w:trPr>
        <w:tc>
          <w:tcPr>
            <w:tcW w:w="7597" w:type="dxa"/>
            <w:shd w:val="clear" w:color="000000" w:fill="FFFFFF"/>
            <w:vAlign w:val="center"/>
          </w:tcPr>
          <w:p w14:paraId="4CB64D72" w14:textId="77777777" w:rsidR="00624F7D" w:rsidRPr="004F1401" w:rsidRDefault="00624F7D" w:rsidP="00C66A3E">
            <w:pPr>
              <w:pStyle w:val="TableBodyLeft"/>
            </w:pPr>
            <w:r>
              <w:t>Civil Recoveries Unit</w:t>
            </w:r>
          </w:p>
        </w:tc>
        <w:tc>
          <w:tcPr>
            <w:tcW w:w="2268" w:type="dxa"/>
            <w:shd w:val="clear" w:color="auto" w:fill="auto"/>
            <w:vAlign w:val="center"/>
          </w:tcPr>
          <w:p w14:paraId="08C5DC31" w14:textId="77777777" w:rsidR="00624F7D" w:rsidRPr="004F1401" w:rsidRDefault="00624F7D" w:rsidP="00C66A3E">
            <w:pPr>
              <w:pStyle w:val="TableBodyCentre"/>
            </w:pPr>
            <w:r w:rsidRPr="005B728E">
              <w:t>£4,956,476</w:t>
            </w:r>
          </w:p>
        </w:tc>
      </w:tr>
    </w:tbl>
    <w:p w14:paraId="08E64C84" w14:textId="77777777" w:rsidR="00624F7D" w:rsidRDefault="00624F7D" w:rsidP="00624F7D">
      <w:pPr>
        <w:pStyle w:val="Heading4"/>
      </w:pPr>
      <w:r w:rsidRPr="00F12FE6">
        <w:t>Disruption Activity</w:t>
      </w:r>
    </w:p>
    <w:p w14:paraId="06121C3A" w14:textId="77777777" w:rsidR="00624F7D" w:rsidRDefault="00624F7D" w:rsidP="00624F7D">
      <w:r>
        <w:t xml:space="preserve">There were successful outcomes in court cases this quarter. At the High Court in Glasgow one male was convicted for drug supply and dangerous driving following an </w:t>
      </w:r>
      <w:r w:rsidRPr="00C21CE4">
        <w:t>Organised Crime and Counter Terrorism</w:t>
      </w:r>
      <w:r>
        <w:t xml:space="preserve"> (OCCTU) operation that took place in the Glasgow area in April 2024. Officers recovered heroin with an estimated street value of £96,000. He was also banned from driving for six years and nine months.</w:t>
      </w:r>
    </w:p>
    <w:p w14:paraId="7FD1A05A" w14:textId="77777777" w:rsidR="00624F7D" w:rsidRDefault="00624F7D" w:rsidP="00624F7D">
      <w:r>
        <w:t>A man was jailed in relation to drugs offences in Aberdeen. He pled guilty to being concerned in the supply of cocaine and amphetamines at the High Court in Edinburgh and was sentenced to seven years in prison.</w:t>
      </w:r>
    </w:p>
    <w:p w14:paraId="2801A13F" w14:textId="77777777" w:rsidR="00624F7D" w:rsidRDefault="00624F7D" w:rsidP="00624F7D">
      <w:r>
        <w:t>Five men have been jailed for a total of more than nine years for their parts in cannabis cultivations worth almost £2.5million in Galashiels.</w:t>
      </w:r>
    </w:p>
    <w:p w14:paraId="6193ADCD" w14:textId="77777777" w:rsidR="00624F7D" w:rsidRDefault="00624F7D" w:rsidP="00624F7D">
      <w:r>
        <w:t>Since the beginning of January, eight people have been convicted of being involved in the supply of controlled drugs in the Scottish Borders.</w:t>
      </w:r>
    </w:p>
    <w:p w14:paraId="797F68FC" w14:textId="77777777" w:rsidR="00624F7D" w:rsidRDefault="00624F7D" w:rsidP="00624F7D">
      <w:pPr>
        <w:rPr>
          <w:rStyle w:val="Strong"/>
        </w:rPr>
      </w:pPr>
      <w:r>
        <w:t>A 38-year-old man was sentenced to two years in jail at Jedburgh Sheriff Court, and two 22-year-old men were sentenced to one year and eight months in jail, following the recovery of cannabis cultivations in Hawick and Jedburgh worth over £300,000</w:t>
      </w:r>
    </w:p>
    <w:p w14:paraId="34420385" w14:textId="77777777" w:rsidR="005C51F4" w:rsidRDefault="005C51F4">
      <w:pPr>
        <w:spacing w:before="0" w:after="160" w:line="259" w:lineRule="auto"/>
        <w:rPr>
          <w:rStyle w:val="Strong"/>
        </w:rPr>
      </w:pPr>
      <w:r>
        <w:rPr>
          <w:rStyle w:val="Strong"/>
        </w:rPr>
        <w:br w:type="page"/>
      </w:r>
    </w:p>
    <w:p w14:paraId="27EB91BF" w14:textId="126B2A4A" w:rsidR="00624F7D" w:rsidRPr="00CA5050" w:rsidRDefault="00624F7D" w:rsidP="00CA5050">
      <w:pPr>
        <w:rPr>
          <w:rStyle w:val="Strong"/>
        </w:rPr>
      </w:pPr>
      <w:r w:rsidRPr="00CA5050">
        <w:rPr>
          <w:rStyle w:val="Strong"/>
        </w:rPr>
        <w:lastRenderedPageBreak/>
        <w:t>January 2025</w:t>
      </w:r>
    </w:p>
    <w:p w14:paraId="13430C27" w14:textId="77777777" w:rsidR="00624F7D" w:rsidRPr="00F53199" w:rsidRDefault="00624F7D" w:rsidP="00624F7D">
      <w:pPr>
        <w:pStyle w:val="Bullets"/>
      </w:pPr>
      <w:r w:rsidRPr="00F53199">
        <w:t xml:space="preserve">Officers searched a property in Thurso, recovering cocaine worth an estimated street value of £70,000 along with a five figure sum of cash. A 33-year-old man </w:t>
      </w:r>
      <w:r>
        <w:t xml:space="preserve">has </w:t>
      </w:r>
      <w:r w:rsidRPr="00F53199">
        <w:t>been arrested and charged in connection with these drugs offences</w:t>
      </w:r>
      <w:r>
        <w:t>.</w:t>
      </w:r>
    </w:p>
    <w:p w14:paraId="0E35FDC0" w14:textId="77777777" w:rsidR="00624F7D" w:rsidRPr="00F53199" w:rsidRDefault="00624F7D" w:rsidP="00624F7D">
      <w:pPr>
        <w:pStyle w:val="Bullets"/>
      </w:pPr>
      <w:r w:rsidRPr="00F53199">
        <w:t>Officers searched a property in Dunfermline under warrant, recovering a quantity of cocaine, worth an estimated street value of £104,000. Two men, aged 25 and 42, were arrested and charged and appeared at court from custody</w:t>
      </w:r>
      <w:r>
        <w:t>.</w:t>
      </w:r>
    </w:p>
    <w:p w14:paraId="48547076" w14:textId="77777777" w:rsidR="00624F7D" w:rsidRPr="00F53199" w:rsidRDefault="00624F7D" w:rsidP="00624F7D">
      <w:pPr>
        <w:pStyle w:val="Bullets"/>
      </w:pPr>
      <w:r w:rsidRPr="00F53199">
        <w:t xml:space="preserve">Officers stopped a vehicle in the Black Isle, Inverness-shire and recovered cannabis, worth an estimated street value of £600,000. Two men, aged 29 and 33, have been arrested and charged in connection with the recovery, appearing at Inverness Sheriff Court. </w:t>
      </w:r>
    </w:p>
    <w:p w14:paraId="6A6B442B" w14:textId="77777777" w:rsidR="00624F7D" w:rsidRPr="00F53199" w:rsidRDefault="00624F7D" w:rsidP="00624F7D">
      <w:pPr>
        <w:pStyle w:val="Bullets"/>
      </w:pPr>
      <w:r w:rsidRPr="00F53199">
        <w:t xml:space="preserve">Officers entered a property in Stirling and recovered approximately 1,400 cannabis plants worth an estimated street value </w:t>
      </w:r>
      <w:r>
        <w:t xml:space="preserve">of </w:t>
      </w:r>
      <w:r w:rsidRPr="00F53199">
        <w:t>£1</w:t>
      </w:r>
      <w:r>
        <w:t xml:space="preserve"> million</w:t>
      </w:r>
      <w:r w:rsidRPr="00F53199">
        <w:t>. Two men, aged 24 and 29, have been arrested in connection with the seizure and were held in custody for court.</w:t>
      </w:r>
    </w:p>
    <w:p w14:paraId="302315A4" w14:textId="77777777" w:rsidR="00624F7D" w:rsidRPr="00F53199" w:rsidRDefault="00624F7D" w:rsidP="00624F7D">
      <w:pPr>
        <w:pStyle w:val="Bullets"/>
      </w:pPr>
      <w:r w:rsidRPr="00F53199">
        <w:t xml:space="preserve">Two men were arrested and charged in connection with drugs offences following the </w:t>
      </w:r>
      <w:r w:rsidRPr="007D67B7">
        <w:t>coordinated</w:t>
      </w:r>
      <w:r w:rsidRPr="00F53199">
        <w:t xml:space="preserve"> execution of search warrants across the force, including West Lothian, Falkirk and Edinburgh. Cannabis cultivations, with an estimated street value of £3.6million were recovered.</w:t>
      </w:r>
    </w:p>
    <w:p w14:paraId="4D01FD42" w14:textId="77777777" w:rsidR="00624F7D" w:rsidRPr="00953564" w:rsidRDefault="00624F7D" w:rsidP="00624F7D">
      <w:pPr>
        <w:rPr>
          <w:rStyle w:val="Strong"/>
        </w:rPr>
      </w:pPr>
      <w:r>
        <w:rPr>
          <w:rStyle w:val="Strong"/>
        </w:rPr>
        <w:t>February</w:t>
      </w:r>
      <w:r w:rsidRPr="00953564">
        <w:rPr>
          <w:rStyle w:val="Strong"/>
        </w:rPr>
        <w:t xml:space="preserve"> 202</w:t>
      </w:r>
      <w:r>
        <w:rPr>
          <w:rStyle w:val="Strong"/>
        </w:rPr>
        <w:t>5</w:t>
      </w:r>
    </w:p>
    <w:p w14:paraId="605DAE28" w14:textId="77777777" w:rsidR="00624F7D" w:rsidRPr="00F53199" w:rsidRDefault="00624F7D" w:rsidP="00624F7D">
      <w:pPr>
        <w:pStyle w:val="Bullets"/>
      </w:pPr>
      <w:r w:rsidRPr="00F53199">
        <w:t xml:space="preserve">Officers from OCCTU, executed several warrants in Dundee, recovering drugs including </w:t>
      </w:r>
      <w:r>
        <w:t>h</w:t>
      </w:r>
      <w:r w:rsidRPr="00F53199">
        <w:t xml:space="preserve">eroin, cocaine and cannabis. The estimated value of the Heroin seized is £30,000. A 51-year-old man </w:t>
      </w:r>
      <w:r>
        <w:t xml:space="preserve">and </w:t>
      </w:r>
      <w:r w:rsidRPr="00F53199">
        <w:t>a 40-year-old woman were arrested and charged in connection with the recoveries</w:t>
      </w:r>
      <w:r>
        <w:t>.</w:t>
      </w:r>
    </w:p>
    <w:p w14:paraId="04EF24ED" w14:textId="77777777" w:rsidR="00624F7D" w:rsidRPr="00787451" w:rsidRDefault="00624F7D" w:rsidP="00624F7D">
      <w:pPr>
        <w:pStyle w:val="Bullets"/>
      </w:pPr>
      <w:r w:rsidRPr="00787451">
        <w:t>Working with Tayside Division, officers from OCCTU seized Class A drugs following an operation in Dundee. Officers searched a flat in the city and recovered four kilos of Cocaine with an estimated street value of £400,000. One male was arrested, charged and held in custody. One person remains outstanding.</w:t>
      </w:r>
    </w:p>
    <w:p w14:paraId="65685D41" w14:textId="77777777" w:rsidR="00624F7D" w:rsidRPr="00787451" w:rsidRDefault="00624F7D" w:rsidP="00624F7D">
      <w:pPr>
        <w:pStyle w:val="Bullets"/>
      </w:pPr>
      <w:r w:rsidRPr="00787451">
        <w:t>Three people were arrested in connection with county lines and human trafficking. Police Scotland coordinated officers across the UK, executing warrants at two properties in Dundee where they arrested a male and female. Two warrants were also executed at properties in Birmingham and Wolverhampton, resulting in the arrest of a 26-year-old man in Birmingham.</w:t>
      </w:r>
    </w:p>
    <w:p w14:paraId="6FCE798D" w14:textId="77777777" w:rsidR="00624F7D" w:rsidRPr="00787451" w:rsidRDefault="00624F7D" w:rsidP="00624F7D">
      <w:pPr>
        <w:pStyle w:val="Bullets"/>
      </w:pPr>
      <w:r w:rsidRPr="00787451">
        <w:t>Officers executed warrants at premises in Elgin, Garmouth and Mosstodloch.</w:t>
      </w:r>
      <w:r>
        <w:t xml:space="preserve"> </w:t>
      </w:r>
      <w:r w:rsidRPr="00787451">
        <w:t>Cocaine, ecstasy and ketamine with an estimated street value of just over £814,000 and £22,500 cash were recovered. Two men were arrested, charged and held in custody for court.</w:t>
      </w:r>
    </w:p>
    <w:p w14:paraId="5F1A087D" w14:textId="77777777" w:rsidR="00624F7D" w:rsidRPr="00491DAC" w:rsidRDefault="00624F7D" w:rsidP="00624F7D">
      <w:pPr>
        <w:pStyle w:val="Bullets"/>
      </w:pPr>
      <w:r w:rsidRPr="00787451">
        <w:t>Warrants were executed across West Lothian resulting in four people being arrested in connection with organised crime and drugs offences. The activity forms part of an ongoing investigation, Operation Silhouette</w:t>
      </w:r>
      <w:r>
        <w:t>,</w:t>
      </w:r>
      <w:r w:rsidRPr="00787451">
        <w:t xml:space="preserve"> and is led by OCCTU. Locations searched included premises within Fauldhouse, West Calder, Polbeth and Livingston. Officers </w:t>
      </w:r>
      <w:r w:rsidRPr="00787451">
        <w:lastRenderedPageBreak/>
        <w:t>recovered 21.5kg of cocaine, worth an estimated street value of £1,000,000, and seized around £80,000 cash. Three men and a woman were arrested.</w:t>
      </w:r>
    </w:p>
    <w:p w14:paraId="04C47D67" w14:textId="77777777" w:rsidR="00624F7D" w:rsidRPr="00953564" w:rsidRDefault="00624F7D" w:rsidP="00624F7D">
      <w:pPr>
        <w:rPr>
          <w:rStyle w:val="Strong"/>
        </w:rPr>
      </w:pPr>
      <w:r>
        <w:rPr>
          <w:rStyle w:val="Strong"/>
        </w:rPr>
        <w:t>March</w:t>
      </w:r>
      <w:r w:rsidRPr="00953564">
        <w:rPr>
          <w:rStyle w:val="Strong"/>
        </w:rPr>
        <w:t xml:space="preserve"> 202</w:t>
      </w:r>
      <w:r>
        <w:rPr>
          <w:rStyle w:val="Strong"/>
        </w:rPr>
        <w:t>5</w:t>
      </w:r>
    </w:p>
    <w:p w14:paraId="010B91AB" w14:textId="77777777" w:rsidR="00624F7D" w:rsidRPr="00787451" w:rsidRDefault="00624F7D" w:rsidP="00624F7D">
      <w:pPr>
        <w:pStyle w:val="Bullets"/>
      </w:pPr>
      <w:r w:rsidRPr="00787451">
        <w:t>Cocaine and heroin with an estimated street value of £100,000 was recovered from a property in Glasgow. Officers executed a warrant at the flat where 3kgs of cocaine and 1kg of heroin were seized.</w:t>
      </w:r>
    </w:p>
    <w:p w14:paraId="33DFF7E8" w14:textId="77777777" w:rsidR="00624F7D" w:rsidRPr="00787451" w:rsidRDefault="00624F7D" w:rsidP="00624F7D">
      <w:pPr>
        <w:pStyle w:val="Bullets"/>
      </w:pPr>
      <w:r w:rsidRPr="00787451">
        <w:t>A 43-year-old man w</w:t>
      </w:r>
      <w:r>
        <w:t>as</w:t>
      </w:r>
      <w:r w:rsidRPr="00787451">
        <w:t xml:space="preserve"> arrested and charged in connection with drugs offences in Stranraer. Officers acting under warrant attended an address in the town, recovering drugs with an estimated street value of £38,000.</w:t>
      </w:r>
    </w:p>
    <w:p w14:paraId="32364E42" w14:textId="77777777" w:rsidR="00624F7D" w:rsidRPr="00787451" w:rsidRDefault="00624F7D" w:rsidP="00624F7D">
      <w:pPr>
        <w:pStyle w:val="Bullets"/>
      </w:pPr>
      <w:r w:rsidRPr="00787451">
        <w:t xml:space="preserve">Two men were arrested and charged following a drugs recovery in North Lanarkshire. Officers executed a search warrant in Motherwell where quantities of heroin, cocaine, and cannabis were recovered, with an estimated street value of £145,950.  </w:t>
      </w:r>
    </w:p>
    <w:p w14:paraId="68650A2F" w14:textId="77777777" w:rsidR="00624F7D" w:rsidRPr="00787451" w:rsidRDefault="00624F7D" w:rsidP="00624F7D">
      <w:pPr>
        <w:pStyle w:val="Bullets"/>
      </w:pPr>
      <w:r w:rsidRPr="00787451">
        <w:t>Three women were arrested and charged after drugs were recovered in Inverclyde.  Officers acting under warrant attended addresses in Port Glasgow. Cannabis with a street value of around £214,000 was recovered.</w:t>
      </w:r>
    </w:p>
    <w:p w14:paraId="0744AB38" w14:textId="77777777" w:rsidR="00624F7D" w:rsidRPr="00787451" w:rsidRDefault="00624F7D" w:rsidP="00624F7D">
      <w:pPr>
        <w:pStyle w:val="Bullets"/>
      </w:pPr>
      <w:r w:rsidRPr="00787451">
        <w:t>Officers acting under warrant attended an address in Wishaw where quantities of drugs were recovered, including cocaine and benzocaine with a street value of around £150,000. A 28-year-old man appeared from custody at Hamilton Sheriff Court.</w:t>
      </w:r>
    </w:p>
    <w:p w14:paraId="706941FB" w14:textId="77777777" w:rsidR="00624F7D" w:rsidRPr="00787451" w:rsidRDefault="00624F7D" w:rsidP="00624F7D">
      <w:pPr>
        <w:pStyle w:val="Bullets"/>
      </w:pPr>
      <w:r w:rsidRPr="00787451">
        <w:t>Officers executed warrants at 2 properties in Aberdeen on Friday, 21 March. Three men were arrested and charged following the recovery of drugs with an estimated street value of £1 million and £7,000 in cash.</w:t>
      </w:r>
    </w:p>
    <w:p w14:paraId="111534B2" w14:textId="77777777" w:rsidR="00624F7D" w:rsidRDefault="00624F7D" w:rsidP="00624F7D">
      <w:pPr>
        <w:pStyle w:val="Bullets"/>
      </w:pPr>
      <w:r w:rsidRPr="00787451">
        <w:t>A man was arrested and charged following the recovery of drugs with an estimated street value of around £436,400 in Glasgow. Acting on intelligence, officers attended at a property where cannabis plants valued at £409,800 and herbal cannabis valued at £26,600 were recovered. The 47-year-old appeared at Glasgow Sheriff Court from custody.</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24F7D" w:rsidRPr="0003495F" w14:paraId="2D92EBC9" w14:textId="77777777" w:rsidTr="00C66A3E">
        <w:trPr>
          <w:trHeight w:val="680"/>
          <w:tblHeader/>
        </w:trPr>
        <w:tc>
          <w:tcPr>
            <w:tcW w:w="9862" w:type="dxa"/>
            <w:shd w:val="clear" w:color="auto" w:fill="FFE599" w:themeFill="accent4" w:themeFillTint="66"/>
            <w:vAlign w:val="center"/>
            <w:hideMark/>
          </w:tcPr>
          <w:p w14:paraId="7593438A" w14:textId="77777777" w:rsidR="00624F7D" w:rsidRPr="00D87D1B" w:rsidRDefault="00624F7D" w:rsidP="00C66A3E">
            <w:pPr>
              <w:pStyle w:val="TableHeaderLeft"/>
              <w:rPr>
                <w:color w:val="000000" w:themeColor="text1"/>
              </w:rPr>
            </w:pPr>
            <w:bookmarkStart w:id="29" w:name="CountyLines"/>
            <w:bookmarkEnd w:id="29"/>
            <w:r w:rsidRPr="00D87D1B">
              <w:rPr>
                <w:color w:val="000000" w:themeColor="text1"/>
              </w:rPr>
              <w:t xml:space="preserve">Proactive/Preventative Policing – </w:t>
            </w:r>
            <w:r w:rsidRPr="00F53199">
              <w:rPr>
                <w:color w:val="000000" w:themeColor="text1"/>
              </w:rPr>
              <w:t>County Lines Awareness</w:t>
            </w:r>
          </w:p>
        </w:tc>
      </w:tr>
      <w:tr w:rsidR="00624F7D" w:rsidRPr="0003495F" w14:paraId="767150FD" w14:textId="77777777" w:rsidTr="00C66A3E">
        <w:trPr>
          <w:trHeight w:val="680"/>
        </w:trPr>
        <w:tc>
          <w:tcPr>
            <w:tcW w:w="9862" w:type="dxa"/>
            <w:shd w:val="clear" w:color="auto" w:fill="FFF2CC" w:themeFill="accent4" w:themeFillTint="33"/>
            <w:vAlign w:val="center"/>
            <w:hideMark/>
          </w:tcPr>
          <w:p w14:paraId="786C5229" w14:textId="77777777" w:rsidR="00624F7D" w:rsidRPr="00F53199" w:rsidRDefault="00624F7D" w:rsidP="00C66A3E">
            <w:pPr>
              <w:pStyle w:val="TableBodyLeft"/>
              <w:rPr>
                <w:color w:val="000000" w:themeColor="text1"/>
              </w:rPr>
            </w:pPr>
            <w:r w:rsidRPr="00F53199">
              <w:rPr>
                <w:color w:val="000000" w:themeColor="text1"/>
              </w:rPr>
              <w:t xml:space="preserve">Officers hosted an information session on County Lines and its impact on communities for third-sector organisations and partner agencies in the Highlands and Islands </w:t>
            </w:r>
            <w:r>
              <w:rPr>
                <w:color w:val="000000" w:themeColor="text1"/>
              </w:rPr>
              <w:t>in</w:t>
            </w:r>
            <w:r w:rsidRPr="00F53199">
              <w:rPr>
                <w:color w:val="000000" w:themeColor="text1"/>
              </w:rPr>
              <w:t xml:space="preserve"> January 2025.</w:t>
            </w:r>
          </w:p>
          <w:p w14:paraId="6E98EE6C" w14:textId="77777777" w:rsidR="00624F7D" w:rsidRPr="00F53199" w:rsidRDefault="00624F7D" w:rsidP="00C66A3E">
            <w:pPr>
              <w:pStyle w:val="TableBodyLeft"/>
              <w:rPr>
                <w:color w:val="000000" w:themeColor="text1"/>
              </w:rPr>
            </w:pPr>
            <w:r w:rsidRPr="00F53199">
              <w:rPr>
                <w:color w:val="000000" w:themeColor="text1"/>
              </w:rPr>
              <w:t>The session provided attendees with valuable insights into the methods used by organised crime groups to exploit vulnerable individuals and transport drugs into Scottish towns and cities.</w:t>
            </w:r>
          </w:p>
          <w:p w14:paraId="7BFF8510" w14:textId="77777777" w:rsidR="00624F7D" w:rsidRPr="00F53199" w:rsidRDefault="00624F7D" w:rsidP="00C66A3E">
            <w:pPr>
              <w:pStyle w:val="TableBodyLeft"/>
              <w:rPr>
                <w:color w:val="000000" w:themeColor="text1"/>
              </w:rPr>
            </w:pPr>
            <w:r w:rsidRPr="00F53199">
              <w:rPr>
                <w:color w:val="000000" w:themeColor="text1"/>
              </w:rPr>
              <w:t>Participants explored the tactics employed by criminal networks, the signs of exploitation, and the collective actions that can be taken to protect our communities.</w:t>
            </w:r>
          </w:p>
          <w:p w14:paraId="14A0C34E" w14:textId="77777777" w:rsidR="00624F7D" w:rsidRPr="00D87D1B" w:rsidRDefault="00624F7D" w:rsidP="00C66A3E">
            <w:pPr>
              <w:pStyle w:val="TableBodyLeft"/>
              <w:rPr>
                <w:color w:val="000000" w:themeColor="text1"/>
              </w:rPr>
            </w:pPr>
            <w:r w:rsidRPr="00F53199">
              <w:rPr>
                <w:color w:val="000000" w:themeColor="text1"/>
              </w:rPr>
              <w:t>Police Scotland continues to work closely with partners to disrupt criminal networks and provide support to those affected by exploitation.</w:t>
            </w:r>
          </w:p>
        </w:tc>
      </w:tr>
    </w:tbl>
    <w:p w14:paraId="743CE8F3" w14:textId="77777777" w:rsidR="00624F7D" w:rsidRDefault="00624F7D" w:rsidP="00624F7D">
      <w:pPr>
        <w:pStyle w:val="Heading4"/>
      </w:pPr>
      <w:r>
        <w:lastRenderedPageBreak/>
        <w:t>Missing Persons (Strategic Outcome 1)</w:t>
      </w:r>
    </w:p>
    <w:p w14:paraId="5FC1B9F9" w14:textId="77777777" w:rsidR="00624F7D" w:rsidRDefault="00624F7D" w:rsidP="00624F7D">
      <w:pPr>
        <w:rPr>
          <w:rFonts w:cs="Arial"/>
        </w:rPr>
      </w:pPr>
      <w:r>
        <w:rPr>
          <w:noProof/>
        </w:rPr>
        <w:drawing>
          <wp:inline distT="0" distB="0" distL="0" distR="0" wp14:anchorId="63C978FF" wp14:editId="4333C459">
            <wp:extent cx="6188710" cy="2107565"/>
            <wp:effectExtent l="0" t="0" r="2540" b="6985"/>
            <wp:docPr id="607828534" name="Picture 1" descr="Missing Persons YTD Comparison Table&#10;The first row shows 16,359 missing persons investigations PYTD compared to 14,706 YTD (down 10.1% on last year). The six month sparkline shows a high of 1,361 investigations in October; 1,214 investigations in November; a low of 964 investigations in December; 999 investigations in January; 1,018 investigations in February and 1,182 investigations in March.&#10;The second row shows 2,000 missing persons investigations where they were missing previously PYTD compared to 1,800 YTD (down 10.0% on last year). The six month sparkline for those missing previously shows a high of 169 in October; 142 in November; a low of 106 in December; 111 in January; 110 in February and 147 in March.&#10;The third row shows 1,392 missing persons investigations from NHS PYTD compared to 1,331 YTD (down 4.4% on last year). The six month sparkline for those missing from NHS shows a high of 119 in October; a low of 96 in November; 101 in December; 100 in January; 98 in February; and 118 in March.&#10;The fourth row shows 3,114 missing persons investigations from RCH PYTD compared to 3,065 YTD (down 1.6% on last year). The six month sparkline for those missing from RCH shows a high of 300 in October; 262 in November; a low of 193 in December; 206 in January; 210 in February; and 230 in March.&#10;The fifth row shows 410 missing persons investigations from Foster Care PYTD compared to 254 YTD (down 38.0% on last year). The six month sparkline for those missing from Foster Care shows a high of 23 in October; 14 in November; 10 in December; a low of 9 in January; 15 in February; and 18 in March.&#10;The sixth row shows 5,085 missing persons investigations with a mental health marker PYTD compared to 4,559 YTD (down 10.3% on last year). The six month sparkline for those missing with a mental health marker shows a high of 426 in October; 364 in November; a low of 300 in December; 338 in January; 322 in February; and 360 in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69524" name="Picture 1" descr="Missing Persons YTD Comparison Table&#10;The first row shows 16,359 missing persons investigations PYTD compared to 14,706 YTD (down 10.1% on last year). The six month sparkline shows a high of 1,361 investigations in October; 1,214 investigations in November; a low of 964 investigations in December; 999 investigations in January; 1,018 investigations in February and 1,182 investigations in March.&#10;The second row shows 2,000 missing persons investigations where they were missing previously PYTD compared to 1,800 YTD (down 10.0% on last year). The six month sparkline for those missing previously shows a high of 169 in October; 142 in November; a low of 106 in December; 111 in January; 110 in February and 147 in March.&#10;The third row shows 1,392 missing persons investigations from NHS PYTD compared to 1,331 YTD (down 4.4% on last year). The six month sparkline for those missing from NHS shows a high of 119 in October; a low of 96 in November; 101 in December; 100 in January; 98 in February; and 118 in March.&#10;The fourth row shows 3,114 missing persons investigations from RCH PYTD compared to 3,065 YTD (down 1.6% on last year). The six month sparkline for those missing from RCH shows a high of 300 in October; 262 in November; a low of 193 in December; 206 in January; 210 in February; and 230 in March.&#10;The fifth row shows 410 missing persons investigations from Foster Care PYTD compared to 254 YTD (down 38.0% on last year). The six month sparkline for those missing from Foster Care shows a high of 23 in October; 14 in November; 10 in December; a low of 9 in January; 15 in February; and 18 in March.&#10;The sixth row shows 5,085 missing persons investigations with a mental health marker PYTD compared to 4,559 YTD (down 10.3% on last year). The six month sparkline for those missing with a mental health marker shows a high of 426 in October; 364 in November; a low of 300 in December; 338 in January; 322 in February; and 360 in March.&#10;"/>
                    <pic:cNvPicPr/>
                  </pic:nvPicPr>
                  <pic:blipFill>
                    <a:blip r:embed="rId23"/>
                    <a:stretch>
                      <a:fillRect/>
                    </a:stretch>
                  </pic:blipFill>
                  <pic:spPr>
                    <a:xfrm>
                      <a:off x="0" y="0"/>
                      <a:ext cx="6188710" cy="2107565"/>
                    </a:xfrm>
                    <a:prstGeom prst="rect">
                      <a:avLst/>
                    </a:prstGeom>
                  </pic:spPr>
                </pic:pic>
              </a:graphicData>
            </a:graphic>
          </wp:inline>
        </w:drawing>
      </w:r>
    </w:p>
    <w:p w14:paraId="26085D80" w14:textId="77777777" w:rsidR="00624F7D" w:rsidRDefault="00624F7D" w:rsidP="00624F7D">
      <w:pPr>
        <w:rPr>
          <w:rFonts w:cs="Arial"/>
        </w:rPr>
      </w:pPr>
      <w:r>
        <w:rPr>
          <w:noProof/>
        </w:rPr>
        <w:drawing>
          <wp:inline distT="0" distB="0" distL="0" distR="0" wp14:anchorId="340071E2" wp14:editId="101DC5FE">
            <wp:extent cx="6188710" cy="2098675"/>
            <wp:effectExtent l="0" t="0" r="2540" b="0"/>
            <wp:docPr id="2066620013" name="Picture 1" descr="Missing Persons Five-Year Comparison Table&#10;The first row shows the five-year mean for missing persons investigations is 16,136.8 compared to 14,706 YTD (down 8.9% on five-year mean). The five-year sparkline shows a low of 14,385 investigations in 2020/21; 17,268 investigations in 2021/22; a high of 17,966 investigations in 2022/23; 16,359 investigations in 2023/24; and 14,706 investigations in 2024/25 YTD.&#10;The second row shows the five-year mean for missing persons investigations where they were missing previously is 1,912.0 compared to 1,800 YTD (down 5.9% on five-year mean). The five-year sparkline for those missing previously shows a low of 1,612 in 2020/21; 1,991 in 2021/22; a high of 2,157 in 2022/23; 2,000 in 2023/24; and 1,800 in 2024/25 YTD.&#10;The third row shows the five-year mean for missing persons investigations from NHS is 1,496.8 compared to 1,331 YTD (down 11.1% on five-year mean). The five-year sparkline for those missing from NHS shows a low of 1,272 in 2020/21; 1,692 in 2021/22; a high of 1,797 in 2022/23; 1,392 in 2023/24; and 1,331 in 2024/25 YTD.&#10;The fourth row shows the five-year mean for missing persons investigations from RCH is 3,258.4 compared to 3,065 YTD (down 5.9% on five-year mean). The five-year sparkline for those missing from RCH shows 3,390 in 2020/21; a high of 3,537 in 2021/22; 3,186 in 2022/23; 3,114 in 2023/24; and a low of 3,065 in 2024/25 YTD.&#10;The fifth row shows the five-year mean for missing persons investigations from Foster Care is 356.6 compared to 254 YTD (down 28.8% on five-year mean). The five-year sparkline for those missing from Foster Care shows 259 in 2020/21; 382 in 2021/22; a high of 478 in 2022/23; 410 in 2023/24 and a low of 254 in 2024/25 YTD.&#10;The sixth row shows the five-year mean for missing persons investigations with a mental health marker is 5,132.8 compared to 4,559 YTD (down 11.2% on five-year mean). The five-year sparkline for those missing with a mental health marker shows 4,796 in 2020/21; a high of 5,709 in 2021/22; 5,515 in 2022/23; 5,085 in 2023/24; and a low of 4,559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9350" name="Picture 1" descr="Missing Persons Five-Year Comparison Table&#10;The first row shows the five-year mean for missing persons investigations is 16,136.8 compared to 14,706 YTD (down 8.9% on five-year mean). The five-year sparkline shows a low of 14,385 investigations in 2020/21; 17,268 investigations in 2021/22; a high of 17,966 investigations in 2022/23; 16,359 investigations in 2023/24; and 14,706 investigations in 2024/25 YTD.&#10;The second row shows the five-year mean for missing persons investigations where they were missing previously is 1,912.0 compared to 1,800 YTD (down 5.9% on five-year mean). The five-year sparkline for those missing previously shows a low of 1,612 in 2020/21; 1,991 in 2021/22; a high of 2,157 in 2022/23; 2,000 in 2023/24; and 1,800 in 2024/25 YTD.&#10;The third row shows the five-year mean for missing persons investigations from NHS is 1,496.8 compared to 1,331 YTD (down 11.1% on five-year mean). The five-year sparkline for those missing from NHS shows a low of 1,272 in 2020/21; 1,692 in 2021/22; a high of 1,797 in 2022/23; 1,392 in 2023/24; and 1,331 in 2024/25 YTD.&#10;The fourth row shows the five-year mean for missing persons investigations from RCH is 3,258.4 compared to 3,065 YTD (down 5.9% on five-year mean). The five-year sparkline for those missing from RCH shows 3,390 in 2020/21; a high of 3,537 in 2021/22; 3,186 in 2022/23; 3,114 in 2023/24; and a low of 3,065 in 2024/25 YTD.&#10;The fifth row shows the five-year mean for missing persons investigations from Foster Care is 356.6 compared to 254 YTD (down 28.8% on five-year mean). The five-year sparkline for those missing from Foster Care shows 259 in 2020/21; 382 in 2021/22; a high of 478 in 2022/23; 410 in 2023/24 and a low of 254 in 2024/25 YTD.&#10;The sixth row shows the five-year mean for missing persons investigations with a mental health marker is 5,132.8 compared to 4,559 YTD (down 11.2% on five-year mean). The five-year sparkline for those missing with a mental health marker shows 4,796 in 2020/21; a high of 5,709 in 2021/22; 5,515 in 2022/23; 5,085 in 2023/24; and a low of 4,559 in 2024/25 YTD.&#10;"/>
                    <pic:cNvPicPr/>
                  </pic:nvPicPr>
                  <pic:blipFill>
                    <a:blip r:embed="rId24"/>
                    <a:stretch>
                      <a:fillRect/>
                    </a:stretch>
                  </pic:blipFill>
                  <pic:spPr>
                    <a:xfrm>
                      <a:off x="0" y="0"/>
                      <a:ext cx="6188710" cy="2098675"/>
                    </a:xfrm>
                    <a:prstGeom prst="rect">
                      <a:avLst/>
                    </a:prstGeom>
                  </pic:spPr>
                </pic:pic>
              </a:graphicData>
            </a:graphic>
          </wp:inline>
        </w:drawing>
      </w:r>
    </w:p>
    <w:p w14:paraId="29F7BB63" w14:textId="77777777" w:rsidR="00624F7D" w:rsidRDefault="00624F7D" w:rsidP="00624F7D">
      <w:pPr>
        <w:rPr>
          <w:rFonts w:cs="Arial"/>
        </w:rPr>
      </w:pPr>
      <w:r>
        <w:rPr>
          <w:noProof/>
        </w:rPr>
        <w:drawing>
          <wp:inline distT="0" distB="0" distL="0" distR="0" wp14:anchorId="61416169" wp14:editId="2442E591">
            <wp:extent cx="6188710" cy="1750060"/>
            <wp:effectExtent l="0" t="0" r="2540" b="2540"/>
            <wp:docPr id="754580609" name="Picture 1" descr="Missing Persons Proportion YTD Comparison Table&#10;The first row shows the proportion of missing persons investigations – missing previously was 12.2% PYTD compared to 12.2% YTD (no change from last year). &#10;The second row shows the proportion of missing persons investigations from NHS was 8.5% PYTD compared to 9.1% YTD (up 0.6% points on last year). &#10;The third row shows the proportion of missing persons investigations from RCH was 19.0% PYTD compared to 20.8% YTD (up 1.8% points on last year). &#10;The fourth row shows the proportion of missing persons investigations from Foster Care was 2.5% PYTD compared to 1.7% YTD (down 0.8% points on last year).&#10;The fifth row shows the proportion of missing persons investigations with a mental health marker was 31.1% PYTD compared to 31.0% YTD (Down 0.1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7727" name="Picture 1" descr="Missing Persons Proportion YTD Comparison Table&#10;The first row shows the proportion of missing persons investigations – missing previously was 12.2% PYTD compared to 12.2% YTD (no change from last year). &#10;The second row shows the proportion of missing persons investigations from NHS was 8.5% PYTD compared to 9.1% YTD (up 0.6% points on last year). &#10;The third row shows the proportion of missing persons investigations from RCH was 19.0% PYTD compared to 20.8% YTD (up 1.8% points on last year). &#10;The fourth row shows the proportion of missing persons investigations from Foster Care was 2.5% PYTD compared to 1.7% YTD (down 0.8% points on last year).&#10;The fifth row shows the proportion of missing persons investigations with a mental health marker was 31.1% PYTD compared to 31.0% YTD (Down 0.1 points on last year).&#10;"/>
                    <pic:cNvPicPr/>
                  </pic:nvPicPr>
                  <pic:blipFill>
                    <a:blip r:embed="rId25"/>
                    <a:stretch>
                      <a:fillRect/>
                    </a:stretch>
                  </pic:blipFill>
                  <pic:spPr>
                    <a:xfrm>
                      <a:off x="0" y="0"/>
                      <a:ext cx="6188710" cy="1750060"/>
                    </a:xfrm>
                    <a:prstGeom prst="rect">
                      <a:avLst/>
                    </a:prstGeom>
                  </pic:spPr>
                </pic:pic>
              </a:graphicData>
            </a:graphic>
          </wp:inline>
        </w:drawing>
      </w:r>
    </w:p>
    <w:p w14:paraId="1FDC8E2C" w14:textId="6F8E89FA" w:rsidR="00624F7D" w:rsidRDefault="00624F7D" w:rsidP="00624F7D">
      <w:r w:rsidRPr="0011258A">
        <w:t>The number of missing person investigations has significantly decreased by 1</w:t>
      </w:r>
      <w:r>
        <w:t>,</w:t>
      </w:r>
      <w:r w:rsidRPr="0011258A">
        <w:t>653 (</w:t>
      </w:r>
      <w:r>
        <w:t xml:space="preserve">down </w:t>
      </w:r>
      <w:r w:rsidRPr="0011258A">
        <w:t xml:space="preserve">10.1%) compared to the same period last year. The number of missing persons missing previously and the number of investigations with a mental health (MH) marker have both decreased compared to the same period last year and from the </w:t>
      </w:r>
      <w:r>
        <w:t>five</w:t>
      </w:r>
      <w:r w:rsidRPr="0011258A">
        <w:t>-year mean. Quarter 4 has recorded the lowest figures for the last three years falling by 11.9% from Quarter 3.</w:t>
      </w:r>
    </w:p>
    <w:p w14:paraId="6FC66178" w14:textId="77777777" w:rsidR="005C51F4" w:rsidRDefault="00624F7D" w:rsidP="00624F7D">
      <w:r w:rsidRPr="00A46467">
        <w:t xml:space="preserve">There is no single reason or causal factor for the continued decreasing trend on missing person investigations. The introduction and development of the </w:t>
      </w:r>
      <w:r>
        <w:t xml:space="preserve">Missing Person </w:t>
      </w:r>
      <w:r w:rsidRPr="00A46467">
        <w:t>Framework and joint working approaches at local and national level being undertaken, the use of national protocols and local interventions</w:t>
      </w:r>
      <w:r>
        <w:t xml:space="preserve"> and improved call management</w:t>
      </w:r>
      <w:r w:rsidRPr="00A46467">
        <w:t xml:space="preserve"> are all contributing to the decreasing number of missing persons investigations</w:t>
      </w:r>
      <w:r>
        <w:t>.</w:t>
      </w:r>
    </w:p>
    <w:p w14:paraId="6B46F337" w14:textId="50FF5E02" w:rsidR="00624F7D" w:rsidRDefault="00624F7D" w:rsidP="00624F7D">
      <w:r w:rsidRPr="00A46467">
        <w:lastRenderedPageBreak/>
        <w:t>Alongside this, it is anticipated that alignment to the mental health pathways will provide suitable interventions and contribute to the reducing trend.</w:t>
      </w:r>
    </w:p>
    <w:p w14:paraId="1BED7EE4" w14:textId="77777777" w:rsidR="00624F7D" w:rsidRDefault="00624F7D" w:rsidP="00624F7D">
      <w:r>
        <w:t>The most recent HMICS inspection acknowledges that Police Scotland provide a robust response to missing persons and acknowledges the examples of key areas of good practice. Key improvement work cited in the HMICS inspection report highlights the importance of consistency and leadership nationally on missing person matters to ensure training, guidance, and use of technology are as current as they can be. The National Missing Person Unit are leading on the delivery of this improvement work.</w:t>
      </w:r>
    </w:p>
    <w:p w14:paraId="0129B8B0" w14:textId="77777777" w:rsidR="00624F7D" w:rsidRPr="00E173B1" w:rsidRDefault="00624F7D" w:rsidP="00624F7D">
      <w:pPr>
        <w:pStyle w:val="Heading4"/>
      </w:pPr>
      <w:r w:rsidRPr="00E173B1">
        <w:t>Management of STORM incidents</w:t>
      </w:r>
    </w:p>
    <w:p w14:paraId="389EF2D5" w14:textId="77777777" w:rsidR="00624F7D" w:rsidRDefault="00624F7D" w:rsidP="00624F7D">
      <w:r>
        <w:t xml:space="preserve">Analysis of missing person incidents recorded by the command-and-control system (STORM) support the wider decreasing trend where, for the corresponding periods, there is a decreasing volume of final missing person codes (PW-25’s). The trend is further supported by the reduction of </w:t>
      </w:r>
      <w:r w:rsidRPr="00886D2F">
        <w:t>outcomes where the missing person is found deceased</w:t>
      </w:r>
      <w:r>
        <w:t>, recording</w:t>
      </w:r>
      <w:r w:rsidRPr="00886D2F">
        <w:t xml:space="preserve"> </w:t>
      </w:r>
      <w:r>
        <w:t>a 23.0% decrease on the same period last year.</w:t>
      </w:r>
    </w:p>
    <w:p w14:paraId="44D6A661" w14:textId="77777777" w:rsidR="00624F7D" w:rsidRDefault="00624F7D" w:rsidP="00624F7D">
      <w:r>
        <w:t>Further analysis considers STORM closure codes such as Concern for Person and Assist Member of the Public for the relative period. There has been no demonstrable increase in either of these closure codes being used to finalise calls when the storm incident was initially recorded as PW-25 missing persons. This enables us to have confidence that there is no differing approach to management of such calls.</w:t>
      </w:r>
    </w:p>
    <w:p w14:paraId="79B9A3BD" w14:textId="77777777" w:rsidR="00624F7D" w:rsidRPr="00A46467" w:rsidRDefault="00624F7D" w:rsidP="00624F7D">
      <w:pPr>
        <w:pStyle w:val="Heading4"/>
      </w:pPr>
      <w:r w:rsidRPr="00A46467">
        <w:t>Missing Person Framework for Scotland</w:t>
      </w:r>
    </w:p>
    <w:p w14:paraId="61CB74F5" w14:textId="77777777" w:rsidR="00624F7D" w:rsidRPr="00A46467" w:rsidRDefault="00624F7D" w:rsidP="00624F7D">
      <w:r w:rsidRPr="00A46467">
        <w:t>In 2017, following on from an inspection undertaken by HMICS into the policing response to missing persons, the Scottish Government led Missing Person Framework for Scotland was developed, setting out the shared objectives for all partner organisations involved with missing persons in Scotland.</w:t>
      </w:r>
    </w:p>
    <w:p w14:paraId="31FC74BD" w14:textId="77777777" w:rsidR="005C51F4" w:rsidRDefault="00624F7D" w:rsidP="00624F7D">
      <w:r w:rsidRPr="00A46467">
        <w:t>The first of its kind in the UK, the Framework established a single definition of “missing” and a shared approach to risk. The Framework sets out the four commitments of the partnership response to missing persons.</w:t>
      </w:r>
    </w:p>
    <w:p w14:paraId="708F4ADF" w14:textId="3E788E6B" w:rsidR="005C51F4" w:rsidRDefault="00624F7D" w:rsidP="00624F7D">
      <w:r w:rsidRPr="00A46467">
        <w:t>Those commitments are how we respond to a missing report, how we prevent missing episodes, how we provide a consistent response</w:t>
      </w:r>
      <w:r>
        <w:t>,</w:t>
      </w:r>
      <w:r w:rsidRPr="00A46467">
        <w:t xml:space="preserve"> and how we support and protect missing persons, their families and carers.</w:t>
      </w:r>
    </w:p>
    <w:p w14:paraId="5552B90A" w14:textId="22FA1F4B" w:rsidR="00624F7D" w:rsidRPr="00A46467" w:rsidRDefault="00624F7D" w:rsidP="00624F7D">
      <w:r w:rsidRPr="00A46467">
        <w:t>The Framework describes the roles and responsibilities for each agency in respect of their commitment to the Framework aims and objectives. Although not supported by legislation the framework sets out a clear mentioned expectation for each agency.</w:t>
      </w:r>
    </w:p>
    <w:p w14:paraId="659F2C68" w14:textId="77777777" w:rsidR="005C51F4" w:rsidRDefault="00624F7D" w:rsidP="00624F7D">
      <w:r w:rsidRPr="00A46467">
        <w:t>Aligned to the Framework, the Scottish Government have funded the National Missing Person Framework Implementation Project, which funds national co-ordinators who provide support in consultancy, training and best practise, based on Framework objectives.</w:t>
      </w:r>
    </w:p>
    <w:p w14:paraId="61918CE6" w14:textId="53A77169" w:rsidR="00624F7D" w:rsidRDefault="00624F7D" w:rsidP="00624F7D">
      <w:r w:rsidRPr="00A46467">
        <w:t xml:space="preserve">This support has been delivered across every local authority over the past </w:t>
      </w:r>
      <w:r w:rsidR="005C51F4">
        <w:t>six</w:t>
      </w:r>
      <w:r w:rsidRPr="00A46467">
        <w:t xml:space="preserve"> years and has been able to introduce consistency, best practice and continued improvement throughout this time.</w:t>
      </w:r>
    </w:p>
    <w:p w14:paraId="27D72C59" w14:textId="77777777" w:rsidR="00624F7D" w:rsidRDefault="00624F7D" w:rsidP="00624F7D">
      <w:pPr>
        <w:pStyle w:val="Heading4"/>
      </w:pPr>
      <w:r w:rsidRPr="00E173B1">
        <w:lastRenderedPageBreak/>
        <w:t>National and Divisional Governance</w:t>
      </w:r>
    </w:p>
    <w:p w14:paraId="04CD0F2E" w14:textId="4A501D60" w:rsidR="00624F7D" w:rsidRDefault="00624F7D" w:rsidP="00624F7D">
      <w:r>
        <w:t>Police Scotland’s Missing Persons Strategic Oversight Board provides a national oversight and governance of all missing person matters. Police Scotland’s National Missing Person Unit convene quarterly meetings to provide key updates to the cadre of 13 divisional co-ordinators across Police Scotland.</w:t>
      </w:r>
    </w:p>
    <w:p w14:paraId="49CBF7B4" w14:textId="77777777" w:rsidR="00624F7D" w:rsidRDefault="00624F7D" w:rsidP="00624F7D">
      <w:proofErr w:type="spellStart"/>
      <w:r>
        <w:t>Forth</w:t>
      </w:r>
      <w:proofErr w:type="spellEnd"/>
      <w:r>
        <w:t xml:space="preserve"> Valley, Fife, Lanarkshire, and Dumfries and Galloway divisions have established missing person multi-agency protocols, introduced with support from the Framework Implementation Project. Many divisions have also introduced quarterly scrutiny forums which examine missing person performance divisional. This provides focus on key matters such as repeat missing reports, and locations which feature regularly.</w:t>
      </w:r>
    </w:p>
    <w:p w14:paraId="30EAA3BC" w14:textId="77777777" w:rsidR="00624F7D" w:rsidRDefault="00624F7D" w:rsidP="00624F7D">
      <w:r>
        <w:t>In Lanarkshire division a multi-agency group meets weekly to discuss missing persons in their area with an aim to develop preventative approaches which support the person.</w:t>
      </w:r>
    </w:p>
    <w:p w14:paraId="349839FD" w14:textId="77777777" w:rsidR="00624F7D" w:rsidRPr="00E173B1" w:rsidRDefault="00624F7D" w:rsidP="00624F7D">
      <w:pPr>
        <w:pStyle w:val="Heading4"/>
      </w:pPr>
      <w:r w:rsidRPr="00E173B1">
        <w:t>Local and National Protocols</w:t>
      </w:r>
    </w:p>
    <w:p w14:paraId="4FE4E037" w14:textId="1A7A8C0E" w:rsidR="005C51F4" w:rsidRDefault="00624F7D" w:rsidP="00624F7D">
      <w:r>
        <w:t>The notable decreases can be found when considering what ‘type’ of person goes missing. Care Experienced Young Person (673 less, down 17.9%) and Adult (740 less, down 14.4%) are recording the most significant decreases compared to the same period last year.</w:t>
      </w:r>
    </w:p>
    <w:p w14:paraId="4EF57ED1" w14:textId="59B6ABAD" w:rsidR="00624F7D" w:rsidRDefault="00624F7D" w:rsidP="00624F7D">
      <w:r>
        <w:t>Investigations involving children and care experienced young people have decreased by 12.4% (247 less) in Quarter 4 from the previous quarter where care experience young people recorded the lowest Quarter in the last three years to date. Quarter 4 has recorded a gradual increase month on month but remains lower in comparison to previous months.</w:t>
      </w:r>
    </w:p>
    <w:p w14:paraId="3B0F04F2" w14:textId="77777777" w:rsidR="00624F7D" w:rsidRDefault="00624F7D" w:rsidP="00624F7D">
      <w:r>
        <w:t>Police Scotland have introduced several person-centred protocols in recent years to provide support for all agencies and persons who are at risk of being reported missing which have, in part, contributed to the decreases in person types and overall missing persons investigations.</w:t>
      </w:r>
    </w:p>
    <w:p w14:paraId="5864593C" w14:textId="1CC03973" w:rsidR="005C51F4" w:rsidRDefault="00624F7D" w:rsidP="00624F7D">
      <w:r>
        <w:t>The “Not at Home” protocol was piloted in several key areas in 2018 before being introduced nationally in 2021. Its principals recognise that not every care experienced child is necessarily missing simply because they are not at a particular place at a particular time.</w:t>
      </w:r>
    </w:p>
    <w:p w14:paraId="4A3D9CC4" w14:textId="6A5BA20A" w:rsidR="00624F7D" w:rsidRDefault="00624F7D" w:rsidP="00624F7D">
      <w:r>
        <w:t xml:space="preserve">“Not at Home” should be used by Local Authorities and other care providers in cases where there are grounds to believe that the child’s current circumstances involve no apparent risk, or the level of risk is a tolerable one not meeting the threshold for a police-led missing person investigation. This protocol is </w:t>
      </w:r>
      <w:proofErr w:type="gramStart"/>
      <w:r>
        <w:t>care</w:t>
      </w:r>
      <w:proofErr w:type="gramEnd"/>
      <w:r>
        <w:t xml:space="preserve"> provider led and not suitable for every care experienced child.</w:t>
      </w:r>
    </w:p>
    <w:p w14:paraId="38B3F7C6" w14:textId="77777777" w:rsidR="00624F7D" w:rsidRDefault="00624F7D" w:rsidP="00624F7D">
      <w:r>
        <w:t>The Philomena protocol provides support for all children at risk of going missing and ensures key information is available at the commencement of a missing person investigation, to support the child being traced at an early stage.</w:t>
      </w:r>
    </w:p>
    <w:p w14:paraId="6B354856" w14:textId="77777777" w:rsidR="00624F7D" w:rsidRDefault="00624F7D" w:rsidP="00624F7D">
      <w:r>
        <w:t>Similarly, the Herbert Protocol was introduced to support those who live with dementia and are at risk of being reported missing. The protocol ensures key information is available at the outset of a missing person incident and informs the enquiry at an early stage.</w:t>
      </w:r>
    </w:p>
    <w:p w14:paraId="7624EA2C" w14:textId="77777777" w:rsidR="00624F7D" w:rsidRDefault="00624F7D" w:rsidP="00624F7D">
      <w:r>
        <w:t xml:space="preserve">A pilot process is underway in Edinburgh, Fife and Lanarkshire where return discussions are provided for those reported missing who live with dementia. Alzhemier Scotland trained </w:t>
      </w:r>
      <w:r>
        <w:lastRenderedPageBreak/>
        <w:t>dementia advisors deliver the return discussion and share outcomes with Police Scotland. This approach ensures key information about the missing person incident is established and understood and allows prevention strategies to be developed and introduced.</w:t>
      </w:r>
    </w:p>
    <w:p w14:paraId="01389F96" w14:textId="77777777" w:rsidR="00624F7D" w:rsidRDefault="00624F7D" w:rsidP="00624F7D">
      <w:r>
        <w:t>An NHS protocol has been piloted in Greater Glasgow which sets out processes to be followed in NHS facilities aimed at prevention strategies and how partner agencies respond to missing persons episodes.</w:t>
      </w:r>
    </w:p>
    <w:p w14:paraId="744EEBDF" w14:textId="77777777" w:rsidR="00624F7D" w:rsidRDefault="00624F7D" w:rsidP="00624F7D">
      <w:r w:rsidRPr="00693F4B">
        <w:t>Where piloted protocols prove successful, the National Missing Person Unit will work to introduce these practices nationally.</w:t>
      </w:r>
    </w:p>
    <w:p w14:paraId="12BBB490" w14:textId="77777777" w:rsidR="00624F7D" w:rsidRPr="00E173B1" w:rsidRDefault="00624F7D" w:rsidP="00624F7D">
      <w:pPr>
        <w:pStyle w:val="Heading4"/>
      </w:pPr>
      <w:r w:rsidRPr="00E173B1">
        <w:t>Improvement Work</w:t>
      </w:r>
    </w:p>
    <w:p w14:paraId="460AC291" w14:textId="77777777" w:rsidR="00624F7D" w:rsidRPr="00827D93" w:rsidRDefault="00624F7D" w:rsidP="00827D93">
      <w:r w:rsidRPr="00A46467">
        <w:t>There is no single reason or causal factor for the continued decreasing trend on missing person investigations. The introduction and development of the Framework and joint working approaches at local and national level being undertaken, coupled with the use of national protocols and local interventions, are all contributing to the decreasing number of missing persons investigations. Alongside this, it is anticipated that alignment to the mental health pathways will provide suitable interventions and contribute to the reducing trend.</w:t>
      </w:r>
    </w:p>
    <w:p w14:paraId="25D70EBE" w14:textId="77777777" w:rsidR="00624F7D" w:rsidRPr="00401B2C" w:rsidRDefault="00624F7D" w:rsidP="00624F7D">
      <w:pPr>
        <w:pStyle w:val="Heading4"/>
      </w:pPr>
      <w:r>
        <w:t>Road Safety (Strategic Outcome 1)</w:t>
      </w:r>
    </w:p>
    <w:p w14:paraId="465D4F3D" w14:textId="77777777" w:rsidR="00624F7D" w:rsidRDefault="00624F7D" w:rsidP="00624F7D">
      <w:r>
        <w:rPr>
          <w:noProof/>
        </w:rPr>
        <w:drawing>
          <wp:inline distT="0" distB="0" distL="0" distR="0" wp14:anchorId="356DBF26" wp14:editId="4E4AD59E">
            <wp:extent cx="6188710" cy="1808480"/>
            <wp:effectExtent l="0" t="0" r="2540" b="1270"/>
            <wp:docPr id="499593065" name="Picture 1" descr="Road Casualties YTD Comparison Table&#10;The first row shows 149 people killed on our roads PYTD compared to 155 YTD (up 4.0% on last year). The six month sparkline for people killed shows a low of 9 people in October; 13 people in November; a high of 15 people in December; 11 people in January; 10 people in February; and 11 people in March.&#10;The second row shows 1,958 people seriously injured on our roads PYTD compared to 1,783 YTD (down 8.9% on last year). The six month sparkline for people seriously injured shows 156 people in October; 123 people in November; a high of 163 people in December; 109 people in January; 90 people in February; and a low of 54 people in March.&#10;The third row shows 3,719 people slightly injured on our roads PYTD compared to 3,226 YTD (down 16.3% on last year). The six month sparkline for people slightly injured shows 259 people in October; 292 people in November; a high of 304 people in December; 208 people in January; 153 people in February; and a low of 122 people in March.&#10;The fourth row shows six children killed on our roads PYTD compared to two YTD (down 50.0% on last year). The six month sparkline for children killed shows no children were killed from October to March.&#10;The fifth row shows 180 children seriously injured on our roads PYTD compared to 145 YTD (down 19.4% on last year). The six month sparkline for children seriously injured shows 8 children in October; 13 children in November; 10 children in December; 11 children in January; a high of 14 children in February; and a low of 3 children in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26325" name="Picture 1" descr="Road Casualties YTD Comparison Table&#10;The first row shows 149 people killed on our roads PYTD compared to 155 YTD (up 4.0% on last year). The six month sparkline for people killed shows a low of 9 people in October; 13 people in November; a high of 15 people in December; 11 people in January; 10 people in February; and 11 people in March.&#10;The second row shows 1,958 people seriously injured on our roads PYTD compared to 1,783 YTD (down 8.9% on last year). The six month sparkline for people seriously injured shows 156 people in October; 123 people in November; a high of 163 people in December; 109 people in January; 90 people in February; and a low of 54 people in March.&#10;The third row shows 3,719 people slightly injured on our roads PYTD compared to 3,226 YTD (down 16.3% on last year). The six month sparkline for people slightly injured shows 259 people in October; 292 people in November; a high of 304 people in December; 208 people in January; 153 people in February; and a low of 122 people in March.&#10;The fourth row shows six children killed on our roads PYTD compared to two YTD (down 50.0% on last year). The six month sparkline for children killed shows no children were killed from October to March.&#10;The fifth row shows 180 children seriously injured on our roads PYTD compared to 145 YTD (down 19.4% on last year). The six month sparkline for children seriously injured shows 8 children in October; 13 children in November; 10 children in December; 11 children in January; a high of 14 children in February; and a low of 3 children in March.&#10;"/>
                    <pic:cNvPicPr/>
                  </pic:nvPicPr>
                  <pic:blipFill>
                    <a:blip r:embed="rId26"/>
                    <a:stretch>
                      <a:fillRect/>
                    </a:stretch>
                  </pic:blipFill>
                  <pic:spPr>
                    <a:xfrm>
                      <a:off x="0" y="0"/>
                      <a:ext cx="6188710" cy="1808480"/>
                    </a:xfrm>
                    <a:prstGeom prst="rect">
                      <a:avLst/>
                    </a:prstGeom>
                  </pic:spPr>
                </pic:pic>
              </a:graphicData>
            </a:graphic>
          </wp:inline>
        </w:drawing>
      </w:r>
    </w:p>
    <w:p w14:paraId="04B5A431" w14:textId="77777777" w:rsidR="00624F7D" w:rsidRDefault="00624F7D" w:rsidP="00624F7D">
      <w:r>
        <w:rPr>
          <w:noProof/>
        </w:rPr>
        <w:drawing>
          <wp:inline distT="0" distB="0" distL="0" distR="0" wp14:anchorId="27F1ECCF" wp14:editId="071695F2">
            <wp:extent cx="6188710" cy="1814830"/>
            <wp:effectExtent l="0" t="0" r="2540" b="0"/>
            <wp:docPr id="1334580556" name="Picture 1" descr="Road Casualties Five-Year Comparison Table&#10;The first row shows the five-year mean for people killed on our roads is 148.8 compared to 155 YTD (up 4.2% on five-year mean). The five-year sparkline for people killed shows a low of 107 people in 2020/21; 152 people in 2021/22; a high of 171 people in 2022/23; 149 people in 2023/24; and 155 people in 2024/25 YTD.&#10;The second row shows the five-year mean for people seriously injured on our roads is 1,773.8 compared to 1,783 YTD (up 0.5% on five-year mean). The five-year sparkline for people seriously injured shows a low of 1,379 people in 2020/21; 1,747 people in 2021/22; 1,846 people in 2022/23; a high of 1,958 people in 2023/24 and 1,783 people in 2024/25 YTD.&#10;The third row shows the five-year mean for people slightly injured on our roads is 3,847.0 compared to 3,226 YTD (down 16.1% on five-year mean). The five-year sparkline for people slightly injured shows a low of 3,013 people in 2020/21; 3,557 people in 2021/22; a high of 3,735 people in 2022/23; 3,719 people in 2023/24; and 3,226 people in 2024/25 YTD.&#10;The fourth row shows the five-year mean for children killed on our roads is 4.4 compared to 2 YTD (down 54.5% on five-year mean). The five-year sparkline for children killed shows a low of 2 children in 2020/21 and 2024/25; a high of 6 children in 2021/22 and 2023/24; and 3 children in 2022/23 YTD.&#10;The fifth row shows the five-year mean for children seriously injured on our roads is 165.6 compared to 145 YTD (down 12.4% on five-year mean). The five-year sparkline for children seriously injured shows a low of 121 children in 2020/21; 155 children in 2021/22; a high of 181 children in 2022/23; 180 children in 2023/24; and 145 children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60204" name="Picture 1" descr="Road Casualties Five-Year Comparison Table&#10;The first row shows the five-year mean for people killed on our roads is 148.8 compared to 155 YTD (up 4.2% on five-year mean). The five-year sparkline for people killed shows a low of 107 people in 2020/21; 152 people in 2021/22; a high of 171 people in 2022/23; 149 people in 2023/24; and 155 people in 2024/25 YTD.&#10;The second row shows the five-year mean for people seriously injured on our roads is 1,773.8 compared to 1,783 YTD (up 0.5% on five-year mean). The five-year sparkline for people seriously injured shows a low of 1,379 people in 2020/21; 1,747 people in 2021/22; 1,846 people in 2022/23; a high of 1,958 people in 2023/24 and 1,783 people in 2024/25 YTD.&#10;The third row shows the five-year mean for people slightly injured on our roads is 3,847.0 compared to 3,226 YTD (down 16.1% on five-year mean). The five-year sparkline for people slightly injured shows a low of 3,013 people in 2020/21; 3,557 people in 2021/22; a high of 3,735 people in 2022/23; 3,719 people in 2023/24; and 3,226 people in 2024/25 YTD.&#10;The fourth row shows the five-year mean for children killed on our roads is 4.4 compared to 2 YTD (down 54.5% on five-year mean). The five-year sparkline for children killed shows a low of 2 children in 2020/21 and 2024/25; a high of 6 children in 2021/22 and 2023/24; and 3 children in 2022/23 YTD.&#10;The fifth row shows the five-year mean for children seriously injured on our roads is 165.6 compared to 145 YTD (down 12.4% on five-year mean). The five-year sparkline for children seriously injured shows a low of 121 children in 2020/21; 155 children in 2021/22; a high of 181 children in 2022/23; 180 children in 2023/24; and 145 children in 2024/25 YTD.&#10;."/>
                    <pic:cNvPicPr/>
                  </pic:nvPicPr>
                  <pic:blipFill>
                    <a:blip r:embed="rId27"/>
                    <a:stretch>
                      <a:fillRect/>
                    </a:stretch>
                  </pic:blipFill>
                  <pic:spPr>
                    <a:xfrm>
                      <a:off x="0" y="0"/>
                      <a:ext cx="6188710" cy="1814830"/>
                    </a:xfrm>
                    <a:prstGeom prst="rect">
                      <a:avLst/>
                    </a:prstGeom>
                  </pic:spPr>
                </pic:pic>
              </a:graphicData>
            </a:graphic>
          </wp:inline>
        </w:drawing>
      </w:r>
    </w:p>
    <w:p w14:paraId="476894C9" w14:textId="77777777" w:rsidR="00624F7D" w:rsidRDefault="00624F7D" w:rsidP="00624F7D">
      <w:r>
        <w:t>There were 155</w:t>
      </w:r>
      <w:r w:rsidRPr="00A50348">
        <w:t xml:space="preserve"> fatalities on Scotland’s roads</w:t>
      </w:r>
      <w:r>
        <w:t xml:space="preserve"> during the reporting year 2024/25</w:t>
      </w:r>
      <w:r w:rsidRPr="00A50348">
        <w:t xml:space="preserve">. This is an increase of </w:t>
      </w:r>
      <w:r>
        <w:t xml:space="preserve">six </w:t>
      </w:r>
      <w:r w:rsidRPr="00A50348">
        <w:t>fatalities</w:t>
      </w:r>
      <w:r>
        <w:t xml:space="preserve"> (up 4.0%)</w:t>
      </w:r>
      <w:r w:rsidRPr="00A50348">
        <w:t xml:space="preserve"> compared to the </w:t>
      </w:r>
      <w:r>
        <w:t>previous reporting year 2023/24 and an increase of seven fatalities (up 4.2%) compared to the five-year mean. Two children were killed during the same period, this is a decrease of four fatalities (down 66.7%) compared to the previous year and a decrease of two fatalities (down 54.5%) compared to the five-year mean.</w:t>
      </w:r>
    </w:p>
    <w:p w14:paraId="1220CA93" w14:textId="77777777" w:rsidR="00624F7D" w:rsidRDefault="00624F7D" w:rsidP="00624F7D">
      <w:r w:rsidRPr="004E450A">
        <w:lastRenderedPageBreak/>
        <w:t>It should be noted that at the time of writing some of those killed</w:t>
      </w:r>
      <w:r>
        <w:t xml:space="preserve"> in the current figures are being investigated for medical or other causational factors and may be removed from total figures.</w:t>
      </w:r>
    </w:p>
    <w:p w14:paraId="0F081DEE" w14:textId="77777777" w:rsidR="00624F7D" w:rsidRDefault="00624F7D" w:rsidP="00624F7D">
      <w:r>
        <w:t>People seriously injured (down 8.9%, 175 fewer), people slightly injured (down 13.3%, 493 fewer) and children seriously injured (down 19.4%, 35 fewer) all recorded decreases compared to 2023/24 figures.</w:t>
      </w:r>
    </w:p>
    <w:p w14:paraId="4570F399" w14:textId="77777777" w:rsidR="00624F7D" w:rsidRDefault="00624F7D" w:rsidP="00624F7D">
      <w:r>
        <w:t>Every death on our roads is tragic. Police Scotland is working tirelessly to fully investigate every fatal road collision and provide support to the families of those involved. Road Policing remains a priority for Police Scotland and we will continue to work very closely with a range of partners to improve road safety for all users. We all have a responsibility to use our roads safely. Every driver and road user is urged to think about their behaviour on the road, be considerate towards others and help us make Scotland’s roads safe for everyone.</w:t>
      </w:r>
    </w:p>
    <w:p w14:paraId="193E2102" w14:textId="77777777" w:rsidR="00624F7D" w:rsidRDefault="00624F7D" w:rsidP="00624F7D">
      <w:pPr>
        <w:pStyle w:val="Heading4"/>
      </w:pPr>
      <w:r>
        <w:t>Scottish Government Statistics</w:t>
      </w:r>
    </w:p>
    <w:p w14:paraId="7F84F6D4" w14:textId="77777777" w:rsidR="00624F7D" w:rsidRDefault="00624F7D" w:rsidP="00624F7D">
      <w:r w:rsidRPr="004E450A">
        <w:t xml:space="preserve">Scottish Government finalised statistics for 2023 show a reduction of 16 in the number of </w:t>
      </w:r>
      <w:r>
        <w:t xml:space="preserve">road </w:t>
      </w:r>
      <w:r w:rsidRPr="004E450A">
        <w:t>fatalities</w:t>
      </w:r>
      <w:r>
        <w:t>,</w:t>
      </w:r>
      <w:r w:rsidRPr="004E450A">
        <w:t xml:space="preserve"> 155 in 2023 compared to 171 in 2022 </w:t>
      </w:r>
      <w:r>
        <w:t>(</w:t>
      </w:r>
      <w:r w:rsidRPr="004E450A">
        <w:t>a decrease of 9%</w:t>
      </w:r>
      <w:r>
        <w:t>)</w:t>
      </w:r>
      <w:r w:rsidRPr="004E450A">
        <w:t>. However, serious injuries increased by 9% over the previous year, and overall casualties rose by 3%.</w:t>
      </w:r>
    </w:p>
    <w:p w14:paraId="2AFE308F" w14:textId="77777777" w:rsidR="00624F7D" w:rsidRDefault="00624F7D" w:rsidP="00624F7D">
      <w:r w:rsidRPr="004E450A">
        <w:t>On 30</w:t>
      </w:r>
      <w:r>
        <w:t xml:space="preserve"> October </w:t>
      </w:r>
      <w:r w:rsidRPr="004E450A">
        <w:t xml:space="preserve">2024 the Cabinet Secretary for Transport </w:t>
      </w:r>
      <w:r>
        <w:t>(</w:t>
      </w:r>
      <w:r w:rsidRPr="004E450A">
        <w:t>Fiona Hyslop</w:t>
      </w:r>
      <w:r>
        <w:t>)</w:t>
      </w:r>
      <w:r w:rsidRPr="004E450A">
        <w:t xml:space="preserve"> published her statement on the decreased fatality/increased total casualty levels in 2023. This accompanied the release of Transport Scotland’s Reported Road Casualties Scotland 2023 and associated Commentary. The Cabinet Secretary reaffirmed the Scottish Government’s commitment to attaining the outlined road safety targets</w:t>
      </w:r>
      <w:r>
        <w:t>.</w:t>
      </w:r>
    </w:p>
    <w:p w14:paraId="74999611" w14:textId="77777777" w:rsidR="00624F7D" w:rsidRDefault="00624F7D" w:rsidP="00624F7D">
      <w:r>
        <w:t>T</w:t>
      </w:r>
      <w:r w:rsidRPr="004E450A">
        <w:t>he Cabinet Secretary launched the National Speed Management Review Consultation</w:t>
      </w:r>
      <w:r>
        <w:t xml:space="preserve"> on 27 November 2024</w:t>
      </w:r>
      <w:r w:rsidRPr="004E450A">
        <w:t xml:space="preserve">, </w:t>
      </w:r>
      <w:r>
        <w:t>which sought</w:t>
      </w:r>
      <w:r w:rsidRPr="004E450A">
        <w:t xml:space="preserve"> input on the merits of lowering the national speed limit on single carriageways to 50mph. It also asked respondents to consider whether the speed limits for goods vehicles over 7.5 tonnes should be increased from 40 to 50mph on single carriageways, and from 50 to 60mph on dual carriageways</w:t>
      </w:r>
      <w:r>
        <w:t>.</w:t>
      </w:r>
    </w:p>
    <w:p w14:paraId="431F0C40" w14:textId="77777777" w:rsidR="00624F7D" w:rsidRDefault="00624F7D" w:rsidP="00624F7D">
      <w:r>
        <w:t>On 06 March 2025, the Cabinet Secretary said, “With over 19,000 responses - the largest ever consultation response Transport Scotland has received - it is clear that these proposals are of great importance to the public and stakeholders”. She advised that feedback would be assessed, and findings/next steps published later in 2025.</w:t>
      </w:r>
    </w:p>
    <w:p w14:paraId="1925D9AE" w14:textId="77777777" w:rsidR="00624F7D" w:rsidRDefault="00624F7D" w:rsidP="00624F7D">
      <w:pPr>
        <w:pStyle w:val="Heading4"/>
      </w:pPr>
      <w:r>
        <w:t>Road Policing Campaigns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24F7D" w:rsidRPr="0003495F" w14:paraId="524B0C90" w14:textId="77777777" w:rsidTr="00C66A3E">
        <w:trPr>
          <w:trHeight w:val="680"/>
          <w:tblHeader/>
        </w:trPr>
        <w:tc>
          <w:tcPr>
            <w:tcW w:w="9862" w:type="dxa"/>
            <w:shd w:val="clear" w:color="auto" w:fill="FFE599" w:themeFill="accent4" w:themeFillTint="66"/>
            <w:vAlign w:val="center"/>
            <w:hideMark/>
          </w:tcPr>
          <w:p w14:paraId="5C1CA74D" w14:textId="77777777" w:rsidR="00624F7D" w:rsidRPr="00D87D1B" w:rsidRDefault="00624F7D" w:rsidP="00C66A3E">
            <w:pPr>
              <w:pStyle w:val="TableHeaderLeft"/>
              <w:rPr>
                <w:color w:val="000000" w:themeColor="text1"/>
              </w:rPr>
            </w:pPr>
            <w:bookmarkStart w:id="30" w:name="RoadSafety"/>
            <w:bookmarkEnd w:id="30"/>
            <w:r w:rsidRPr="00D87D1B">
              <w:rPr>
                <w:color w:val="000000" w:themeColor="text1"/>
              </w:rPr>
              <w:t xml:space="preserve">Proactive/Preventative Policing – </w:t>
            </w:r>
            <w:r w:rsidRPr="00F72625">
              <w:rPr>
                <w:color w:val="000000" w:themeColor="text1"/>
              </w:rPr>
              <w:t>Quarter 4 Campaign Results</w:t>
            </w:r>
          </w:p>
        </w:tc>
      </w:tr>
      <w:tr w:rsidR="00624F7D" w:rsidRPr="0003495F" w14:paraId="111D9461" w14:textId="77777777" w:rsidTr="00C66A3E">
        <w:trPr>
          <w:trHeight w:val="680"/>
        </w:trPr>
        <w:tc>
          <w:tcPr>
            <w:tcW w:w="9862" w:type="dxa"/>
            <w:shd w:val="clear" w:color="auto" w:fill="FFF2CC" w:themeFill="accent4" w:themeFillTint="33"/>
            <w:vAlign w:val="center"/>
            <w:hideMark/>
          </w:tcPr>
          <w:p w14:paraId="242DD71E" w14:textId="77777777" w:rsidR="00624F7D" w:rsidRPr="00F72625" w:rsidRDefault="00624F7D" w:rsidP="00C66A3E">
            <w:pPr>
              <w:pStyle w:val="TableBodyLeft"/>
              <w:rPr>
                <w:color w:val="000000" w:themeColor="text1"/>
              </w:rPr>
            </w:pPr>
            <w:r w:rsidRPr="00F72625">
              <w:rPr>
                <w:color w:val="000000" w:themeColor="text1"/>
              </w:rPr>
              <w:t>During this quarter several campaigns have been resulted, all of which are aimed at proactively preventing fatalities and injuries on Scotland’s roads with a strong focus on protecting Vulnerable Road Users and/or targeting motorists committing Fatal 5 offences.</w:t>
            </w:r>
          </w:p>
          <w:p w14:paraId="0DA25578" w14:textId="77777777" w:rsidR="00624F7D" w:rsidRPr="00F72625" w:rsidRDefault="00624F7D" w:rsidP="00C66A3E">
            <w:pPr>
              <w:pStyle w:val="TableBodyLeft"/>
              <w:rPr>
                <w:color w:val="000000" w:themeColor="text1"/>
              </w:rPr>
            </w:pPr>
            <w:r w:rsidRPr="00F72625">
              <w:rPr>
                <w:rStyle w:val="Strong"/>
              </w:rPr>
              <w:t>Festive Drink Drug Drive Campaign</w:t>
            </w:r>
            <w:r w:rsidRPr="00F72625">
              <w:rPr>
                <w:color w:val="000000" w:themeColor="text1"/>
              </w:rPr>
              <w:t xml:space="preserve"> (01 December 2024 to 19 January 2025): Road Policing and Local Policing officers worked together to target and deter drink and drug drivers, carrying out pro-active patrols, using data to target key areas, responding to information from members of the public and setting up roadside checks. This campaign </w:t>
            </w:r>
            <w:r w:rsidRPr="00F72625">
              <w:rPr>
                <w:color w:val="000000" w:themeColor="text1"/>
              </w:rPr>
              <w:lastRenderedPageBreak/>
              <w:t>was 17 days longer than the previous campaign due to data analysis that recommended extending the duration. There were 4,779 breath tests carried out (3,219 last campaign) resulting in 439 positive roadside samples, whilst 963 Drug Wipes were conducted (481 last campaign) with 522 positive roadside tests.</w:t>
            </w:r>
          </w:p>
          <w:p w14:paraId="27B59F95" w14:textId="77777777" w:rsidR="00624F7D" w:rsidRPr="00F72625" w:rsidRDefault="00624F7D" w:rsidP="00C66A3E">
            <w:pPr>
              <w:pStyle w:val="TableBodyLeft"/>
              <w:rPr>
                <w:color w:val="000000" w:themeColor="text1"/>
              </w:rPr>
            </w:pPr>
            <w:r w:rsidRPr="00F72625">
              <w:rPr>
                <w:rStyle w:val="Strong"/>
              </w:rPr>
              <w:t>National Seatbelt Campaign</w:t>
            </w:r>
            <w:r w:rsidRPr="00F72625">
              <w:rPr>
                <w:color w:val="000000" w:themeColor="text1"/>
              </w:rPr>
              <w:t xml:space="preserve"> (13 to 19 January 2025): 79 offences were detected during this campaign, intended to reduce casualty numbers and severity by positively influencing driver and passenger behaviour.</w:t>
            </w:r>
          </w:p>
          <w:p w14:paraId="7DB7D970" w14:textId="77777777" w:rsidR="00624F7D" w:rsidRPr="00D87D1B" w:rsidRDefault="00624F7D" w:rsidP="00C66A3E">
            <w:pPr>
              <w:pStyle w:val="TableBodyLeft"/>
              <w:rPr>
                <w:color w:val="000000" w:themeColor="text1"/>
              </w:rPr>
            </w:pPr>
            <w:r w:rsidRPr="00F72625">
              <w:rPr>
                <w:rStyle w:val="Strong"/>
              </w:rPr>
              <w:t>Pedestrians and Older Drivers Safety Campaign</w:t>
            </w:r>
            <w:r w:rsidRPr="00F72625">
              <w:rPr>
                <w:color w:val="000000" w:themeColor="text1"/>
              </w:rPr>
              <w:t xml:space="preserve"> (03 to 09 March 2025: This campaign included enforcement on high active travel/other routes against risk taking driving behaviour, particularly speeding. A total of 286 speeding offences were detected by officers, with an additional 1,328 Safety Camera Unit detections</w:t>
            </w:r>
            <w:r w:rsidRPr="00F53199">
              <w:rPr>
                <w:color w:val="000000" w:themeColor="text1"/>
              </w:rPr>
              <w:t>.</w:t>
            </w:r>
          </w:p>
        </w:tc>
      </w:tr>
    </w:tbl>
    <w:p w14:paraId="36D1F5ED" w14:textId="77777777" w:rsidR="00624F7D" w:rsidRDefault="00624F7D" w:rsidP="00624F7D">
      <w:r w:rsidRPr="00A814D8">
        <w:lastRenderedPageBreak/>
        <w:t>There are several ongoing campaigns at this time</w:t>
      </w:r>
      <w:r>
        <w:t>:</w:t>
      </w:r>
    </w:p>
    <w:p w14:paraId="2FD450C7" w14:textId="77777777" w:rsidR="00624F7D" w:rsidRDefault="00624F7D" w:rsidP="00624F7D">
      <w:r w:rsidRPr="00A814D8">
        <w:rPr>
          <w:rStyle w:val="Strong"/>
        </w:rPr>
        <w:t>Driver Engagement North:</w:t>
      </w:r>
      <w:r>
        <w:t xml:space="preserve"> </w:t>
      </w:r>
      <w:r w:rsidRPr="00A814D8">
        <w:t xml:space="preserve">Launched in </w:t>
      </w:r>
      <w:r>
        <w:t>Highland and Islands</w:t>
      </w:r>
      <w:r w:rsidRPr="00A814D8">
        <w:t xml:space="preserve"> Division and since extended to </w:t>
      </w:r>
      <w:r>
        <w:t>North East</w:t>
      </w:r>
      <w:r w:rsidRPr="00A814D8">
        <w:t xml:space="preserve"> and </w:t>
      </w:r>
      <w:r>
        <w:t>Tayside</w:t>
      </w:r>
      <w:r w:rsidRPr="00A814D8">
        <w:t xml:space="preserve"> Divisions, the pilot has been funded by Transport Scotland’s Road Safety Initiative Fund. Participants in this person-centred initiative utilise a desktop driving simulator, with a fitness to drive input also included, to assist older road users and their families make informed choices about their fitness to drive safely. The simulators enable drivers to assess their hazard awareness in a safe virtual environment. This project has evaluated well, and further funding has now been secured from Transport Scotland to expand Driver Engagement into East and West command areas</w:t>
      </w:r>
      <w:r>
        <w:t>.</w:t>
      </w:r>
    </w:p>
    <w:p w14:paraId="7F2BA74C" w14:textId="77777777" w:rsidR="00624F7D" w:rsidRDefault="00624F7D" w:rsidP="00624F7D">
      <w:r w:rsidRPr="00A814D8">
        <w:rPr>
          <w:rStyle w:val="Strong"/>
        </w:rPr>
        <w:t>Fitness to Drive Matters:</w:t>
      </w:r>
      <w:r>
        <w:t xml:space="preserve"> </w:t>
      </w:r>
      <w:r w:rsidRPr="00A814D8">
        <w:t>Considerable work is currently being progressed toward</w:t>
      </w:r>
      <w:r>
        <w:t>s</w:t>
      </w:r>
      <w:r w:rsidRPr="00A814D8">
        <w:t xml:space="preserve"> our Fitness to Drive Matters initiative</w:t>
      </w:r>
      <w:r>
        <w:t xml:space="preserve"> </w:t>
      </w:r>
      <w:r w:rsidRPr="00A814D8">
        <w:t xml:space="preserve">working with partners and older road users to reduce numbers killed or seriously injured in collisions. Road Policing have now secured funding from Transport Scotland’s Road Safety Framework Fund to support the roll-out of Fitness to Drive Assessments, in conjunction with the charity Driving Mobility’s </w:t>
      </w:r>
      <w:proofErr w:type="spellStart"/>
      <w:r w:rsidRPr="00A814D8">
        <w:t>DriveAbility</w:t>
      </w:r>
      <w:proofErr w:type="spellEnd"/>
      <w:r w:rsidRPr="00A814D8">
        <w:t xml:space="preserve"> Scotland team. The funding will cover 100 assessments in the north of Scotland, providing greater opportunity for older people there to access this help than would otherwise be possible from their Glasgow base</w:t>
      </w:r>
      <w:r>
        <w:t>.</w:t>
      </w:r>
    </w:p>
    <w:p w14:paraId="48BE19FA" w14:textId="77777777" w:rsidR="00624F7D" w:rsidRDefault="00624F7D" w:rsidP="00624F7D">
      <w:r w:rsidRPr="00A814D8">
        <w:rPr>
          <w:rStyle w:val="Strong"/>
        </w:rPr>
        <w:t>New Driver Early Intervention Scheme:</w:t>
      </w:r>
      <w:r>
        <w:t xml:space="preserve"> </w:t>
      </w:r>
      <w:r w:rsidRPr="00A814D8">
        <w:t>The New Driver Early Intervention Scheme is being rolled out nationally and partners, such as Scottish Fire and Rescue Service, have adopted the scheme and deliver it in conjunction with Police Scotland to internal and external groups. NDEIS is aimed at 17-25 year olds to positively influence this vulnerable group of road users, whilst providing a reminder of their responsibilities toward</w:t>
      </w:r>
      <w:r>
        <w:t>s</w:t>
      </w:r>
      <w:r w:rsidRPr="00A814D8">
        <w:t xml:space="preserve"> themselves and other road users. Several local authorities have adopted the scheme for delivery to modern apprentice/skills and employability students. Empowering young people with information allows them to make informed decisions when starting their driving careers, with a view to improving road safety for all</w:t>
      </w:r>
      <w:r>
        <w:t>.</w:t>
      </w:r>
    </w:p>
    <w:p w14:paraId="3FF75FF7" w14:textId="77777777" w:rsidR="00624F7D" w:rsidRDefault="00624F7D" w:rsidP="00624F7D">
      <w:r w:rsidRPr="00A814D8">
        <w:rPr>
          <w:rStyle w:val="Strong"/>
        </w:rPr>
        <w:t>Operation T</w:t>
      </w:r>
      <w:r>
        <w:rPr>
          <w:rStyle w:val="Strong"/>
        </w:rPr>
        <w:t>RAMLINE</w:t>
      </w:r>
      <w:r w:rsidRPr="00A814D8">
        <w:rPr>
          <w:rStyle w:val="Strong"/>
        </w:rPr>
        <w:t>:</w:t>
      </w:r>
      <w:r>
        <w:t xml:space="preserve"> </w:t>
      </w:r>
      <w:r w:rsidRPr="00A814D8">
        <w:t xml:space="preserve">Road Policing officers are being deployed on busy commuter routes, in vehicles that drivers would not typically associate with the police. Lorry tractor </w:t>
      </w:r>
      <w:r w:rsidRPr="00A814D8">
        <w:lastRenderedPageBreak/>
        <w:t>units and minibuses are amongst vehicles being utilised to afford high vantage point observations of driver behaviour from vehicles that blend into the roadway environment, rather than a marked police vehicle. The aim is to engage, educate and enforce legislation in respect of Fatal 5 offending, particularly distraction offences such as use of handheld mobile telephones</w:t>
      </w:r>
      <w:r>
        <w:t>.</w:t>
      </w:r>
    </w:p>
    <w:p w14:paraId="10295FE6" w14:textId="77777777" w:rsidR="00624F7D" w:rsidRDefault="00624F7D" w:rsidP="00624F7D">
      <w:r w:rsidRPr="001B54DE">
        <w:rPr>
          <w:rStyle w:val="Strong"/>
        </w:rPr>
        <w:t>Operation C</w:t>
      </w:r>
      <w:r>
        <w:rPr>
          <w:rStyle w:val="Strong"/>
        </w:rPr>
        <w:t>LOSE PASS</w:t>
      </w:r>
      <w:r w:rsidRPr="001B54DE">
        <w:rPr>
          <w:rStyle w:val="Strong"/>
        </w:rPr>
        <w:t>:</w:t>
      </w:r>
      <w:r>
        <w:t xml:space="preserve"> </w:t>
      </w:r>
      <w:r w:rsidRPr="001B54DE">
        <w:t>Road Policing and Community officers continue to work in partnership for this cycle safety initiative. A Community police cyclist and supporting Road Policing officers deploy to monitor driver behaviour in the vicinity of cyclists, particularly when carrying out passing manoeuvres. Drivers passing too closely, or otherwise placing the cyclist at risk, are predominantly provided with guidance during a ‘chat on the mat’ but may also be issued with a fixed penalty or reported to the Procurator Fiscal, depending on the presenting circumstances</w:t>
      </w:r>
      <w:r>
        <w:t>.</w:t>
      </w:r>
    </w:p>
    <w:p w14:paraId="1E50B3E1" w14:textId="77777777" w:rsidR="00624F7D" w:rsidRDefault="00624F7D" w:rsidP="00624F7D">
      <w:r>
        <w:t>Quarter 1 campaigns will include:</w:t>
      </w:r>
    </w:p>
    <w:p w14:paraId="1911707E" w14:textId="77777777" w:rsidR="00624F7D" w:rsidRDefault="00624F7D" w:rsidP="00624F7D">
      <w:pPr>
        <w:pStyle w:val="Bullets"/>
      </w:pPr>
      <w:r>
        <w:t>Motorcycle Safety Campaign (21 March to 26 September 2025)</w:t>
      </w:r>
    </w:p>
    <w:p w14:paraId="4D155CA0" w14:textId="77777777" w:rsidR="00624F7D" w:rsidRDefault="00624F7D" w:rsidP="00624F7D">
      <w:pPr>
        <w:pStyle w:val="Bullets"/>
      </w:pPr>
      <w:r>
        <w:t>Fatal 5 Campaign (01 to 28 April 2025)</w:t>
      </w:r>
    </w:p>
    <w:p w14:paraId="478F5192" w14:textId="77777777" w:rsidR="00624F7D" w:rsidRPr="001B54DE" w:rsidRDefault="00624F7D" w:rsidP="00624F7D">
      <w:pPr>
        <w:pStyle w:val="Bullets"/>
      </w:pPr>
      <w:r>
        <w:t>2 Wheels Campaign (02 to 15 June 2025)</w:t>
      </w:r>
    </w:p>
    <w:p w14:paraId="60393A02" w14:textId="77777777" w:rsidR="00624F7D" w:rsidRDefault="00624F7D" w:rsidP="00624F7D">
      <w:pPr>
        <w:pStyle w:val="Heading4"/>
      </w:pPr>
      <w:r>
        <w:t>Road Safety Impact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24F7D" w:rsidRPr="0003495F" w14:paraId="79951312" w14:textId="77777777" w:rsidTr="00C66A3E">
        <w:trPr>
          <w:trHeight w:val="680"/>
          <w:tblHeader/>
        </w:trPr>
        <w:tc>
          <w:tcPr>
            <w:tcW w:w="9862" w:type="dxa"/>
            <w:shd w:val="clear" w:color="auto" w:fill="FFE599" w:themeFill="accent4" w:themeFillTint="66"/>
            <w:vAlign w:val="center"/>
            <w:hideMark/>
          </w:tcPr>
          <w:p w14:paraId="0E73551E" w14:textId="77777777" w:rsidR="00624F7D" w:rsidRPr="00D87D1B" w:rsidRDefault="00624F7D" w:rsidP="00C66A3E">
            <w:pPr>
              <w:pStyle w:val="TableHeaderLeft"/>
              <w:rPr>
                <w:color w:val="000000" w:themeColor="text1"/>
              </w:rPr>
            </w:pPr>
            <w:bookmarkStart w:id="31" w:name="Tutelage"/>
            <w:bookmarkEnd w:id="31"/>
            <w:r w:rsidRPr="00D87D1B">
              <w:rPr>
                <w:color w:val="000000" w:themeColor="text1"/>
              </w:rPr>
              <w:t xml:space="preserve">Proactive/Preventative Policing – </w:t>
            </w:r>
            <w:r>
              <w:t>Operation TUTELAGE</w:t>
            </w:r>
          </w:p>
        </w:tc>
      </w:tr>
      <w:tr w:rsidR="00624F7D" w:rsidRPr="0003495F" w14:paraId="2B7C8BA8" w14:textId="77777777" w:rsidTr="00C66A3E">
        <w:trPr>
          <w:trHeight w:val="680"/>
        </w:trPr>
        <w:tc>
          <w:tcPr>
            <w:tcW w:w="9862" w:type="dxa"/>
            <w:shd w:val="clear" w:color="auto" w:fill="FFF2CC" w:themeFill="accent4" w:themeFillTint="33"/>
            <w:vAlign w:val="center"/>
            <w:hideMark/>
          </w:tcPr>
          <w:p w14:paraId="67099C10" w14:textId="77777777" w:rsidR="00624F7D" w:rsidRPr="00F1561D" w:rsidRDefault="00624F7D" w:rsidP="00C66A3E">
            <w:pPr>
              <w:pStyle w:val="TableBodyLeft"/>
              <w:rPr>
                <w:color w:val="000000" w:themeColor="text1"/>
              </w:rPr>
            </w:pPr>
            <w:r w:rsidRPr="00F1561D">
              <w:rPr>
                <w:color w:val="000000" w:themeColor="text1"/>
              </w:rPr>
              <w:t>Operation TUTELAGE is a UK-wide initiative aimed at reducing the number of uninsured drivers which Police Scotland joined in April 2021.</w:t>
            </w:r>
          </w:p>
          <w:p w14:paraId="76B4FBD5" w14:textId="77777777" w:rsidR="00624F7D" w:rsidRPr="00F1561D" w:rsidRDefault="00624F7D" w:rsidP="00C66A3E">
            <w:pPr>
              <w:pStyle w:val="TableBodyLeft"/>
              <w:rPr>
                <w:color w:val="000000" w:themeColor="text1"/>
              </w:rPr>
            </w:pPr>
            <w:r w:rsidRPr="00F1561D">
              <w:rPr>
                <w:color w:val="000000" w:themeColor="text1"/>
              </w:rPr>
              <w:t>This Criminal Justice led initiative centres on identifying uninsured vehicles using ANPR and subsequently writing an ‘Insurance Advisory Letter’ to the registered keepers, to inform them that driving without insurance is an offence. Working on the principle of behavioural compliance, the operation is designed to encourage the majority of compl</w:t>
            </w:r>
            <w:r>
              <w:rPr>
                <w:color w:val="000000" w:themeColor="text1"/>
              </w:rPr>
              <w:t>i</w:t>
            </w:r>
            <w:r w:rsidRPr="00F1561D">
              <w:rPr>
                <w:color w:val="000000" w:themeColor="text1"/>
              </w:rPr>
              <w:t>ant individuals to insure their vehicles.</w:t>
            </w:r>
          </w:p>
          <w:p w14:paraId="182E1B68" w14:textId="77777777" w:rsidR="00624F7D" w:rsidRPr="00F1561D" w:rsidRDefault="00624F7D" w:rsidP="00C66A3E">
            <w:pPr>
              <w:pStyle w:val="TableBodyLeft"/>
              <w:rPr>
                <w:color w:val="000000" w:themeColor="text1"/>
              </w:rPr>
            </w:pPr>
            <w:r w:rsidRPr="00F1561D">
              <w:rPr>
                <w:color w:val="000000" w:themeColor="text1"/>
              </w:rPr>
              <w:t>From launch until 05 March 2025, the latest date for which figures are available, a total of 43,705 letters had been issued in Scotland. These produced an overall compliance rate of 81.1%.</w:t>
            </w:r>
          </w:p>
          <w:p w14:paraId="3BDE3687" w14:textId="77777777" w:rsidR="00624F7D" w:rsidRPr="00F1561D" w:rsidRDefault="00624F7D" w:rsidP="00C66A3E">
            <w:pPr>
              <w:pStyle w:val="TableBodyLeft"/>
              <w:rPr>
                <w:color w:val="000000" w:themeColor="text1"/>
              </w:rPr>
            </w:pPr>
            <w:r w:rsidRPr="00F1561D">
              <w:rPr>
                <w:color w:val="000000" w:themeColor="text1"/>
              </w:rPr>
              <w:t>Key road safety benefits include:</w:t>
            </w:r>
          </w:p>
          <w:p w14:paraId="56DEB966" w14:textId="77777777" w:rsidR="00624F7D" w:rsidRPr="00F1561D" w:rsidRDefault="00624F7D" w:rsidP="00C66A3E">
            <w:pPr>
              <w:pStyle w:val="TableBodyLeft"/>
              <w:numPr>
                <w:ilvl w:val="0"/>
                <w:numId w:val="14"/>
              </w:numPr>
              <w:rPr>
                <w:color w:val="000000" w:themeColor="text1"/>
              </w:rPr>
            </w:pPr>
            <w:r w:rsidRPr="00F1561D">
              <w:rPr>
                <w:color w:val="000000" w:themeColor="text1"/>
              </w:rPr>
              <w:t>Reducing the number of uninsured vehicles utilising Scotland’s road network, using positive engagement and resolution.</w:t>
            </w:r>
          </w:p>
          <w:p w14:paraId="397B6E86" w14:textId="77777777" w:rsidR="00624F7D" w:rsidRPr="00F1561D" w:rsidRDefault="00624F7D" w:rsidP="00C66A3E">
            <w:pPr>
              <w:pStyle w:val="TableBodyLeft"/>
              <w:numPr>
                <w:ilvl w:val="0"/>
                <w:numId w:val="14"/>
              </w:numPr>
              <w:rPr>
                <w:color w:val="000000" w:themeColor="text1"/>
              </w:rPr>
            </w:pPr>
            <w:r w:rsidRPr="00F1561D">
              <w:rPr>
                <w:color w:val="000000" w:themeColor="text1"/>
              </w:rPr>
              <w:t>Optimising Police Scotland investment in upgrading our ANPR capability/infrastructure.</w:t>
            </w:r>
          </w:p>
          <w:p w14:paraId="4F4BD6CE" w14:textId="77777777" w:rsidR="00624F7D" w:rsidRPr="00D87D1B" w:rsidRDefault="00624F7D" w:rsidP="00C66A3E">
            <w:pPr>
              <w:pStyle w:val="TableBodyLeft"/>
              <w:numPr>
                <w:ilvl w:val="0"/>
                <w:numId w:val="14"/>
              </w:numPr>
              <w:rPr>
                <w:color w:val="000000" w:themeColor="text1"/>
              </w:rPr>
            </w:pPr>
            <w:r w:rsidRPr="00F1561D">
              <w:rPr>
                <w:color w:val="000000" w:themeColor="text1"/>
              </w:rPr>
              <w:t>Collaborating with Road Policing to also facilitate pro-active, targeted enforcement</w:t>
            </w:r>
            <w:r w:rsidRPr="00F53199">
              <w:rPr>
                <w:color w:val="000000" w:themeColor="text1"/>
              </w:rPr>
              <w:t>.</w:t>
            </w:r>
          </w:p>
        </w:tc>
      </w:tr>
    </w:tbl>
    <w:p w14:paraId="6406784E" w14:textId="77777777" w:rsidR="00624F7D" w:rsidRDefault="00624F7D" w:rsidP="00624F7D">
      <w:pPr>
        <w:pStyle w:val="Heading4"/>
      </w:pPr>
      <w:r>
        <w:lastRenderedPageBreak/>
        <w:t>Stop and Search (Strategic Outcome 1)</w:t>
      </w:r>
    </w:p>
    <w:p w14:paraId="67424517" w14:textId="77777777" w:rsidR="00624F7D" w:rsidRDefault="00624F7D" w:rsidP="00624F7D">
      <w:pPr>
        <w:rPr>
          <w:noProof/>
        </w:rPr>
      </w:pPr>
      <w:r>
        <w:rPr>
          <w:noProof/>
        </w:rPr>
        <w:drawing>
          <wp:inline distT="0" distB="0" distL="0" distR="0" wp14:anchorId="0883291A" wp14:editId="2ACC8929">
            <wp:extent cx="6188710" cy="731520"/>
            <wp:effectExtent l="0" t="0" r="2540" b="0"/>
            <wp:docPr id="1838309444" name="Picture 1" descr="Stop Search YTD Comparison Table&#10;This table shows the stop and search compliance rate was 99.1% PYTD compared to 99.0% YTD (down 0.1% points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3111" name="Picture 1" descr="Stop Search YTD Comparison Table&#10;This table shows the stop and search compliance rate was 99.1% PYTD compared to 99.0% YTD (down 0.1% points from last year).&#10;"/>
                    <pic:cNvPicPr/>
                  </pic:nvPicPr>
                  <pic:blipFill>
                    <a:blip r:embed="rId28"/>
                    <a:stretch>
                      <a:fillRect/>
                    </a:stretch>
                  </pic:blipFill>
                  <pic:spPr>
                    <a:xfrm>
                      <a:off x="0" y="0"/>
                      <a:ext cx="6188710" cy="731520"/>
                    </a:xfrm>
                    <a:prstGeom prst="rect">
                      <a:avLst/>
                    </a:prstGeom>
                  </pic:spPr>
                </pic:pic>
              </a:graphicData>
            </a:graphic>
          </wp:inline>
        </w:drawing>
      </w:r>
    </w:p>
    <w:p w14:paraId="74616DC0" w14:textId="3E4032B9" w:rsidR="00624F7D" w:rsidRPr="0097081E" w:rsidRDefault="00624F7D" w:rsidP="00624F7D">
      <w:pPr>
        <w:rPr>
          <w:noProof/>
        </w:rPr>
      </w:pPr>
      <w:r w:rsidRPr="0097081E">
        <w:rPr>
          <w:noProof/>
        </w:rPr>
        <w:t>40,070 stop and search incidents were recorded by Police Scotland during the period. This includes 1,558 searches under warrant. The number of searches recorded this year was 21.1% more than last year and 12.0% more than the five-year mean.</w:t>
      </w:r>
    </w:p>
    <w:p w14:paraId="58BC5C41" w14:textId="131FEEB6" w:rsidR="00624F7D" w:rsidRDefault="00624F7D" w:rsidP="00624F7D">
      <w:pPr>
        <w:rPr>
          <w:noProof/>
        </w:rPr>
      </w:pPr>
      <w:r w:rsidRPr="0097081E">
        <w:rPr>
          <w:noProof/>
        </w:rPr>
        <w:t>24.6% of searches recorded during the period were positive – this is a decrease in the positive rate from this period last year of 4.1</w:t>
      </w:r>
      <w:r>
        <w:rPr>
          <w:noProof/>
        </w:rPr>
        <w:t xml:space="preserve"> percentage</w:t>
      </w:r>
      <w:r w:rsidRPr="0097081E">
        <w:rPr>
          <w:noProof/>
        </w:rPr>
        <w:t xml:space="preserve"> points and a decrease of 9.0</w:t>
      </w:r>
      <w:r>
        <w:rPr>
          <w:noProof/>
        </w:rPr>
        <w:t xml:space="preserve"> percentage</w:t>
      </w:r>
      <w:r w:rsidRPr="0097081E">
        <w:rPr>
          <w:noProof/>
        </w:rPr>
        <w:t xml:space="preserve"> points from the five-year mean positive rate.</w:t>
      </w:r>
    </w:p>
    <w:p w14:paraId="4D2C0D0B" w14:textId="7C37508C" w:rsidR="00624F7D" w:rsidRPr="00827D93" w:rsidRDefault="00624F7D" w:rsidP="00624F7D">
      <w:r w:rsidRPr="0097081E">
        <w:rPr>
          <w:noProof/>
        </w:rPr>
        <w:t>7,804</w:t>
      </w:r>
      <w:r w:rsidRPr="0097081E">
        <w:t xml:space="preserve"> searches led to the recovery of drugs, </w:t>
      </w:r>
      <w:r w:rsidRPr="0097081E">
        <w:rPr>
          <w:noProof/>
        </w:rPr>
        <w:t>929</w:t>
      </w:r>
      <w:r w:rsidRPr="0097081E">
        <w:t xml:space="preserve"> recovered weapons and </w:t>
      </w:r>
      <w:r w:rsidRPr="0097081E">
        <w:rPr>
          <w:noProof/>
        </w:rPr>
        <w:t>805</w:t>
      </w:r>
      <w:r w:rsidRPr="0097081E">
        <w:t xml:space="preserve"> recovered stolen property. Of the searches that recovered </w:t>
      </w:r>
      <w:r w:rsidRPr="00163F08">
        <w:t xml:space="preserve">weapons, </w:t>
      </w:r>
      <w:r w:rsidRPr="00163F08">
        <w:rPr>
          <w:noProof/>
        </w:rPr>
        <w:t>132</w:t>
      </w:r>
      <w:r w:rsidRPr="00163F08">
        <w:t xml:space="preserve"> involved weapons being recovered from 12-15 year olds, and a further </w:t>
      </w:r>
      <w:r w:rsidRPr="00163F08">
        <w:rPr>
          <w:noProof/>
        </w:rPr>
        <w:t>97</w:t>
      </w:r>
      <w:r w:rsidRPr="00163F08">
        <w:t xml:space="preserve"> from 16-17 year olds.</w:t>
      </w:r>
      <w:r w:rsidR="00CD7CA6">
        <w:t xml:space="preserve"> Recent years have seen an increase in the number of weapons recovered from young people, particularly teenagers, via stop and search, whereas the number of searches that recovered drugs from young people has been decreasing.</w:t>
      </w:r>
    </w:p>
    <w:p w14:paraId="2DFD3A43" w14:textId="77777777" w:rsidR="00624F7D" w:rsidRPr="0097081E" w:rsidRDefault="00624F7D" w:rsidP="00624F7D">
      <w:r w:rsidRPr="0097081E">
        <w:rPr>
          <w:noProof/>
        </w:rPr>
        <w:t>56</w:t>
      </w:r>
      <w:r w:rsidRPr="0097081E">
        <w:t xml:space="preserve"> of the searches that recovered weapons were conducted for a care </w:t>
      </w:r>
      <w:r>
        <w:t>and</w:t>
      </w:r>
      <w:r w:rsidRPr="0097081E">
        <w:t xml:space="preserve"> welfare reason, and a further </w:t>
      </w:r>
      <w:r w:rsidRPr="0097081E">
        <w:rPr>
          <w:noProof/>
        </w:rPr>
        <w:t>13</w:t>
      </w:r>
      <w:r w:rsidRPr="0097081E">
        <w:t xml:space="preserve"> were conducted for the protection of life search reason.</w:t>
      </w:r>
    </w:p>
    <w:p w14:paraId="66B0D8F4" w14:textId="77777777" w:rsidR="00624F7D" w:rsidRPr="006B7B7B" w:rsidRDefault="00624F7D" w:rsidP="00624F7D">
      <w:pPr>
        <w:rPr>
          <w:noProof/>
        </w:rPr>
      </w:pPr>
      <w:r w:rsidRPr="006B7B7B">
        <w:rPr>
          <w:noProof/>
        </w:rPr>
        <w:t>39,438 stop and search records were audited during 2024/25. An audit involves the records being reviewed by line managers and thereafter quality control checked by the National Stop and Search Unit to ensure their adherence to the Stop and Search Code of Practice introduced in May 2017.</w:t>
      </w:r>
    </w:p>
    <w:p w14:paraId="298006D2" w14:textId="293A8770" w:rsidR="00624F7D" w:rsidRPr="006B7B7B" w:rsidRDefault="00624F7D" w:rsidP="00624F7D">
      <w:pPr>
        <w:rPr>
          <w:noProof/>
        </w:rPr>
      </w:pPr>
      <w:r w:rsidRPr="006B7B7B">
        <w:rPr>
          <w:noProof/>
        </w:rPr>
        <w:t>774 records were returned to local management for further details and are awaiting responses.</w:t>
      </w:r>
    </w:p>
    <w:p w14:paraId="2F927BA2" w14:textId="77777777" w:rsidR="00624F7D" w:rsidRPr="006B7B7B" w:rsidRDefault="00624F7D" w:rsidP="00624F7D">
      <w:pPr>
        <w:rPr>
          <w:noProof/>
        </w:rPr>
      </w:pPr>
      <w:r w:rsidRPr="006B7B7B">
        <w:rPr>
          <w:noProof/>
        </w:rPr>
        <w:t>Of the remaining 38,664 records, 89.9% were deemed compliant with the Code of Practice and another 9.1% were compl</w:t>
      </w:r>
      <w:r>
        <w:rPr>
          <w:noProof/>
        </w:rPr>
        <w:t>i</w:t>
      </w:r>
      <w:r w:rsidRPr="006B7B7B">
        <w:rPr>
          <w:noProof/>
        </w:rPr>
        <w:t>ant but required amendment to their details to ensure they were appropriately recorded.</w:t>
      </w:r>
    </w:p>
    <w:p w14:paraId="219DCB6C" w14:textId="456A8B5C" w:rsidR="00624F7D" w:rsidRPr="006B7B7B" w:rsidRDefault="00624F7D" w:rsidP="00624F7D">
      <w:r w:rsidRPr="006B7B7B">
        <w:t>399 (1.0%) records were deemed as not recordable under the code of practice or recorded in error and deleted from the database. The typical reasons for deletion include where a person is searched after being arrested, as a result of a duplicate record or where no physical search of a person has actually taken place.</w:t>
      </w:r>
    </w:p>
    <w:p w14:paraId="3D91B258" w14:textId="77777777" w:rsidR="00624F7D" w:rsidRPr="006B7B7B" w:rsidRDefault="00624F7D" w:rsidP="00624F7D">
      <w:pPr>
        <w:rPr>
          <w:noProof/>
        </w:rPr>
      </w:pPr>
      <w:r w:rsidRPr="006B7B7B">
        <w:t>It should be noted that the total number of records audited for compliance will be lower than the total number of searches raised during the period due to the timescales required to fully review all records.</w:t>
      </w:r>
    </w:p>
    <w:p w14:paraId="1973B815" w14:textId="77777777" w:rsidR="00624F7D" w:rsidRPr="006B7B7B" w:rsidRDefault="00624F7D" w:rsidP="00624F7D">
      <w:pPr>
        <w:rPr>
          <w:noProof/>
        </w:rPr>
      </w:pPr>
      <w:r w:rsidRPr="006B7B7B">
        <w:t xml:space="preserve">More information about stop and search statistics as well as stop and search data files can be found on the Police Scotland website: </w:t>
      </w:r>
      <w:hyperlink r:id="rId29" w:history="1">
        <w:r w:rsidRPr="006B7B7B">
          <w:rPr>
            <w:rStyle w:val="Hyperlink"/>
            <w:noProof/>
            <w:color w:val="auto"/>
          </w:rPr>
          <w:t>Stop Search Data.</w:t>
        </w:r>
      </w:hyperlink>
    </w:p>
    <w:p w14:paraId="0769B681" w14:textId="77777777" w:rsidR="00624F7D" w:rsidRDefault="00624F7D" w:rsidP="00624F7D">
      <w:pPr>
        <w:pStyle w:val="Heading4"/>
      </w:pPr>
      <w:r w:rsidRPr="00BF1C94">
        <w:lastRenderedPageBreak/>
        <w:t>Criminal Justice</w:t>
      </w:r>
      <w:r>
        <w:t xml:space="preserve"> (Strategic Outcome 2)</w:t>
      </w:r>
    </w:p>
    <w:p w14:paraId="7D8B212A" w14:textId="77777777" w:rsidR="00624F7D" w:rsidRDefault="00624F7D" w:rsidP="00624F7D">
      <w:r>
        <w:rPr>
          <w:noProof/>
        </w:rPr>
        <w:drawing>
          <wp:inline distT="0" distB="0" distL="0" distR="0" wp14:anchorId="03B6C503" wp14:editId="15B0B2C6">
            <wp:extent cx="6188710" cy="746125"/>
            <wp:effectExtent l="0" t="0" r="2540" b="0"/>
            <wp:docPr id="1120070413" name="Picture 1" descr="Criminal Justice Volume of Cases YTD Comparison Table&#10;This table shows 125,722 cases submitted into criminal justice system in the YTD. PYTD comparisons have not been made as per the following expla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84492" name="Picture 1" descr="Criminal Justice Volume of Cases YTD Comparison Table&#10;This table shows 125,722 cases submitted into criminal justice system in the YTD. PYTD comparisons have not been made as per the following explanation.&#10;"/>
                    <pic:cNvPicPr/>
                  </pic:nvPicPr>
                  <pic:blipFill>
                    <a:blip r:embed="rId30"/>
                    <a:stretch>
                      <a:fillRect/>
                    </a:stretch>
                  </pic:blipFill>
                  <pic:spPr>
                    <a:xfrm>
                      <a:off x="0" y="0"/>
                      <a:ext cx="6188710" cy="746125"/>
                    </a:xfrm>
                    <a:prstGeom prst="rect">
                      <a:avLst/>
                    </a:prstGeom>
                  </pic:spPr>
                </pic:pic>
              </a:graphicData>
            </a:graphic>
          </wp:inline>
        </w:drawing>
      </w:r>
    </w:p>
    <w:p w14:paraId="5D845233" w14:textId="213E249A" w:rsidR="00624F7D" w:rsidRDefault="00624F7D" w:rsidP="00624F7D">
      <w:pPr>
        <w:rPr>
          <w:b/>
          <w:bCs/>
        </w:rPr>
      </w:pPr>
      <w:r w:rsidRPr="00386034">
        <w:t>The number of cases is now being provided from the single National Case Management system.</w:t>
      </w:r>
      <w:r>
        <w:t xml:space="preserve"> </w:t>
      </w:r>
      <w:r w:rsidRPr="00386034">
        <w:t>The structure and components of the new system represent a significant upgrade but mean that data is not advisedly comparable for these purposes. This data will be available for comparison from the next reporting year.</w:t>
      </w:r>
    </w:p>
    <w:p w14:paraId="385257CD" w14:textId="77777777" w:rsidR="00624F7D" w:rsidRDefault="00624F7D" w:rsidP="00624F7D">
      <w:pPr>
        <w:pStyle w:val="Heading4"/>
      </w:pPr>
      <w:r>
        <w:t>Police Custody</w:t>
      </w:r>
    </w:p>
    <w:p w14:paraId="49FF352E" w14:textId="77777777" w:rsidR="00624F7D" w:rsidRDefault="00624F7D" w:rsidP="00624F7D">
      <w:pPr>
        <w:pStyle w:val="Heading4"/>
      </w:pPr>
      <w:r>
        <w:t>Arrested Persons</w:t>
      </w:r>
    </w:p>
    <w:p w14:paraId="5EA7FA27" w14:textId="77777777" w:rsidR="00624F7D" w:rsidRDefault="00624F7D" w:rsidP="00624F7D">
      <w:pPr>
        <w:rPr>
          <w:noProof/>
        </w:rPr>
      </w:pPr>
      <w:r>
        <w:rPr>
          <w:noProof/>
        </w:rPr>
        <w:drawing>
          <wp:inline distT="0" distB="0" distL="0" distR="0" wp14:anchorId="36C70FA0" wp14:editId="0DAF41B9">
            <wp:extent cx="6188710" cy="717550"/>
            <wp:effectExtent l="0" t="0" r="2540" b="6350"/>
            <wp:docPr id="1178627507" name="Picture 1" descr="Arrested Persons in Custody YTD Comparison Table&#10;This table shows arrested persons were brought into custody 99,986 times PYTD compared to 99,216 YTD (down 0.8%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66090" name="Picture 1" descr="Arrested Persons in Custody YTD Comparison Table&#10;This table shows arrested persons were brought into custody 99,986 times PYTD compared to 99,216 YTD (down 0.8% on last year).&#10;"/>
                    <pic:cNvPicPr/>
                  </pic:nvPicPr>
                  <pic:blipFill>
                    <a:blip r:embed="rId31"/>
                    <a:stretch>
                      <a:fillRect/>
                    </a:stretch>
                  </pic:blipFill>
                  <pic:spPr>
                    <a:xfrm>
                      <a:off x="0" y="0"/>
                      <a:ext cx="6188710" cy="717550"/>
                    </a:xfrm>
                    <a:prstGeom prst="rect">
                      <a:avLst/>
                    </a:prstGeom>
                  </pic:spPr>
                </pic:pic>
              </a:graphicData>
            </a:graphic>
          </wp:inline>
        </w:drawing>
      </w:r>
    </w:p>
    <w:p w14:paraId="6D349F34" w14:textId="77777777" w:rsidR="00624F7D" w:rsidRDefault="00624F7D" w:rsidP="00624F7D">
      <w:pPr>
        <w:rPr>
          <w:noProof/>
        </w:rPr>
      </w:pPr>
      <w:r w:rsidRPr="00386034">
        <w:rPr>
          <w:noProof/>
        </w:rPr>
        <w:t>Custody throughput has reduced slightly for the first time following 11 consecutive quarters where it ha</w:t>
      </w:r>
      <w:r>
        <w:rPr>
          <w:noProof/>
        </w:rPr>
        <w:t>d</w:t>
      </w:r>
      <w:r w:rsidRPr="00386034">
        <w:rPr>
          <w:noProof/>
        </w:rPr>
        <w:t xml:space="preserve"> risen following the pandemic. It may be assessed that this is now levelling into the new norm following the significant rebalancing of policing and the wider </w:t>
      </w:r>
      <w:r>
        <w:rPr>
          <w:noProof/>
        </w:rPr>
        <w:t>c</w:t>
      </w:r>
      <w:r w:rsidRPr="00386034">
        <w:rPr>
          <w:noProof/>
        </w:rPr>
        <w:t xml:space="preserve">riminal </w:t>
      </w:r>
      <w:r>
        <w:rPr>
          <w:noProof/>
        </w:rPr>
        <w:t>j</w:t>
      </w:r>
      <w:r w:rsidRPr="00386034">
        <w:rPr>
          <w:noProof/>
        </w:rPr>
        <w:t xml:space="preserve">ustice </w:t>
      </w:r>
      <w:r>
        <w:rPr>
          <w:noProof/>
        </w:rPr>
        <w:t>s</w:t>
      </w:r>
      <w:r w:rsidRPr="00386034">
        <w:rPr>
          <w:noProof/>
        </w:rPr>
        <w:t>ystem post pandemic.</w:t>
      </w:r>
    </w:p>
    <w:p w14:paraId="16CC8375" w14:textId="77777777" w:rsidR="00624F7D" w:rsidRDefault="00624F7D" w:rsidP="00624F7D">
      <w:pPr>
        <w:rPr>
          <w:noProof/>
        </w:rPr>
      </w:pPr>
      <w:r w:rsidRPr="00386034">
        <w:rPr>
          <w:noProof/>
        </w:rPr>
        <w:t xml:space="preserve">One possible contributing factor in this reduction may be the introduction of the Planned Voluntary Interview Pathway (PVIP) running since November 2024 which sees low level minor offending suspect interviews taking place without the need to convey suspects to a custody centre. </w:t>
      </w:r>
      <w:r>
        <w:t>Over 500 interviews of suspect persons have been successfully conducted by officers on this pathway.</w:t>
      </w:r>
    </w:p>
    <w:p w14:paraId="3EDBD2D5" w14:textId="77777777" w:rsidR="00624F7D" w:rsidRDefault="00624F7D" w:rsidP="00624F7D">
      <w:pPr>
        <w:rPr>
          <w:noProof/>
        </w:rPr>
      </w:pPr>
      <w:r>
        <w:rPr>
          <w:noProof/>
        </w:rPr>
        <w:drawing>
          <wp:inline distT="0" distB="0" distL="0" distR="0" wp14:anchorId="17790C75" wp14:editId="19DFAB77">
            <wp:extent cx="6188710" cy="1080135"/>
            <wp:effectExtent l="0" t="0" r="2540" b="5715"/>
            <wp:docPr id="18625568" name="Picture 1" descr="Arrested Persons Held for Court YTD Comparison Table&#10;The first row shows arrested persons were held for court 42,650 times PYTD compared to 41,690 YTD (down 2.3% on last year). &#10;The second row shows Arrested persons were held for court new case 27,797 times PYTD compared to 25,662 YTD (down 7.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8918" name="Picture 1" descr="Arrested Persons Held for Court YTD Comparison Table&#10;The first row shows arrested persons were held for court 42,650 times PYTD compared to 41,690 YTD (down 2.3% on last year). &#10;The second row shows Arrested persons were held for court new case 27,797 times PYTD compared to 25,662 YTD (down 7.7% on last year).&#10;"/>
                    <pic:cNvPicPr/>
                  </pic:nvPicPr>
                  <pic:blipFill>
                    <a:blip r:embed="rId32"/>
                    <a:stretch>
                      <a:fillRect/>
                    </a:stretch>
                  </pic:blipFill>
                  <pic:spPr>
                    <a:xfrm>
                      <a:off x="0" y="0"/>
                      <a:ext cx="6188710" cy="1080135"/>
                    </a:xfrm>
                    <a:prstGeom prst="rect">
                      <a:avLst/>
                    </a:prstGeom>
                  </pic:spPr>
                </pic:pic>
              </a:graphicData>
            </a:graphic>
          </wp:inline>
        </w:drawing>
      </w:r>
    </w:p>
    <w:p w14:paraId="1233F91E" w14:textId="77777777" w:rsidR="00624F7D" w:rsidRDefault="00624F7D" w:rsidP="00624F7D">
      <w:pPr>
        <w:rPr>
          <w:noProof/>
        </w:rPr>
      </w:pPr>
      <w:r>
        <w:rPr>
          <w:noProof/>
        </w:rPr>
        <w:drawing>
          <wp:inline distT="0" distB="0" distL="0" distR="0" wp14:anchorId="34C1A83B" wp14:editId="045FBB86">
            <wp:extent cx="6188710" cy="1060450"/>
            <wp:effectExtent l="0" t="0" r="2540" b="6350"/>
            <wp:docPr id="1612425059" name="Picture 1" descr="Arrested Persons Held for Court YTD % Comparison Table&#10;The first row shows the proportion of arrested persons held for court was 42.7% PYTD compared to 42.0% YTD (down 0.7% points on last year).&#10;The second row shows the proportion of arrested persons held for court new case was 27.8% PYTD compared to 25.9% YTD (down 1.9%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7933" name="Picture 1" descr="Arrested Persons Held for Court YTD % Comparison Table&#10;The first row shows the proportion of arrested persons held for court was 42.7% PYTD compared to 42.0% YTD (down 0.7% points on last year).&#10;The second row shows the proportion of arrested persons held for court new case was 27.8% PYTD compared to 25.9% YTD (down 1.9% points on last year).&#10;"/>
                    <pic:cNvPicPr/>
                  </pic:nvPicPr>
                  <pic:blipFill>
                    <a:blip r:embed="rId33"/>
                    <a:stretch>
                      <a:fillRect/>
                    </a:stretch>
                  </pic:blipFill>
                  <pic:spPr>
                    <a:xfrm>
                      <a:off x="0" y="0"/>
                      <a:ext cx="6188710" cy="1060450"/>
                    </a:xfrm>
                    <a:prstGeom prst="rect">
                      <a:avLst/>
                    </a:prstGeom>
                  </pic:spPr>
                </pic:pic>
              </a:graphicData>
            </a:graphic>
          </wp:inline>
        </w:drawing>
      </w:r>
    </w:p>
    <w:p w14:paraId="6EE8AF2A" w14:textId="77777777" w:rsidR="00624F7D" w:rsidRDefault="00624F7D" w:rsidP="00624F7D">
      <w:pPr>
        <w:rPr>
          <w:noProof/>
        </w:rPr>
      </w:pPr>
      <w:r w:rsidRPr="00386034">
        <w:rPr>
          <w:noProof/>
        </w:rPr>
        <w:t>The number and proportion of persons held for court is remaining relatively static, with a very minor reduction</w:t>
      </w:r>
      <w:r>
        <w:rPr>
          <w:noProof/>
        </w:rPr>
        <w:t>.</w:t>
      </w:r>
    </w:p>
    <w:p w14:paraId="6F94D218" w14:textId="584112D6" w:rsidR="00624F7D" w:rsidRDefault="00624F7D" w:rsidP="00624F7D">
      <w:pPr>
        <w:rPr>
          <w:noProof/>
        </w:rPr>
      </w:pPr>
      <w:r>
        <w:rPr>
          <w:noProof/>
        </w:rPr>
        <w:t xml:space="preserve">Police Scotland continues to work with COPFS to reduce the numbers held for court, and together have held inputs promoting a risk-confidence approach to release, in line with the Lord Advocates Guidelines and the Criminal Justice (Scotland) Act 2016. Inputs to custody </w:t>
      </w:r>
      <w:r>
        <w:rPr>
          <w:noProof/>
        </w:rPr>
        <w:lastRenderedPageBreak/>
        <w:t>centres across the Service will continue to promote this.</w:t>
      </w:r>
      <w:r w:rsidR="00D25D72">
        <w:rPr>
          <w:noProof/>
        </w:rPr>
        <w:t xml:space="preserve"> </w:t>
      </w:r>
      <w:r w:rsidRPr="00386034">
        <w:rPr>
          <w:noProof/>
        </w:rPr>
        <w:t>This has been in an effort to reduce the gulf between the numbers sent to court, and those for whom COPFS oppose bail.</w:t>
      </w:r>
    </w:p>
    <w:p w14:paraId="3B4CDC07" w14:textId="77777777" w:rsidR="00624F7D" w:rsidRDefault="00624F7D" w:rsidP="00624F7D">
      <w:pPr>
        <w:rPr>
          <w:noProof/>
        </w:rPr>
      </w:pPr>
      <w:r>
        <w:rPr>
          <w:noProof/>
        </w:rPr>
        <w:drawing>
          <wp:inline distT="0" distB="0" distL="0" distR="0" wp14:anchorId="67A9C038" wp14:editId="76401B8D">
            <wp:extent cx="6188710" cy="741680"/>
            <wp:effectExtent l="0" t="0" r="2540" b="1270"/>
            <wp:docPr id="1510493079" name="Picture 1" descr="Arrested Persons Released/Re-arrested YTD Comparison Table&#10;This table shows 23,419 arrested persons were released on an undertaking PYTD compared to 23,680 YTD (up 1.1% on last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5233" name="Picture 1" descr="Arrested Persons Released/Re-arrested YTD Comparison Table&#10;This table shows 23,419 arrested persons were released on an undertaking PYTD compared to 23,680 YTD (up 1.1% on last year). &#10;"/>
                    <pic:cNvPicPr/>
                  </pic:nvPicPr>
                  <pic:blipFill>
                    <a:blip r:embed="rId34"/>
                    <a:stretch>
                      <a:fillRect/>
                    </a:stretch>
                  </pic:blipFill>
                  <pic:spPr>
                    <a:xfrm>
                      <a:off x="0" y="0"/>
                      <a:ext cx="6188710" cy="741680"/>
                    </a:xfrm>
                    <a:prstGeom prst="rect">
                      <a:avLst/>
                    </a:prstGeom>
                  </pic:spPr>
                </pic:pic>
              </a:graphicData>
            </a:graphic>
          </wp:inline>
        </w:drawing>
      </w:r>
    </w:p>
    <w:p w14:paraId="0EA1D562" w14:textId="77777777" w:rsidR="00624F7D" w:rsidRDefault="00624F7D" w:rsidP="00624F7D">
      <w:pPr>
        <w:rPr>
          <w:noProof/>
        </w:rPr>
      </w:pPr>
      <w:r>
        <w:rPr>
          <w:noProof/>
        </w:rPr>
        <w:drawing>
          <wp:inline distT="0" distB="0" distL="0" distR="0" wp14:anchorId="146DF00E" wp14:editId="589EF811">
            <wp:extent cx="6188710" cy="1076960"/>
            <wp:effectExtent l="0" t="0" r="2540" b="8890"/>
            <wp:docPr id="1099151275" name="Picture 1" descr="Arrested Persons Released/Re-arrested YTD % Comparison Table&#10;The first row shows the proportion of arrested persons released on an undertaking was 23.4% PYTD compared to 23.9% YTD (up 0.5% points on last year).&#10;The second row shows the proportion of persons released on investigative liberation was 0.9% PYTD compared to 1.0% YTD (up 0.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23333" name="Picture 1" descr="Arrested Persons Released/Re-arrested YTD % Comparison Table&#10;The first row shows the proportion of arrested persons released on an undertaking was 23.4% PYTD compared to 23.9% YTD (up 0.5% points on last year).&#10;The second row shows the proportion of persons released on investigative liberation was 0.9% PYTD compared to 1.0% YTD (up 0.1% on last year).&#10;"/>
                    <pic:cNvPicPr/>
                  </pic:nvPicPr>
                  <pic:blipFill>
                    <a:blip r:embed="rId35"/>
                    <a:stretch>
                      <a:fillRect/>
                    </a:stretch>
                  </pic:blipFill>
                  <pic:spPr>
                    <a:xfrm>
                      <a:off x="0" y="0"/>
                      <a:ext cx="6188710" cy="1076960"/>
                    </a:xfrm>
                    <a:prstGeom prst="rect">
                      <a:avLst/>
                    </a:prstGeom>
                  </pic:spPr>
                </pic:pic>
              </a:graphicData>
            </a:graphic>
          </wp:inline>
        </w:drawing>
      </w:r>
    </w:p>
    <w:p w14:paraId="7183C619" w14:textId="77777777" w:rsidR="00624F7D" w:rsidRDefault="00624F7D" w:rsidP="00624F7D">
      <w:pPr>
        <w:rPr>
          <w:noProof/>
        </w:rPr>
      </w:pPr>
      <w:r w:rsidRPr="009D5A00">
        <w:rPr>
          <w:noProof/>
        </w:rPr>
        <w:t>The use of undertaking has increased very slightly but has been broadly static around 23% throughout recent quarters and years.</w:t>
      </w:r>
    </w:p>
    <w:p w14:paraId="6753A172" w14:textId="77777777" w:rsidR="00624F7D" w:rsidRDefault="00624F7D" w:rsidP="00624F7D">
      <w:pPr>
        <w:rPr>
          <w:noProof/>
        </w:rPr>
      </w:pPr>
      <w:r w:rsidRPr="009D5A00">
        <w:rPr>
          <w:noProof/>
        </w:rPr>
        <w:t xml:space="preserve">Investigative </w:t>
      </w:r>
      <w:r>
        <w:rPr>
          <w:noProof/>
        </w:rPr>
        <w:t>l</w:t>
      </w:r>
      <w:r w:rsidRPr="009D5A00">
        <w:rPr>
          <w:noProof/>
        </w:rPr>
        <w:t xml:space="preserve">iberation continues to rise and although appearing modest this is significant as the percentage is reported as a percentage of total throughput when only those who are </w:t>
      </w:r>
      <w:r>
        <w:rPr>
          <w:noProof/>
        </w:rPr>
        <w:t>n</w:t>
      </w:r>
      <w:r w:rsidRPr="009D5A00">
        <w:rPr>
          <w:noProof/>
        </w:rPr>
        <w:t xml:space="preserve">ot </w:t>
      </w:r>
      <w:r>
        <w:rPr>
          <w:noProof/>
        </w:rPr>
        <w:t>o</w:t>
      </w:r>
      <w:r w:rsidRPr="009D5A00">
        <w:rPr>
          <w:noProof/>
        </w:rPr>
        <w:t xml:space="preserve">fficially </w:t>
      </w:r>
      <w:r>
        <w:rPr>
          <w:noProof/>
        </w:rPr>
        <w:t>a</w:t>
      </w:r>
      <w:r w:rsidRPr="009D5A00">
        <w:rPr>
          <w:noProof/>
        </w:rPr>
        <w:t xml:space="preserve">ccused can be subject to </w:t>
      </w:r>
      <w:r>
        <w:rPr>
          <w:noProof/>
        </w:rPr>
        <w:t>i</w:t>
      </w:r>
      <w:r w:rsidRPr="009D5A00">
        <w:rPr>
          <w:noProof/>
        </w:rPr>
        <w:t xml:space="preserve">nvestigative </w:t>
      </w:r>
      <w:r>
        <w:rPr>
          <w:noProof/>
        </w:rPr>
        <w:t>l</w:t>
      </w:r>
      <w:r w:rsidRPr="009D5A00">
        <w:rPr>
          <w:noProof/>
        </w:rPr>
        <w:t>iberation.</w:t>
      </w:r>
    </w:p>
    <w:p w14:paraId="0E656FB4" w14:textId="77777777" w:rsidR="00624F7D" w:rsidRDefault="00624F7D" w:rsidP="00624F7D">
      <w:pPr>
        <w:rPr>
          <w:b/>
          <w:bCs/>
          <w:noProof/>
        </w:rPr>
      </w:pPr>
      <w:r w:rsidRPr="009D5A00">
        <w:rPr>
          <w:noProof/>
        </w:rPr>
        <w:t>This is undoubtedly a positive trend as it demonstrates increased use of the bespoke powers conferred under the Criminal Justice (Scotland) Act 2016.</w:t>
      </w:r>
    </w:p>
    <w:p w14:paraId="647B0556" w14:textId="77777777" w:rsidR="00624F7D" w:rsidRDefault="00624F7D" w:rsidP="00624F7D">
      <w:pPr>
        <w:pStyle w:val="Heading4"/>
      </w:pPr>
      <w:r w:rsidRPr="00F060F9">
        <w:t>Children brought into Police Custody / Held for Court</w:t>
      </w:r>
    </w:p>
    <w:p w14:paraId="5E888FE1" w14:textId="77777777" w:rsidR="00624F7D" w:rsidRDefault="00624F7D" w:rsidP="00624F7D">
      <w:r>
        <w:rPr>
          <w:noProof/>
        </w:rPr>
        <w:drawing>
          <wp:inline distT="0" distB="0" distL="0" distR="0" wp14:anchorId="659F79BE" wp14:editId="320E587F">
            <wp:extent cx="6188710" cy="2425065"/>
            <wp:effectExtent l="0" t="0" r="2540" b="0"/>
            <wp:docPr id="123024194" name="Picture 1" descr="Children Arrested YTD Comparison Table&#10;This first row shows 1,458 younger children were arrested but not held overnight PYTD compared to 1,332 YTD (down 8.6% on last year).&#10;The second row shows 204 younger children were arrested and held overnight PYTD compared to 173 YTD (down 15.2% on last year).&#10;The third row shows 34 younger children were held over 24 hours PYTD compared to 36 YTD (up 5.9% on last year).&#10;The fourth row shows 1,475 older children were arrested but not held overnight PYTD compared to 1,523 YTD (up 3.3% on last year).&#10;The fifth row shows 505 older children were arrested and held overnight PYTD compared to 507 YTD (up 0.4% on last year).&#10;The sixth row shows 196 older children were held over 24 hours PYTD compared to 168 YTD (down 14.3%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10781" name="Picture 1" descr="Children Arrested YTD Comparison Table&#10;This first row shows 1,458 younger children were arrested but not held overnight PYTD compared to 1,332 YTD (down 8.6% on last year).&#10;The second row shows 204 younger children were arrested and held overnight PYTD compared to 173 YTD (down 15.2% on last year).&#10;The third row shows 34 younger children were held over 24 hours PYTD compared to 36 YTD (up 5.9% on last year).&#10;The fourth row shows 1,475 older children were arrested but not held overnight PYTD compared to 1,523 YTD (up 3.3% on last year).&#10;The fifth row shows 505 older children were arrested and held overnight PYTD compared to 507 YTD (up 0.4% on last year).&#10;The sixth row shows 196 older children were held over 24 hours PYTD compared to 168 YTD (down 14.3% on last year).&#10;"/>
                    <pic:cNvPicPr/>
                  </pic:nvPicPr>
                  <pic:blipFill>
                    <a:blip r:embed="rId36"/>
                    <a:stretch>
                      <a:fillRect/>
                    </a:stretch>
                  </pic:blipFill>
                  <pic:spPr>
                    <a:xfrm>
                      <a:off x="0" y="0"/>
                      <a:ext cx="6188710" cy="2425065"/>
                    </a:xfrm>
                    <a:prstGeom prst="rect">
                      <a:avLst/>
                    </a:prstGeom>
                  </pic:spPr>
                </pic:pic>
              </a:graphicData>
            </a:graphic>
          </wp:inline>
        </w:drawing>
      </w:r>
    </w:p>
    <w:p w14:paraId="38048A33" w14:textId="77777777" w:rsidR="00624F7D" w:rsidRDefault="00624F7D" w:rsidP="00624F7D">
      <w:r>
        <w:t>Criminal Justice Services Division (</w:t>
      </w:r>
      <w:r w:rsidRPr="00284E4F">
        <w:t>CJSD</w:t>
      </w:r>
      <w:r>
        <w:t>)</w:t>
      </w:r>
      <w:r w:rsidRPr="00284E4F">
        <w:t xml:space="preserve"> continues to apply considerable scrutiny to children brought into and held in </w:t>
      </w:r>
      <w:r>
        <w:t>p</w:t>
      </w:r>
      <w:r w:rsidRPr="00284E4F">
        <w:t xml:space="preserve">olice </w:t>
      </w:r>
      <w:r>
        <w:t>c</w:t>
      </w:r>
      <w:r w:rsidRPr="00284E4F">
        <w:t>ustody and will continue to make efforts to work with partners to reduce the numbers coming in as well as the length of time they are held.</w:t>
      </w:r>
      <w:r>
        <w:t xml:space="preserve"> The requirement to hold children overnight or over 24 hours is often </w:t>
      </w:r>
      <w:r w:rsidRPr="00284E4F">
        <w:t>impacted by a lack of alternative secure accommodation</w:t>
      </w:r>
      <w:r>
        <w:t>. Suitable Local Authority provision would greatly assist in reducing the number held for these periods</w:t>
      </w:r>
      <w:r w:rsidRPr="00284E4F">
        <w:t>.</w:t>
      </w:r>
    </w:p>
    <w:p w14:paraId="213689BD" w14:textId="77777777" w:rsidR="00624F7D" w:rsidRPr="00284E4F" w:rsidRDefault="00624F7D" w:rsidP="00624F7D">
      <w:pPr>
        <w:rPr>
          <w:b/>
          <w:bCs/>
        </w:rPr>
      </w:pPr>
      <w:r w:rsidRPr="00284E4F">
        <w:t>The number of younger children being brought and accepted into custody has decreased</w:t>
      </w:r>
      <w:r>
        <w:t>,</w:t>
      </w:r>
      <w:r w:rsidRPr="00284E4F">
        <w:t xml:space="preserve"> with the exception of those held over 24 hours. The</w:t>
      </w:r>
      <w:r>
        <w:t xml:space="preserve"> number</w:t>
      </w:r>
      <w:r w:rsidRPr="00284E4F">
        <w:t xml:space="preserve"> held over 24 hours is small and </w:t>
      </w:r>
      <w:r w:rsidRPr="00284E4F">
        <w:lastRenderedPageBreak/>
        <w:t>broadly static and so can be impacted significantly by a set of unique or unusual circumstances pertaining to one or a handful of individuals</w:t>
      </w:r>
      <w:r>
        <w:t>, or a lack of alternative accommodation</w:t>
      </w:r>
      <w:r w:rsidRPr="00284E4F">
        <w:t>.</w:t>
      </w:r>
    </w:p>
    <w:p w14:paraId="444EEEE0" w14:textId="77777777" w:rsidR="00624F7D" w:rsidRDefault="00624F7D" w:rsidP="00624F7D">
      <w:r w:rsidRPr="00284E4F">
        <w:t xml:space="preserve">The number of older children has increased slightly although those held over 24 hours has decreased by a significant margin in comparison with the previous </w:t>
      </w:r>
      <w:r>
        <w:t>year</w:t>
      </w:r>
      <w:r w:rsidRPr="00284E4F">
        <w:t>.</w:t>
      </w:r>
    </w:p>
    <w:p w14:paraId="232EF1B3" w14:textId="77777777" w:rsidR="00624F7D" w:rsidRDefault="00624F7D" w:rsidP="00624F7D">
      <w:pPr>
        <w:pStyle w:val="Heading4"/>
      </w:pPr>
      <w:r>
        <w:t>Police Direct Measures</w:t>
      </w:r>
    </w:p>
    <w:p w14:paraId="5AFB3033" w14:textId="77777777" w:rsidR="00624F7D" w:rsidRDefault="00624F7D" w:rsidP="00624F7D">
      <w:pPr>
        <w:rPr>
          <w:noProof/>
        </w:rPr>
      </w:pPr>
      <w:r>
        <w:rPr>
          <w:noProof/>
        </w:rPr>
        <w:drawing>
          <wp:inline distT="0" distB="0" distL="0" distR="0" wp14:anchorId="6B65DE3F" wp14:editId="3E0BF61F">
            <wp:extent cx="6188710" cy="1074420"/>
            <wp:effectExtent l="0" t="0" r="2540" b="0"/>
            <wp:docPr id="2109586030" name="Picture 1" descr="Police Direct Measures YTD Comparison Table&#10;The first row shows 4,258 ASB fixed penalty notices were issued PYTD compared to 3,739 YTD (down 12.2% on last year).&#10;The second row shows 19,181 recorded police warnings were issued PYTD compared to 25,357 YTD (up 32.2%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03757" name="Picture 1" descr="Police Direct Measures YTD Comparison Table&#10;The first row shows 4,258 ASB fixed penalty notices were issued PYTD compared to 3,739 YTD (down 12.2% on last year).&#10;The second row shows 19,181 recorded police warnings were issued PYTD compared to 25,357 YTD (up 32.2% on last year).&#10;"/>
                    <pic:cNvPicPr/>
                  </pic:nvPicPr>
                  <pic:blipFill>
                    <a:blip r:embed="rId37"/>
                    <a:stretch>
                      <a:fillRect/>
                    </a:stretch>
                  </pic:blipFill>
                  <pic:spPr>
                    <a:xfrm>
                      <a:off x="0" y="0"/>
                      <a:ext cx="6188710" cy="1074420"/>
                    </a:xfrm>
                    <a:prstGeom prst="rect">
                      <a:avLst/>
                    </a:prstGeom>
                  </pic:spPr>
                </pic:pic>
              </a:graphicData>
            </a:graphic>
          </wp:inline>
        </w:drawing>
      </w:r>
    </w:p>
    <w:p w14:paraId="7174FC00" w14:textId="680EE23D" w:rsidR="00624F7D" w:rsidRPr="00C66A3E" w:rsidRDefault="00624F7D" w:rsidP="00624F7D">
      <w:pPr>
        <w:rPr>
          <w:noProof/>
        </w:rPr>
      </w:pPr>
      <w:r w:rsidRPr="00C66A3E">
        <w:rPr>
          <w:noProof/>
        </w:rPr>
        <w:t xml:space="preserve">Police </w:t>
      </w:r>
      <w:r>
        <w:rPr>
          <w:noProof/>
        </w:rPr>
        <w:t>d</w:t>
      </w:r>
      <w:r w:rsidRPr="00C66A3E">
        <w:rPr>
          <w:noProof/>
        </w:rPr>
        <w:t xml:space="preserve">irect </w:t>
      </w:r>
      <w:r>
        <w:rPr>
          <w:noProof/>
        </w:rPr>
        <w:t>m</w:t>
      </w:r>
      <w:r w:rsidRPr="00C66A3E">
        <w:rPr>
          <w:noProof/>
        </w:rPr>
        <w:t>easures continue to be an effective tool available to police officers when dealing with offences that are considered not serious enough to merit formal proceedings but are too serious to ignore. These measures are issued at the closest point to the commission of the crime</w:t>
      </w:r>
      <w:r>
        <w:rPr>
          <w:noProof/>
        </w:rPr>
        <w:t>,</w:t>
      </w:r>
      <w:r w:rsidRPr="00C66A3E">
        <w:rPr>
          <w:noProof/>
        </w:rPr>
        <w:t xml:space="preserve"> supporting victims. Recorded police warning have increased by 32% </w:t>
      </w:r>
      <w:r>
        <w:rPr>
          <w:noProof/>
        </w:rPr>
        <w:t>when compared to the previous year</w:t>
      </w:r>
      <w:r w:rsidRPr="00C66A3E">
        <w:rPr>
          <w:noProof/>
        </w:rPr>
        <w:t>, identifying their effective use since implementation of The Lord Advocate’s amended guidelines.</w:t>
      </w:r>
    </w:p>
    <w:p w14:paraId="2347A547" w14:textId="77777777" w:rsidR="00624F7D" w:rsidRDefault="00624F7D" w:rsidP="00624F7D">
      <w:pPr>
        <w:rPr>
          <w:noProof/>
        </w:rPr>
      </w:pPr>
      <w:r w:rsidRPr="00F81505">
        <w:rPr>
          <w:noProof/>
        </w:rPr>
        <w:t xml:space="preserve">Antisocial behaviour </w:t>
      </w:r>
      <w:r>
        <w:rPr>
          <w:noProof/>
        </w:rPr>
        <w:t>(ASB)</w:t>
      </w:r>
      <w:r w:rsidRPr="00F81505">
        <w:rPr>
          <w:noProof/>
        </w:rPr>
        <w:t xml:space="preserve"> fixed penalty </w:t>
      </w:r>
      <w:r>
        <w:rPr>
          <w:noProof/>
        </w:rPr>
        <w:t>notice (FPN)</w:t>
      </w:r>
      <w:r w:rsidRPr="00F81505">
        <w:rPr>
          <w:noProof/>
        </w:rPr>
        <w:t xml:space="preserve"> issue has identified a 12.2% reduction in use</w:t>
      </w:r>
      <w:r>
        <w:rPr>
          <w:noProof/>
        </w:rPr>
        <w:t xml:space="preserve"> when compared to the previous year</w:t>
      </w:r>
      <w:r w:rsidRPr="00F81505">
        <w:rPr>
          <w:noProof/>
        </w:rPr>
        <w:t xml:space="preserve">. ASB </w:t>
      </w:r>
      <w:r>
        <w:rPr>
          <w:noProof/>
        </w:rPr>
        <w:t>FPNs</w:t>
      </w:r>
      <w:r w:rsidRPr="00F81505">
        <w:rPr>
          <w:noProof/>
        </w:rPr>
        <w:t xml:space="preserve"> have legislative restrictions in terms of the offences which they can be issued. Currently Sect</w:t>
      </w:r>
      <w:r>
        <w:rPr>
          <w:noProof/>
        </w:rPr>
        <w:t>ion</w:t>
      </w:r>
      <w:r w:rsidRPr="00F81505">
        <w:rPr>
          <w:noProof/>
        </w:rPr>
        <w:t xml:space="preserve"> 38 Criminal Justice Act (</w:t>
      </w:r>
      <w:r>
        <w:rPr>
          <w:noProof/>
        </w:rPr>
        <w:t>t</w:t>
      </w:r>
      <w:r w:rsidRPr="00F81505">
        <w:rPr>
          <w:noProof/>
        </w:rPr>
        <w:t xml:space="preserve">hreatening and </w:t>
      </w:r>
      <w:r>
        <w:rPr>
          <w:noProof/>
        </w:rPr>
        <w:t>a</w:t>
      </w:r>
      <w:r w:rsidRPr="00F81505">
        <w:rPr>
          <w:noProof/>
        </w:rPr>
        <w:t xml:space="preserve">busive behaviour) is not included in these offences and work is going with Scottish Government and COPFS to have an amendment to the act passed to include this offence moving forward. The Section 38 offence continues to be the most frequently used offence for </w:t>
      </w:r>
      <w:r>
        <w:rPr>
          <w:noProof/>
        </w:rPr>
        <w:t>RPWs</w:t>
      </w:r>
      <w:r w:rsidRPr="00F81505">
        <w:rPr>
          <w:noProof/>
        </w:rPr>
        <w:t xml:space="preserve"> identifying the need for legislative amendment.</w:t>
      </w:r>
    </w:p>
    <w:p w14:paraId="2FF48649" w14:textId="7A72DAFA" w:rsidR="00624F7D" w:rsidRDefault="00624F7D" w:rsidP="00624F7D">
      <w:pPr>
        <w:pStyle w:val="Heading4"/>
      </w:pPr>
      <w:r>
        <w:t>Vulnerability</w:t>
      </w:r>
    </w:p>
    <w:p w14:paraId="52D062C7" w14:textId="77777777" w:rsidR="00624F7D" w:rsidRDefault="00624F7D" w:rsidP="00624F7D">
      <w:pPr>
        <w:rPr>
          <w:noProof/>
        </w:rPr>
      </w:pPr>
      <w:r>
        <w:rPr>
          <w:noProof/>
        </w:rPr>
        <w:drawing>
          <wp:inline distT="0" distB="0" distL="0" distR="0" wp14:anchorId="6BEDD801" wp14:editId="1E8488EA">
            <wp:extent cx="6188710" cy="1421130"/>
            <wp:effectExtent l="0" t="0" r="2540" b="7620"/>
            <wp:docPr id="1144478277" name="Picture 1" descr="Vulnerability YTD Comparison Table&#10;The first row shows 13,103 persons were arrested with alcohol addiction issues PYTD compared to 13,607 YTD (up 3.8% on last year).&#10;The second row shows 16,731 persons were arrested with drug addiction issues PYTD compared to 15,696 YTD (down 6.2% on last year).&#10;The third row shows 43,859 persons were arrested with mental health issues PYTD compared to 42,746 YTD (down 2.5%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8237" name="Picture 1" descr="Vulnerability YTD Comparison Table&#10;The first row shows 13,103 persons were arrested with alcohol addiction issues PYTD compared to 13,607 YTD (up 3.8% on last year).&#10;The second row shows 16,731 persons were arrested with drug addiction issues PYTD compared to 15,696 YTD (down 6.2% on last year).&#10;The third row shows 43,859 persons were arrested with mental health issues PYTD compared to 42,746 YTD (down 2.5% on last year).&#10;"/>
                    <pic:cNvPicPr/>
                  </pic:nvPicPr>
                  <pic:blipFill>
                    <a:blip r:embed="rId38"/>
                    <a:stretch>
                      <a:fillRect/>
                    </a:stretch>
                  </pic:blipFill>
                  <pic:spPr>
                    <a:xfrm>
                      <a:off x="0" y="0"/>
                      <a:ext cx="6188710" cy="1421130"/>
                    </a:xfrm>
                    <a:prstGeom prst="rect">
                      <a:avLst/>
                    </a:prstGeom>
                  </pic:spPr>
                </pic:pic>
              </a:graphicData>
            </a:graphic>
          </wp:inline>
        </w:drawing>
      </w:r>
    </w:p>
    <w:p w14:paraId="1F6A5858" w14:textId="77777777" w:rsidR="00624F7D" w:rsidRDefault="00624F7D" w:rsidP="00624F7D">
      <w:pPr>
        <w:rPr>
          <w:noProof/>
        </w:rPr>
      </w:pPr>
      <w:r>
        <w:rPr>
          <w:noProof/>
        </w:rPr>
        <w:drawing>
          <wp:inline distT="0" distB="0" distL="0" distR="0" wp14:anchorId="5D8537DF" wp14:editId="5ABD4F0F">
            <wp:extent cx="6188710" cy="1405255"/>
            <wp:effectExtent l="0" t="0" r="2540" b="4445"/>
            <wp:docPr id="753454719" name="Picture 1" descr="Vulnerability YTD % Comparison Table&#10;The first row shows the proportion of persons arrested with alcohol addiction issues was 13.1% PYTD compared to 13.7% YTD (up 0.6% points on last year).&#10;The second row shows the proportion of persons arrested with drug addiction issues was 16.7% PYTD compared to 15.8% YTD (down 0.9% points on last year).&#10;The third row shows the proportion of persons arrested with mental health issues was 43.9% PYTD compared to 43.1% YTD (down 0.8%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2215" name="Picture 1" descr="Vulnerability YTD % Comparison Table&#10;The first row shows the proportion of persons arrested with alcohol addiction issues was 13.1% PYTD compared to 13.7% YTD (up 0.6% points on last year).&#10;The second row shows the proportion of persons arrested with drug addiction issues was 16.7% PYTD compared to 15.8% YTD (down 0.9% points on last year).&#10;The third row shows the proportion of persons arrested with mental health issues was 43.9% PYTD compared to 43.1% YTD (down 0.8% points on last year).&#10;"/>
                    <pic:cNvPicPr/>
                  </pic:nvPicPr>
                  <pic:blipFill>
                    <a:blip r:embed="rId39"/>
                    <a:stretch>
                      <a:fillRect/>
                    </a:stretch>
                  </pic:blipFill>
                  <pic:spPr>
                    <a:xfrm>
                      <a:off x="0" y="0"/>
                      <a:ext cx="6188710" cy="1405255"/>
                    </a:xfrm>
                    <a:prstGeom prst="rect">
                      <a:avLst/>
                    </a:prstGeom>
                  </pic:spPr>
                </pic:pic>
              </a:graphicData>
            </a:graphic>
          </wp:inline>
        </w:drawing>
      </w:r>
    </w:p>
    <w:p w14:paraId="4DCBD899" w14:textId="77777777" w:rsidR="00624F7D" w:rsidRDefault="00624F7D" w:rsidP="00624F7D">
      <w:pPr>
        <w:rPr>
          <w:noProof/>
        </w:rPr>
      </w:pPr>
      <w:r w:rsidRPr="00284E4F">
        <w:rPr>
          <w:noProof/>
        </w:rPr>
        <w:lastRenderedPageBreak/>
        <w:t>Vulnerability figures are broadly static with the notable exception of alcohol which although rising is slowing in comparison with previous quarters which have seen large increases. The percentages of those declaring current or historic drugs and mental health vulnerabilities have decreased but by relatively modest margins.</w:t>
      </w:r>
    </w:p>
    <w:p w14:paraId="20413B01" w14:textId="77777777" w:rsidR="00624F7D" w:rsidRDefault="00624F7D" w:rsidP="00624F7D">
      <w:pPr>
        <w:rPr>
          <w:noProof/>
        </w:rPr>
      </w:pPr>
      <w:r>
        <w:rPr>
          <w:noProof/>
        </w:rPr>
        <w:drawing>
          <wp:inline distT="0" distB="0" distL="0" distR="0" wp14:anchorId="2B8EE59E" wp14:editId="240B98D8">
            <wp:extent cx="6188710" cy="741045"/>
            <wp:effectExtent l="0" t="0" r="2540" b="1905"/>
            <wp:docPr id="1327685672" name="Picture 1" descr="NHS Partners YTD Comparison Table&#10;This row shows 7,293 people in custody were seen by NHS partners PYTD compared to 7,151 YTD (down 1.9%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84831" name="Picture 1" descr="NHS Partners YTD Comparison Table&#10;This row shows 7,293 people in custody were seen by NHS partners PYTD compared to 7,151 YTD (down 1.9% on last year).&#10;"/>
                    <pic:cNvPicPr/>
                  </pic:nvPicPr>
                  <pic:blipFill>
                    <a:blip r:embed="rId40"/>
                    <a:stretch>
                      <a:fillRect/>
                    </a:stretch>
                  </pic:blipFill>
                  <pic:spPr>
                    <a:xfrm>
                      <a:off x="0" y="0"/>
                      <a:ext cx="6188710" cy="741045"/>
                    </a:xfrm>
                    <a:prstGeom prst="rect">
                      <a:avLst/>
                    </a:prstGeom>
                  </pic:spPr>
                </pic:pic>
              </a:graphicData>
            </a:graphic>
          </wp:inline>
        </w:drawing>
      </w:r>
    </w:p>
    <w:p w14:paraId="01814B8A" w14:textId="77777777" w:rsidR="00624F7D" w:rsidRDefault="00624F7D" w:rsidP="00624F7D">
      <w:pPr>
        <w:rPr>
          <w:noProof/>
        </w:rPr>
      </w:pPr>
      <w:r>
        <w:rPr>
          <w:noProof/>
        </w:rPr>
        <w:t>There has been a</w:t>
      </w:r>
      <w:r w:rsidRPr="00284E4F">
        <w:rPr>
          <w:noProof/>
        </w:rPr>
        <w:t xml:space="preserve"> slight decrease in the number of medical assessments for those in police custody which may be impacted to some extent by the modest reduction in throughput.</w:t>
      </w:r>
    </w:p>
    <w:p w14:paraId="583BAD1F" w14:textId="1E0A2424" w:rsidR="00624F7D" w:rsidRDefault="00624F7D" w:rsidP="00624F7D">
      <w:pPr>
        <w:rPr>
          <w:noProof/>
        </w:rPr>
      </w:pPr>
      <w:r>
        <w:rPr>
          <w:noProof/>
        </w:rPr>
        <w:t>Please note figures reported in Quarter 3 were inaccurate and should be disregarded.</w:t>
      </w:r>
    </w:p>
    <w:p w14:paraId="046D5CC0" w14:textId="77777777" w:rsidR="00624F7D" w:rsidRDefault="00624F7D" w:rsidP="00624F7D">
      <w:pPr>
        <w:rPr>
          <w:noProof/>
        </w:rPr>
      </w:pPr>
      <w:r>
        <w:rPr>
          <w:noProof/>
        </w:rPr>
        <w:drawing>
          <wp:inline distT="0" distB="0" distL="0" distR="0" wp14:anchorId="6BF36404" wp14:editId="7350ED94">
            <wp:extent cx="6188710" cy="736600"/>
            <wp:effectExtent l="0" t="0" r="2540" b="6350"/>
            <wp:docPr id="1733366716" name="Picture 1" descr="Referred to Partners YTD Comparison Table&#10;This row shows 1,010 arrested persons were referred to partners PYTD compared to 976 YTD (down 3.4%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90414" name="Picture 1" descr="Referred to Partners YTD Comparison Table&#10;This row shows 1,010 arrested persons were referred to partners PYTD compared to 976 YTD (down 3.4% on last year).&#10;"/>
                    <pic:cNvPicPr/>
                  </pic:nvPicPr>
                  <pic:blipFill>
                    <a:blip r:embed="rId41"/>
                    <a:stretch>
                      <a:fillRect/>
                    </a:stretch>
                  </pic:blipFill>
                  <pic:spPr>
                    <a:xfrm>
                      <a:off x="0" y="0"/>
                      <a:ext cx="6188710" cy="736600"/>
                    </a:xfrm>
                    <a:prstGeom prst="rect">
                      <a:avLst/>
                    </a:prstGeom>
                  </pic:spPr>
                </pic:pic>
              </a:graphicData>
            </a:graphic>
          </wp:inline>
        </w:drawing>
      </w:r>
    </w:p>
    <w:p w14:paraId="728BF28F" w14:textId="77777777" w:rsidR="00624F7D" w:rsidRDefault="00624F7D" w:rsidP="00624F7D">
      <w:pPr>
        <w:rPr>
          <w:noProof/>
        </w:rPr>
      </w:pPr>
      <w:r w:rsidRPr="00284E4F">
        <w:rPr>
          <w:noProof/>
        </w:rPr>
        <w:t>Q</w:t>
      </w:r>
      <w:r>
        <w:rPr>
          <w:noProof/>
        </w:rPr>
        <w:t xml:space="preserve">uarter </w:t>
      </w:r>
      <w:r w:rsidRPr="00284E4F">
        <w:rPr>
          <w:noProof/>
        </w:rPr>
        <w:t>4 has seen a rise in referral numbers from Q</w:t>
      </w:r>
      <w:r>
        <w:rPr>
          <w:noProof/>
        </w:rPr>
        <w:t xml:space="preserve">uarter </w:t>
      </w:r>
      <w:r w:rsidRPr="00284E4F">
        <w:rPr>
          <w:noProof/>
        </w:rPr>
        <w:t xml:space="preserve">3 however there is still a reduction across the </w:t>
      </w:r>
      <w:r>
        <w:rPr>
          <w:noProof/>
        </w:rPr>
        <w:t>YTD</w:t>
      </w:r>
      <w:r w:rsidRPr="00284E4F">
        <w:rPr>
          <w:noProof/>
        </w:rPr>
        <w:t xml:space="preserve"> combined.</w:t>
      </w:r>
    </w:p>
    <w:p w14:paraId="7DE55CB8" w14:textId="77777777" w:rsidR="00624F7D" w:rsidRDefault="00624F7D" w:rsidP="00624F7D">
      <w:pPr>
        <w:rPr>
          <w:noProof/>
        </w:rPr>
      </w:pPr>
      <w:r w:rsidRPr="00284E4F">
        <w:rPr>
          <w:noProof/>
        </w:rPr>
        <w:t>Work on raising the profile of arrest referrals continues nationally</w:t>
      </w:r>
      <w:r>
        <w:rPr>
          <w:noProof/>
        </w:rPr>
        <w:t>.</w:t>
      </w:r>
      <w:r w:rsidRPr="00284E4F">
        <w:rPr>
          <w:noProof/>
        </w:rPr>
        <w:t xml:space="preserve"> </w:t>
      </w:r>
      <w:r>
        <w:rPr>
          <w:noProof/>
        </w:rPr>
        <w:t>V</w:t>
      </w:r>
      <w:r w:rsidRPr="00284E4F">
        <w:rPr>
          <w:noProof/>
        </w:rPr>
        <w:t>isits to local custody centres in the North of Scotland and work with local staff have resulted in an increase in referral numbers being experienced in the North.</w:t>
      </w:r>
    </w:p>
    <w:p w14:paraId="6322F9F3" w14:textId="77777777" w:rsidR="00624F7D" w:rsidRDefault="00624F7D" w:rsidP="00624F7D">
      <w:pPr>
        <w:rPr>
          <w:noProof/>
        </w:rPr>
      </w:pPr>
      <w:r w:rsidRPr="00284E4F">
        <w:rPr>
          <w:noProof/>
        </w:rPr>
        <w:t>Regular "local group" meetings have been re-established with partners and are geared towards improving communication, addressing any service provision issues and planning how best to promote services and uptake.</w:t>
      </w:r>
    </w:p>
    <w:p w14:paraId="4FDBC9E6" w14:textId="77777777" w:rsidR="00624F7D" w:rsidRDefault="00624F7D" w:rsidP="00624F7D">
      <w:pPr>
        <w:rPr>
          <w:b/>
          <w:bCs/>
          <w:noProof/>
        </w:rPr>
      </w:pPr>
      <w:r w:rsidRPr="00284E4F">
        <w:rPr>
          <w:noProof/>
        </w:rPr>
        <w:t xml:space="preserve">A national arrest referral partnership event is being held </w:t>
      </w:r>
      <w:r>
        <w:rPr>
          <w:noProof/>
        </w:rPr>
        <w:t xml:space="preserve">during Quarter 1 of 2025/26 </w:t>
      </w:r>
      <w:r w:rsidRPr="00284E4F">
        <w:rPr>
          <w:noProof/>
        </w:rPr>
        <w:t>which is anticipated will support a further increase in referral numbers which are down on last year’s levels.</w:t>
      </w:r>
    </w:p>
    <w:p w14:paraId="3DDD689A" w14:textId="77777777" w:rsidR="00624F7D" w:rsidRDefault="00624F7D" w:rsidP="00624F7D">
      <w:pPr>
        <w:pStyle w:val="Heading4"/>
      </w:pPr>
      <w:r>
        <w:t>Productions</w:t>
      </w:r>
    </w:p>
    <w:p w14:paraId="7202B2EF" w14:textId="77777777" w:rsidR="00624F7D" w:rsidRDefault="00624F7D" w:rsidP="00624F7D">
      <w:r>
        <w:rPr>
          <w:noProof/>
        </w:rPr>
        <w:drawing>
          <wp:inline distT="0" distB="0" distL="0" distR="0" wp14:anchorId="02B737FD" wp14:editId="49EB83B5">
            <wp:extent cx="6188710" cy="1428750"/>
            <wp:effectExtent l="0" t="0" r="2540" b="0"/>
            <wp:docPr id="1751582696" name="Picture 1" descr="Productions YTD Comparison Table&#10;The first row shows 585,797 productions were received PYTD compared to 557,790 YTD (down 4.8% on last year).&#10;The second row shows 251,017 productions were disposed PYTD compared to 308,573 YTD (up 22.9% on last year).&#10;The third row shows 334,780 productions were accumulated PYTD compared to 249,217 YTD (down 25.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37949" name="Picture 1" descr="Productions YTD Comparison Table&#10;The first row shows 585,797 productions were received PYTD compared to 557,790 YTD (down 4.8% on last year).&#10;The second row shows 251,017 productions were disposed PYTD compared to 308,573 YTD (up 22.9% on last year).&#10;The third row shows 334,780 productions were accumulated PYTD compared to 249,217 YTD (down 25.6% on last year).&#10;"/>
                    <pic:cNvPicPr/>
                  </pic:nvPicPr>
                  <pic:blipFill>
                    <a:blip r:embed="rId42"/>
                    <a:stretch>
                      <a:fillRect/>
                    </a:stretch>
                  </pic:blipFill>
                  <pic:spPr>
                    <a:xfrm>
                      <a:off x="0" y="0"/>
                      <a:ext cx="6188710" cy="1428750"/>
                    </a:xfrm>
                    <a:prstGeom prst="rect">
                      <a:avLst/>
                    </a:prstGeom>
                  </pic:spPr>
                </pic:pic>
              </a:graphicData>
            </a:graphic>
          </wp:inline>
        </w:drawing>
      </w:r>
    </w:p>
    <w:p w14:paraId="6C97769A" w14:textId="77777777" w:rsidR="00624F7D" w:rsidRDefault="00624F7D" w:rsidP="00624F7D">
      <w:r>
        <w:rPr>
          <w:noProof/>
        </w:rPr>
        <w:drawing>
          <wp:inline distT="0" distB="0" distL="0" distR="0" wp14:anchorId="6B288355" wp14:editId="0C4336CA">
            <wp:extent cx="6188710" cy="727075"/>
            <wp:effectExtent l="0" t="0" r="2540" b="0"/>
            <wp:docPr id="860803167" name="Picture 1" descr="Productions YTD % Comparison Table&#10;This table shows 57.1% of productions were accumulated in terms of total received PYTD compared to 44.7% YTD (down 12.4%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36424" name="Picture 1" descr="Productions YTD % Comparison Table&#10;This table shows 57.1% of productions were accumulated in terms of total received PYTD compared to 44.7% YTD (down 12.4% points on last year).&#10;"/>
                    <pic:cNvPicPr/>
                  </pic:nvPicPr>
                  <pic:blipFill>
                    <a:blip r:embed="rId43"/>
                    <a:stretch>
                      <a:fillRect/>
                    </a:stretch>
                  </pic:blipFill>
                  <pic:spPr>
                    <a:xfrm>
                      <a:off x="0" y="0"/>
                      <a:ext cx="6188710" cy="727075"/>
                    </a:xfrm>
                    <a:prstGeom prst="rect">
                      <a:avLst/>
                    </a:prstGeom>
                  </pic:spPr>
                </pic:pic>
              </a:graphicData>
            </a:graphic>
          </wp:inline>
        </w:drawing>
      </w:r>
    </w:p>
    <w:p w14:paraId="6F51AB28" w14:textId="77777777" w:rsidR="005C51F4" w:rsidRDefault="005C51F4">
      <w:pPr>
        <w:spacing w:before="0" w:after="160" w:line="259" w:lineRule="auto"/>
      </w:pPr>
      <w:r>
        <w:br w:type="page"/>
      </w:r>
    </w:p>
    <w:p w14:paraId="09ADF4D9" w14:textId="1568C4C6" w:rsidR="00624F7D" w:rsidRDefault="00624F7D" w:rsidP="00624F7D">
      <w:r w:rsidRPr="00795E51">
        <w:lastRenderedPageBreak/>
        <w:t xml:space="preserve">A slight decrease in productions received from the previous year is likely attributed to the introduction of </w:t>
      </w:r>
      <w:r>
        <w:t>digital evidence sharing capability (</w:t>
      </w:r>
      <w:r w:rsidRPr="00795E51">
        <w:t>DESC</w:t>
      </w:r>
      <w:r>
        <w:t>)</w:t>
      </w:r>
      <w:r w:rsidRPr="00795E51">
        <w:t xml:space="preserve"> across the North and East (currently rolling out in the West), which has resulted in less physical items being lodged, in terms of CCTV/discs/certificates.</w:t>
      </w:r>
    </w:p>
    <w:p w14:paraId="7196E8E5" w14:textId="77777777" w:rsidR="00624F7D" w:rsidRDefault="00624F7D" w:rsidP="00624F7D">
      <w:pPr>
        <w:rPr>
          <w:b/>
        </w:rPr>
      </w:pPr>
      <w:r>
        <w:t>T</w:t>
      </w:r>
      <w:r w:rsidRPr="00795E51">
        <w:t xml:space="preserve">he rise in production disposals is likely due to the increase in staff who are able to focus on this function, </w:t>
      </w:r>
      <w:r>
        <w:t>through disposal team and production management officer recruitment</w:t>
      </w:r>
      <w:r w:rsidRPr="00795E51">
        <w:t>, along with recent national drugs incineration and firearms/offensive weapons destruction runs nationally increasing disposal figures.</w:t>
      </w:r>
    </w:p>
    <w:p w14:paraId="1198E702" w14:textId="77777777" w:rsidR="00624F7D" w:rsidRDefault="00624F7D">
      <w:pPr>
        <w:spacing w:before="0" w:after="160" w:line="259" w:lineRule="auto"/>
      </w:pPr>
      <w:r>
        <w:br w:type="page"/>
      </w:r>
    </w:p>
    <w:p w14:paraId="2390244E" w14:textId="6D7DB894" w:rsidR="0095021C" w:rsidRDefault="0095021C" w:rsidP="00624F7D">
      <w:pPr>
        <w:pStyle w:val="Heading3"/>
      </w:pPr>
      <w:bookmarkStart w:id="32" w:name="_Toc199839167"/>
      <w:r>
        <w:lastRenderedPageBreak/>
        <w:t xml:space="preserve">Vision 2030: </w:t>
      </w:r>
      <w:r w:rsidR="00624F7D">
        <w:t>L</w:t>
      </w:r>
      <w:r>
        <w:t>ess Crime</w:t>
      </w:r>
      <w:bookmarkEnd w:id="32"/>
    </w:p>
    <w:bookmarkEnd w:id="21"/>
    <w:p w14:paraId="47E410EB" w14:textId="5A2932D2" w:rsidR="0095021C" w:rsidRDefault="0095021C" w:rsidP="000603A2">
      <w:pPr>
        <w:pStyle w:val="Heading4"/>
        <w:rPr>
          <w:lang w:eastAsia="en-GB"/>
        </w:rPr>
      </w:pPr>
      <w:r>
        <w:rPr>
          <w:lang w:eastAsia="en-GB"/>
        </w:rPr>
        <w:t>Overall Crimes and Offences</w:t>
      </w:r>
    </w:p>
    <w:p w14:paraId="345A8880" w14:textId="7EE27967" w:rsidR="000B6C75" w:rsidRPr="000C1400" w:rsidRDefault="000B6C75" w:rsidP="0095021C">
      <w:pPr>
        <w:rPr>
          <w:lang w:eastAsia="en-GB"/>
        </w:rPr>
      </w:pPr>
      <w:bookmarkStart w:id="33" w:name="_Hlk196306717"/>
      <w:r w:rsidRPr="000C1400">
        <w:rPr>
          <w:lang w:eastAsia="en-GB"/>
        </w:rPr>
        <w:t xml:space="preserve">The following table shows management information relating to Group 1-5 crimes recorded by Police Scotland at the end of Quarter </w:t>
      </w:r>
      <w:r w:rsidR="000C1400" w:rsidRPr="000C1400">
        <w:rPr>
          <w:lang w:eastAsia="en-GB"/>
        </w:rPr>
        <w:t>4</w:t>
      </w:r>
      <w:r w:rsidRPr="000C1400">
        <w:rPr>
          <w:lang w:eastAsia="en-GB"/>
        </w:rPr>
        <w:t xml:space="preserve">, compared to the previous </w:t>
      </w:r>
      <w:r w:rsidR="0038666F" w:rsidRPr="000C1400">
        <w:rPr>
          <w:lang w:eastAsia="en-GB"/>
        </w:rPr>
        <w:t>YTD</w:t>
      </w:r>
      <w:r w:rsidRPr="000C1400">
        <w:rPr>
          <w:lang w:eastAsia="en-GB"/>
        </w:rPr>
        <w:t xml:space="preserve">. The table also includes the </w:t>
      </w:r>
      <w:r w:rsidR="0038666F" w:rsidRPr="000C1400">
        <w:rPr>
          <w:lang w:eastAsia="en-GB"/>
        </w:rPr>
        <w:t>YTD</w:t>
      </w:r>
      <w:r w:rsidRPr="000C1400">
        <w:rPr>
          <w:lang w:eastAsia="en-GB"/>
        </w:rPr>
        <w:t xml:space="preserve"> </w:t>
      </w:r>
      <w:r w:rsidR="001D7567">
        <w:rPr>
          <w:lang w:eastAsia="en-GB"/>
        </w:rPr>
        <w:t>comparisons for</w:t>
      </w:r>
      <w:r w:rsidRPr="000C1400">
        <w:rPr>
          <w:lang w:eastAsia="en-GB"/>
        </w:rPr>
        <w:t xml:space="preserve"> detections and detection rates.</w:t>
      </w:r>
    </w:p>
    <w:bookmarkEnd w:id="33"/>
    <w:p w14:paraId="66012B39" w14:textId="65FF8816" w:rsidR="001D7567" w:rsidRPr="000C1400" w:rsidRDefault="001D7567" w:rsidP="0095021C">
      <w:pPr>
        <w:rPr>
          <w:lang w:eastAsia="en-GB"/>
        </w:rPr>
      </w:pPr>
      <w:r>
        <w:rPr>
          <w:noProof/>
        </w:rPr>
        <w:drawing>
          <wp:inline distT="0" distB="0" distL="0" distR="0" wp14:anchorId="17148EA9" wp14:editId="7C0AEAA7">
            <wp:extent cx="6188710" cy="2038985"/>
            <wp:effectExtent l="0" t="0" r="2540" b="0"/>
            <wp:docPr id="670656331" name="Picture 1" descr="Group 1-5 Crimes YTD Comparison Table&#10;This table shows Group 1-5 crimes comparisons between PYTD and YTD for recorded crimes, detections and detection rates.&#10;The first row shows Group 1 non-sexual crimes of violence: There were 71,120 crimes PYTD, compared to 71,170 crimes YTD (up 0.1% on PYTD). There were 48,428 detections PYTD compared to 48,699 detections YTD (up 0.6% on PYTD). The detection rate was 68.1% PYTD compared to 68.4% YTD (up 0.3% points on PYTD).&#10;The second row shows Group 2 sexual crimes: There were 14,338 crimes PYTD, compared to 14,892 crimes YTD (up 3.9% on PYTD). There were 8,233 detections PYTD compared to 8,477 detections YTD (up 3.0% on PYTD). The detection rate was 57.4% PYTD compared to 56.9% YTD (down 0.5% points on PYTD).&#10;The third row shows Group 3 crimes of dishonesty: There were 110,063 crimes PYTD, compared to 110,913 crimes YTD (up 0.8% on PYTD). There were 36,646 detections PYTD compared to 38,973 detections YTD (up 6.3% on PYTD). The detection rate was 33.3% PYTD compared to 35.1% YTD (up 1.8% points on PYTD).&#10;The fourth row shows Group 4 damage and reckless behaviour: There were 40,978 crimes PYTD, compared to 38,738 crimes YTD (down 5.5% on PYTD). There were 12,137 detections PYTD compared to 12,026 detections YTD (down 0.9% on PYTD). The detection rate was 29.6% PYTD compared to 31.0% YTD (up 1.4% points on PYTD).&#10;The fifth row shows Group 5 crimes against society: There were 60,561 crimes PYTD, compared to 63,398 crimes YTD (up 4.7% on PYTD). There were 55,941 detections PYTD compared to 59,437 detections YTD (up 6.2% on PYTD). The detection rate was 92.4% PYTD compared to 93.8% YTD (up 1.4% points on PYTD).&#10;The final row shows Total Group 1-5 crimes: There were 297,060 crimes PYTD, compared to 299,111 crimes YTD (up 0.7% on PYTD). There were 161,385 detections PYTD compared to 167,612 detections YTD (up 3.9% on PYTD). The detection rate was 54.3% PYTD compared to 56.0% YTD (up 1.7%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56331" name="Picture 1" descr="Group 1-5 Crimes YTD Comparison Table&#10;This table shows Group 1-5 crimes comparisons between PYTD and YTD for recorded crimes, detections and detection rates.&#10;The first row shows Group 1 non-sexual crimes of violence: There were 71,120 crimes PYTD, compared to 71,170 crimes YTD (up 0.1% on PYTD). There were 48,428 detections PYTD compared to 48,699 detections YTD (up 0.6% on PYTD). The detection rate was 68.1% PYTD compared to 68.4% YTD (up 0.3% points on PYTD).&#10;The second row shows Group 2 sexual crimes: There were 14,338 crimes PYTD, compared to 14,892 crimes YTD (up 3.9% on PYTD). There were 8,233 detections PYTD compared to 8,477 detections YTD (up 3.0% on PYTD). The detection rate was 57.4% PYTD compared to 56.9% YTD (down 0.5% points on PYTD).&#10;The third row shows Group 3 crimes of dishonesty: There were 110,063 crimes PYTD, compared to 110,913 crimes YTD (up 0.8% on PYTD). There were 36,646 detections PYTD compared to 38,973 detections YTD (up 6.3% on PYTD). The detection rate was 33.3% PYTD compared to 35.1% YTD (up 1.8% points on PYTD).&#10;The fourth row shows Group 4 damage and reckless behaviour: There were 40,978 crimes PYTD, compared to 38,738 crimes YTD (down 5.5% on PYTD). There were 12,137 detections PYTD compared to 12,026 detections YTD (down 0.9% on PYTD). The detection rate was 29.6% PYTD compared to 31.0% YTD (up 1.4% points on PYTD).&#10;The fifth row shows Group 5 crimes against society: There were 60,561 crimes PYTD, compared to 63,398 crimes YTD (up 4.7% on PYTD). There were 55,941 detections PYTD compared to 59,437 detections YTD (up 6.2% on PYTD). The detection rate was 92.4% PYTD compared to 93.8% YTD (up 1.4% points on PYTD).&#10;The final row shows Total Group 1-5 crimes: There were 297,060 crimes PYTD, compared to 299,111 crimes YTD (up 0.7% on PYTD). There were 161,385 detections PYTD compared to 167,612 detections YTD (up 3.9% on PYTD). The detection rate was 54.3% PYTD compared to 56.0% YTD (up 1.7% points on PYTD).&#10;"/>
                    <pic:cNvPicPr/>
                  </pic:nvPicPr>
                  <pic:blipFill>
                    <a:blip r:embed="rId44"/>
                    <a:stretch>
                      <a:fillRect/>
                    </a:stretch>
                  </pic:blipFill>
                  <pic:spPr>
                    <a:xfrm>
                      <a:off x="0" y="0"/>
                      <a:ext cx="6188710" cy="2038985"/>
                    </a:xfrm>
                    <a:prstGeom prst="rect">
                      <a:avLst/>
                    </a:prstGeom>
                  </pic:spPr>
                </pic:pic>
              </a:graphicData>
            </a:graphic>
          </wp:inline>
        </w:drawing>
      </w:r>
    </w:p>
    <w:p w14:paraId="5919066E" w14:textId="77777777" w:rsidR="00270484" w:rsidRDefault="000B6C75" w:rsidP="0095021C">
      <w:pPr>
        <w:rPr>
          <w:lang w:eastAsia="en-GB"/>
        </w:rPr>
      </w:pPr>
      <w:r w:rsidRPr="000C1400">
        <w:rPr>
          <w:lang w:eastAsia="en-GB"/>
        </w:rPr>
        <w:t xml:space="preserve">Total Group 1-5 Crimes show an increase compared to last year (up </w:t>
      </w:r>
      <w:r w:rsidR="00E323B1" w:rsidRPr="000C1400">
        <w:rPr>
          <w:lang w:eastAsia="en-GB"/>
        </w:rPr>
        <w:t>0.</w:t>
      </w:r>
      <w:r w:rsidR="000C1400" w:rsidRPr="000C1400">
        <w:rPr>
          <w:lang w:eastAsia="en-GB"/>
        </w:rPr>
        <w:t>7</w:t>
      </w:r>
      <w:r w:rsidR="00E323B1" w:rsidRPr="000C1400">
        <w:rPr>
          <w:lang w:eastAsia="en-GB"/>
        </w:rPr>
        <w:t xml:space="preserve">%, </w:t>
      </w:r>
      <w:r w:rsidR="000C1400" w:rsidRPr="000C1400">
        <w:rPr>
          <w:lang w:eastAsia="en-GB"/>
        </w:rPr>
        <w:t>2,051</w:t>
      </w:r>
      <w:r w:rsidRPr="000C1400">
        <w:rPr>
          <w:lang w:eastAsia="en-GB"/>
        </w:rPr>
        <w:t xml:space="preserve"> more crimes) and against the five-year mean (up </w:t>
      </w:r>
      <w:r w:rsidR="00E323B1" w:rsidRPr="000C1400">
        <w:rPr>
          <w:lang w:eastAsia="en-GB"/>
        </w:rPr>
        <w:t>3.</w:t>
      </w:r>
      <w:r w:rsidR="000C1400" w:rsidRPr="000C1400">
        <w:rPr>
          <w:lang w:eastAsia="en-GB"/>
        </w:rPr>
        <w:t>6</w:t>
      </w:r>
      <w:r w:rsidR="00E323B1" w:rsidRPr="000C1400">
        <w:rPr>
          <w:lang w:eastAsia="en-GB"/>
        </w:rPr>
        <w:t xml:space="preserve">%, </w:t>
      </w:r>
      <w:r w:rsidR="000C1400" w:rsidRPr="000C1400">
        <w:rPr>
          <w:lang w:eastAsia="en-GB"/>
        </w:rPr>
        <w:t>10,410</w:t>
      </w:r>
      <w:r w:rsidRPr="000C1400">
        <w:rPr>
          <w:lang w:eastAsia="en-GB"/>
        </w:rPr>
        <w:t xml:space="preserve"> more crimes).</w:t>
      </w:r>
    </w:p>
    <w:p w14:paraId="72B5A2D2" w14:textId="212D9ABA" w:rsidR="00270484" w:rsidRDefault="00270484" w:rsidP="0095021C">
      <w:pPr>
        <w:rPr>
          <w:lang w:eastAsia="en-GB"/>
        </w:rPr>
      </w:pPr>
      <w:r>
        <w:rPr>
          <w:lang w:eastAsia="en-GB"/>
        </w:rPr>
        <w:t>The largest driver of this increase continues to be Theft by Shoplifting (up 15.7% on PYTD and up 58.3%</w:t>
      </w:r>
      <w:r w:rsidR="007B54C0">
        <w:rPr>
          <w:lang w:eastAsia="en-GB"/>
        </w:rPr>
        <w:t xml:space="preserve"> on the five-year mean</w:t>
      </w:r>
      <w:r>
        <w:rPr>
          <w:lang w:eastAsia="en-GB"/>
        </w:rPr>
        <w:t>) under Group 3 Crimes of Dishonesty. A performance focus on this crime type was included in the Quarter 2 report with the latest update from the Retail Crime Taskforce included later in this report.</w:t>
      </w:r>
    </w:p>
    <w:p w14:paraId="76CD0610" w14:textId="737E3B47" w:rsidR="00270484" w:rsidRDefault="00270484" w:rsidP="0095021C">
      <w:pPr>
        <w:rPr>
          <w:lang w:eastAsia="en-GB"/>
        </w:rPr>
      </w:pPr>
      <w:r>
        <w:rPr>
          <w:lang w:eastAsia="en-GB"/>
        </w:rPr>
        <w:t xml:space="preserve">Rape, which featured as a performance focus in the Quarter </w:t>
      </w:r>
      <w:r w:rsidR="00FE3811">
        <w:rPr>
          <w:lang w:eastAsia="en-GB"/>
        </w:rPr>
        <w:t>3</w:t>
      </w:r>
      <w:r>
        <w:rPr>
          <w:lang w:eastAsia="en-GB"/>
        </w:rPr>
        <w:t xml:space="preserve"> report, is the main driver of the increase recorded under Group 2 Sexual Crimes</w:t>
      </w:r>
      <w:r w:rsidR="000514B0">
        <w:rPr>
          <w:lang w:eastAsia="en-GB"/>
        </w:rPr>
        <w:t xml:space="preserve">, whilst a significant increase in Domestic Abuse (of </w:t>
      </w:r>
      <w:r w:rsidR="00477DB0">
        <w:rPr>
          <w:lang w:eastAsia="en-GB"/>
        </w:rPr>
        <w:t>F</w:t>
      </w:r>
      <w:r w:rsidR="000514B0">
        <w:rPr>
          <w:lang w:eastAsia="en-GB"/>
        </w:rPr>
        <w:t>emale) is noted under Group 1 Non-Sexual Crimes of Violence.</w:t>
      </w:r>
    </w:p>
    <w:p w14:paraId="5F131685" w14:textId="4B761357" w:rsidR="00270484" w:rsidRDefault="00270484" w:rsidP="0095021C">
      <w:pPr>
        <w:rPr>
          <w:lang w:eastAsia="en-GB"/>
        </w:rPr>
      </w:pPr>
      <w:r>
        <w:rPr>
          <w:lang w:eastAsia="en-GB"/>
        </w:rPr>
        <w:t xml:space="preserve">Notable increases are evident within Group 5 Crimes Against Society around </w:t>
      </w:r>
      <w:r w:rsidR="00477DB0">
        <w:rPr>
          <w:lang w:eastAsia="en-GB"/>
        </w:rPr>
        <w:t>O</w:t>
      </w:r>
      <w:r>
        <w:rPr>
          <w:lang w:eastAsia="en-GB"/>
        </w:rPr>
        <w:t xml:space="preserve">ffensive </w:t>
      </w:r>
      <w:r w:rsidR="00477DB0">
        <w:rPr>
          <w:lang w:eastAsia="en-GB"/>
        </w:rPr>
        <w:t>W</w:t>
      </w:r>
      <w:r>
        <w:rPr>
          <w:lang w:eastAsia="en-GB"/>
        </w:rPr>
        <w:t xml:space="preserve">eapons, </w:t>
      </w:r>
      <w:r w:rsidR="00477DB0">
        <w:rPr>
          <w:lang w:eastAsia="en-GB"/>
        </w:rPr>
        <w:t>B</w:t>
      </w:r>
      <w:r>
        <w:rPr>
          <w:lang w:eastAsia="en-GB"/>
        </w:rPr>
        <w:t xml:space="preserve">ail </w:t>
      </w:r>
      <w:r w:rsidR="00477DB0">
        <w:rPr>
          <w:lang w:eastAsia="en-GB"/>
        </w:rPr>
        <w:t>O</w:t>
      </w:r>
      <w:r>
        <w:rPr>
          <w:lang w:eastAsia="en-GB"/>
        </w:rPr>
        <w:t xml:space="preserve">ffences and </w:t>
      </w:r>
      <w:r w:rsidR="00477DB0">
        <w:rPr>
          <w:lang w:eastAsia="en-GB"/>
        </w:rPr>
        <w:t>O</w:t>
      </w:r>
      <w:r>
        <w:rPr>
          <w:lang w:eastAsia="en-GB"/>
        </w:rPr>
        <w:t xml:space="preserve">ther </w:t>
      </w:r>
      <w:r w:rsidR="00477DB0">
        <w:rPr>
          <w:lang w:eastAsia="en-GB"/>
        </w:rPr>
        <w:t>C</w:t>
      </w:r>
      <w:r>
        <w:rPr>
          <w:lang w:eastAsia="en-GB"/>
        </w:rPr>
        <w:t xml:space="preserve">rimes </w:t>
      </w:r>
      <w:r w:rsidR="00477DB0">
        <w:rPr>
          <w:lang w:eastAsia="en-GB"/>
        </w:rPr>
        <w:t>A</w:t>
      </w:r>
      <w:r>
        <w:rPr>
          <w:lang w:eastAsia="en-GB"/>
        </w:rPr>
        <w:t xml:space="preserve">gainst </w:t>
      </w:r>
      <w:r w:rsidR="00477DB0">
        <w:rPr>
          <w:lang w:eastAsia="en-GB"/>
        </w:rPr>
        <w:t>P</w:t>
      </w:r>
      <w:r>
        <w:rPr>
          <w:lang w:eastAsia="en-GB"/>
        </w:rPr>
        <w:t xml:space="preserve">ublic </w:t>
      </w:r>
      <w:r w:rsidR="00477DB0">
        <w:rPr>
          <w:lang w:eastAsia="en-GB"/>
        </w:rPr>
        <w:t>J</w:t>
      </w:r>
      <w:r>
        <w:rPr>
          <w:lang w:eastAsia="en-GB"/>
        </w:rPr>
        <w:t>ustice. Quarter 1 included a performance focus on young people and violence whilst local policing divisions continue to monitor the</w:t>
      </w:r>
      <w:r w:rsidR="00CB0518">
        <w:rPr>
          <w:lang w:eastAsia="en-GB"/>
        </w:rPr>
        <w:t>se</w:t>
      </w:r>
      <w:r>
        <w:rPr>
          <w:lang w:eastAsia="en-GB"/>
        </w:rPr>
        <w:t xml:space="preserve"> crimes at a local level.</w:t>
      </w:r>
    </w:p>
    <w:p w14:paraId="370B4D3E" w14:textId="580AB516" w:rsidR="00270484" w:rsidRDefault="000B6C75" w:rsidP="0095021C">
      <w:pPr>
        <w:rPr>
          <w:lang w:eastAsia="en-GB"/>
        </w:rPr>
      </w:pPr>
      <w:r w:rsidRPr="000C1400">
        <w:rPr>
          <w:lang w:eastAsia="en-GB"/>
        </w:rPr>
        <w:t xml:space="preserve">The volume of detections has also increased compared to both periods (up </w:t>
      </w:r>
      <w:r w:rsidR="000C1400" w:rsidRPr="000C1400">
        <w:rPr>
          <w:lang w:eastAsia="en-GB"/>
        </w:rPr>
        <w:t>3.9</w:t>
      </w:r>
      <w:r w:rsidR="00EF1EBA" w:rsidRPr="000C1400">
        <w:rPr>
          <w:lang w:eastAsia="en-GB"/>
        </w:rPr>
        <w:t>%</w:t>
      </w:r>
      <w:r w:rsidRPr="000C1400">
        <w:rPr>
          <w:lang w:eastAsia="en-GB"/>
        </w:rPr>
        <w:t xml:space="preserve"> and </w:t>
      </w:r>
      <w:r w:rsidR="00EF1EBA" w:rsidRPr="000C1400">
        <w:rPr>
          <w:lang w:eastAsia="en-GB"/>
        </w:rPr>
        <w:t>4.</w:t>
      </w:r>
      <w:r w:rsidR="000C1400" w:rsidRPr="000C1400">
        <w:rPr>
          <w:lang w:eastAsia="en-GB"/>
        </w:rPr>
        <w:t>7</w:t>
      </w:r>
      <w:r w:rsidR="00EF1EBA" w:rsidRPr="000C1400">
        <w:rPr>
          <w:lang w:eastAsia="en-GB"/>
        </w:rPr>
        <w:t>%</w:t>
      </w:r>
      <w:r w:rsidRPr="000C1400">
        <w:rPr>
          <w:lang w:eastAsia="en-GB"/>
        </w:rPr>
        <w:t xml:space="preserve"> respectively). </w:t>
      </w:r>
      <w:r w:rsidR="000514B0">
        <w:rPr>
          <w:lang w:eastAsia="en-GB"/>
        </w:rPr>
        <w:t xml:space="preserve">The increase in detections </w:t>
      </w:r>
      <w:r w:rsidR="006B72C2">
        <w:rPr>
          <w:lang w:eastAsia="en-GB"/>
        </w:rPr>
        <w:t>are</w:t>
      </w:r>
      <w:r w:rsidR="000514B0">
        <w:rPr>
          <w:lang w:eastAsia="en-GB"/>
        </w:rPr>
        <w:t xml:space="preserve"> most notably with Domestic Abuse (of </w:t>
      </w:r>
      <w:r w:rsidR="00827D93">
        <w:rPr>
          <w:lang w:eastAsia="en-GB"/>
        </w:rPr>
        <w:t>F</w:t>
      </w:r>
      <w:r w:rsidR="000514B0">
        <w:rPr>
          <w:lang w:eastAsia="en-GB"/>
        </w:rPr>
        <w:t xml:space="preserve">emale), Rape, Theft by Shoplifting, Other </w:t>
      </w:r>
      <w:r w:rsidR="00827D93">
        <w:rPr>
          <w:lang w:eastAsia="en-GB"/>
        </w:rPr>
        <w:t>C</w:t>
      </w:r>
      <w:r w:rsidR="000514B0">
        <w:rPr>
          <w:lang w:eastAsia="en-GB"/>
        </w:rPr>
        <w:t xml:space="preserve">rimes </w:t>
      </w:r>
      <w:r w:rsidR="00827D93">
        <w:rPr>
          <w:lang w:eastAsia="en-GB"/>
        </w:rPr>
        <w:t>A</w:t>
      </w:r>
      <w:r w:rsidR="000514B0">
        <w:rPr>
          <w:lang w:eastAsia="en-GB"/>
        </w:rPr>
        <w:t xml:space="preserve">gainst </w:t>
      </w:r>
      <w:r w:rsidR="00827D93">
        <w:rPr>
          <w:lang w:eastAsia="en-GB"/>
        </w:rPr>
        <w:t>S</w:t>
      </w:r>
      <w:r w:rsidR="000514B0">
        <w:rPr>
          <w:lang w:eastAsia="en-GB"/>
        </w:rPr>
        <w:t xml:space="preserve">ociety, </w:t>
      </w:r>
      <w:r w:rsidR="00827D93">
        <w:rPr>
          <w:lang w:eastAsia="en-GB"/>
        </w:rPr>
        <w:t>B</w:t>
      </w:r>
      <w:r w:rsidR="000514B0">
        <w:rPr>
          <w:lang w:eastAsia="en-GB"/>
        </w:rPr>
        <w:t xml:space="preserve">ail </w:t>
      </w:r>
      <w:r w:rsidR="00827D93">
        <w:rPr>
          <w:lang w:eastAsia="en-GB"/>
        </w:rPr>
        <w:t>O</w:t>
      </w:r>
      <w:r w:rsidR="000514B0">
        <w:rPr>
          <w:lang w:eastAsia="en-GB"/>
        </w:rPr>
        <w:t xml:space="preserve">ffences and Offensive </w:t>
      </w:r>
      <w:r w:rsidR="00827D93">
        <w:rPr>
          <w:lang w:eastAsia="en-GB"/>
        </w:rPr>
        <w:t>W</w:t>
      </w:r>
      <w:r w:rsidR="000514B0">
        <w:rPr>
          <w:lang w:eastAsia="en-GB"/>
        </w:rPr>
        <w:t>eapons</w:t>
      </w:r>
      <w:r w:rsidR="006B72C2">
        <w:rPr>
          <w:lang w:eastAsia="en-GB"/>
        </w:rPr>
        <w:t xml:space="preserve"> and reflects our ongoing work to tackle these crime types</w:t>
      </w:r>
      <w:r w:rsidR="000514B0">
        <w:rPr>
          <w:lang w:eastAsia="en-GB"/>
        </w:rPr>
        <w:t>.</w:t>
      </w:r>
    </w:p>
    <w:p w14:paraId="48735A93" w14:textId="59F41845" w:rsidR="00466D0C" w:rsidRDefault="000B6C75" w:rsidP="0095021C">
      <w:pPr>
        <w:rPr>
          <w:lang w:eastAsia="en-GB"/>
        </w:rPr>
      </w:pPr>
      <w:r w:rsidRPr="000C1400">
        <w:rPr>
          <w:lang w:eastAsia="en-GB"/>
        </w:rPr>
        <w:t xml:space="preserve">The overall detection rate of 56.0% for Group 1-5 Crime </w:t>
      </w:r>
      <w:r w:rsidR="00123F60" w:rsidRPr="000C1400">
        <w:rPr>
          <w:lang w:eastAsia="en-GB"/>
        </w:rPr>
        <w:t xml:space="preserve">is up </w:t>
      </w:r>
      <w:r w:rsidR="000C1400" w:rsidRPr="000C1400">
        <w:rPr>
          <w:lang w:eastAsia="en-GB"/>
        </w:rPr>
        <w:t>1</w:t>
      </w:r>
      <w:r w:rsidR="00123F60" w:rsidRPr="000C1400">
        <w:rPr>
          <w:lang w:eastAsia="en-GB"/>
        </w:rPr>
        <w:t>.</w:t>
      </w:r>
      <w:r w:rsidR="000C1400" w:rsidRPr="000C1400">
        <w:rPr>
          <w:lang w:eastAsia="en-GB"/>
        </w:rPr>
        <w:t>7</w:t>
      </w:r>
      <w:r w:rsidR="005A1C7D" w:rsidRPr="000C1400">
        <w:rPr>
          <w:lang w:eastAsia="en-GB"/>
        </w:rPr>
        <w:t xml:space="preserve"> percentage</w:t>
      </w:r>
      <w:r w:rsidR="00123F60" w:rsidRPr="000C1400">
        <w:rPr>
          <w:lang w:eastAsia="en-GB"/>
        </w:rPr>
        <w:t xml:space="preserve"> points on last year and up 0.</w:t>
      </w:r>
      <w:r w:rsidR="005D7C7B" w:rsidRPr="000C1400">
        <w:rPr>
          <w:lang w:eastAsia="en-GB"/>
        </w:rPr>
        <w:t>6</w:t>
      </w:r>
      <w:r w:rsidR="005A1C7D" w:rsidRPr="000C1400">
        <w:rPr>
          <w:lang w:eastAsia="en-GB"/>
        </w:rPr>
        <w:t xml:space="preserve"> percentage</w:t>
      </w:r>
      <w:r w:rsidR="00123F60" w:rsidRPr="000C1400">
        <w:rPr>
          <w:lang w:eastAsia="en-GB"/>
        </w:rPr>
        <w:t xml:space="preserve"> points on the five-year mean.</w:t>
      </w:r>
      <w:r w:rsidR="000514B0">
        <w:rPr>
          <w:lang w:eastAsia="en-GB"/>
        </w:rPr>
        <w:t xml:space="preserve"> The majority of detection rates are fairly consistent with the PYTD and five-year mean figures with no particular outliers to highlight.</w:t>
      </w:r>
    </w:p>
    <w:p w14:paraId="23A16BD7" w14:textId="3EE448AE" w:rsidR="00123F60" w:rsidRPr="000C1400" w:rsidRDefault="00123F60" w:rsidP="00123F60">
      <w:pPr>
        <w:rPr>
          <w:lang w:eastAsia="en-GB"/>
        </w:rPr>
      </w:pPr>
      <w:bookmarkStart w:id="34" w:name="_Hlk196306749"/>
      <w:r w:rsidRPr="000C1400">
        <w:rPr>
          <w:lang w:eastAsia="en-GB"/>
        </w:rPr>
        <w:t>The following table shows management information relating to Group 6-8 offences, recorded by Police Scotland YTD</w:t>
      </w:r>
      <w:r w:rsidR="0038666F" w:rsidRPr="000C1400">
        <w:rPr>
          <w:lang w:eastAsia="en-GB"/>
        </w:rPr>
        <w:t xml:space="preserve"> </w:t>
      </w:r>
      <w:r w:rsidRPr="000C1400">
        <w:rPr>
          <w:lang w:eastAsia="en-GB"/>
        </w:rPr>
        <w:t xml:space="preserve">at the end of Quarter </w:t>
      </w:r>
      <w:r w:rsidR="000C1400" w:rsidRPr="000C1400">
        <w:rPr>
          <w:lang w:eastAsia="en-GB"/>
        </w:rPr>
        <w:t>4</w:t>
      </w:r>
      <w:r w:rsidRPr="000C1400">
        <w:rPr>
          <w:lang w:eastAsia="en-GB"/>
        </w:rPr>
        <w:t xml:space="preserve">, compared to the previous </w:t>
      </w:r>
      <w:r w:rsidR="0038666F" w:rsidRPr="000C1400">
        <w:rPr>
          <w:lang w:eastAsia="en-GB"/>
        </w:rPr>
        <w:t>YTD</w:t>
      </w:r>
      <w:r w:rsidRPr="000C1400">
        <w:rPr>
          <w:lang w:eastAsia="en-GB"/>
        </w:rPr>
        <w:t xml:space="preserve">. The table also includes the </w:t>
      </w:r>
      <w:r w:rsidR="0038666F" w:rsidRPr="000C1400">
        <w:rPr>
          <w:lang w:eastAsia="en-GB"/>
        </w:rPr>
        <w:t>YTD</w:t>
      </w:r>
      <w:r w:rsidRPr="000C1400">
        <w:rPr>
          <w:lang w:eastAsia="en-GB"/>
        </w:rPr>
        <w:t xml:space="preserve"> </w:t>
      </w:r>
      <w:r w:rsidR="001D7567">
        <w:rPr>
          <w:lang w:eastAsia="en-GB"/>
        </w:rPr>
        <w:t>comparisons for</w:t>
      </w:r>
      <w:r w:rsidRPr="000C1400">
        <w:rPr>
          <w:lang w:eastAsia="en-GB"/>
        </w:rPr>
        <w:t xml:space="preserve"> detections and detection rates.</w:t>
      </w:r>
    </w:p>
    <w:bookmarkEnd w:id="34"/>
    <w:p w14:paraId="25F19531" w14:textId="2B66A27C" w:rsidR="001D7567" w:rsidRPr="000C1400" w:rsidRDefault="001D7567" w:rsidP="00123F60">
      <w:pPr>
        <w:rPr>
          <w:lang w:eastAsia="en-GB"/>
        </w:rPr>
      </w:pPr>
      <w:r>
        <w:rPr>
          <w:noProof/>
        </w:rPr>
        <w:lastRenderedPageBreak/>
        <w:drawing>
          <wp:inline distT="0" distB="0" distL="0" distR="0" wp14:anchorId="1B7427C5" wp14:editId="2604C43F">
            <wp:extent cx="6188710" cy="1510030"/>
            <wp:effectExtent l="0" t="0" r="2540" b="0"/>
            <wp:docPr id="160591730" name="Picture 1" descr="Group 6-8 Offences YTD Comparison Table&#10;This table shows Group 6-8 offences comparisons between PYTD and YTD for recorded offences, detections and detection rates.&#10;The first row shows Group 6 Antisocial offences: There were 43,282 offences PYTD, compared to 45,329 offences YTD (up 4.7% on PYTD). There were 34,489 detections PYTD compared to 36,028 detections YTD (up 4.5% on PYTD). The detection rate was 79.7% PYTD compared to 79.5% YTD (down 0.2% points on PYTD).&#10;The second row shows Group 7 Miscellaneous offences: There were 13,639 offences PYTD, compared to 13,985 offences YTD (up 2.5% on PYTD). There were 8,455 detections PYTD compared to 8,768 detections YTD (up 3.7% on PYTD). The detection rate was 62.0% PYTD compared to 62.7% YTD (up 0.7% points on PYTD).&#10;The third row shows Group 8 Road Traffic offences: There were 110,309 offences PYTD, compared to 114,052 offences YTD (up 3.4% on PYTD). There were 97,132 detections PYTD compared to 99,646 detections YTD (up 2.6% on PYTD). The detection rate was 88.1% PYTD compared to 87.4% YTD (down 0.7% points on PYTD).&#10;The final row shows Total Group 6-8 offences: There were 167,230 offences PYTD, compared to 173,366 offences YTD (up 3.7% on PYTD). There were 140,076 detections PYTD compared to 144,442 detections YTD (up 3.1% on PYTD). The detection rate was 83.8% PYTD compared to 83.3% YTD (down 0.5%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1730" name="Picture 1" descr="Group 6-8 Offences YTD Comparison Table&#10;This table shows Group 6-8 offences comparisons between PYTD and YTD for recorded offences, detections and detection rates.&#10;The first row shows Group 6 Antisocial offences: There were 43,282 offences PYTD, compared to 45,329 offences YTD (up 4.7% on PYTD). There were 34,489 detections PYTD compared to 36,028 detections YTD (up 4.5% on PYTD). The detection rate was 79.7% PYTD compared to 79.5% YTD (down 0.2% points on PYTD).&#10;The second row shows Group 7 Miscellaneous offences: There were 13,639 offences PYTD, compared to 13,985 offences YTD (up 2.5% on PYTD). There were 8,455 detections PYTD compared to 8,768 detections YTD (up 3.7% on PYTD). The detection rate was 62.0% PYTD compared to 62.7% YTD (up 0.7% points on PYTD).&#10;The third row shows Group 8 Road Traffic offences: There were 110,309 offences PYTD, compared to 114,052 offences YTD (up 3.4% on PYTD). There were 97,132 detections PYTD compared to 99,646 detections YTD (up 2.6% on PYTD). The detection rate was 88.1% PYTD compared to 87.4% YTD (down 0.7% points on PYTD).&#10;The final row shows Total Group 6-8 offences: There were 167,230 offences PYTD, compared to 173,366 offences YTD (up 3.7% on PYTD). There were 140,076 detections PYTD compared to 144,442 detections YTD (up 3.1% on PYTD). The detection rate was 83.8% PYTD compared to 83.3% YTD (down 0.5% points on PYTD).&#10;"/>
                    <pic:cNvPicPr/>
                  </pic:nvPicPr>
                  <pic:blipFill>
                    <a:blip r:embed="rId45"/>
                    <a:stretch>
                      <a:fillRect/>
                    </a:stretch>
                  </pic:blipFill>
                  <pic:spPr>
                    <a:xfrm>
                      <a:off x="0" y="0"/>
                      <a:ext cx="6188710" cy="1510030"/>
                    </a:xfrm>
                    <a:prstGeom prst="rect">
                      <a:avLst/>
                    </a:prstGeom>
                  </pic:spPr>
                </pic:pic>
              </a:graphicData>
            </a:graphic>
          </wp:inline>
        </w:drawing>
      </w:r>
    </w:p>
    <w:p w14:paraId="55589D21" w14:textId="1AB7E60C" w:rsidR="00FE3811" w:rsidRDefault="00123F60" w:rsidP="00123F60">
      <w:pPr>
        <w:rPr>
          <w:lang w:eastAsia="en-GB"/>
        </w:rPr>
      </w:pPr>
      <w:r w:rsidRPr="000C1400">
        <w:rPr>
          <w:lang w:eastAsia="en-GB"/>
        </w:rPr>
        <w:t xml:space="preserve">Total Group 6-8 offences have increased compared to last year (up </w:t>
      </w:r>
      <w:r w:rsidR="000C1400" w:rsidRPr="000C1400">
        <w:rPr>
          <w:lang w:eastAsia="en-GB"/>
        </w:rPr>
        <w:t>3.</w:t>
      </w:r>
      <w:r w:rsidR="00E904FE">
        <w:rPr>
          <w:lang w:eastAsia="en-GB"/>
        </w:rPr>
        <w:t>7</w:t>
      </w:r>
      <w:r w:rsidR="00EF1EBA" w:rsidRPr="000C1400">
        <w:rPr>
          <w:lang w:eastAsia="en-GB"/>
        </w:rPr>
        <w:t xml:space="preserve">%, </w:t>
      </w:r>
      <w:r w:rsidR="000C1400" w:rsidRPr="000C1400">
        <w:rPr>
          <w:lang w:eastAsia="en-GB"/>
        </w:rPr>
        <w:t>6,</w:t>
      </w:r>
      <w:r w:rsidR="00E904FE">
        <w:rPr>
          <w:lang w:eastAsia="en-GB"/>
        </w:rPr>
        <w:t>136</w:t>
      </w:r>
      <w:r w:rsidRPr="000C1400">
        <w:rPr>
          <w:lang w:eastAsia="en-GB"/>
        </w:rPr>
        <w:t xml:space="preserve"> more offences) but decreased against the five-year mean (down </w:t>
      </w:r>
      <w:r w:rsidR="00EF1EBA" w:rsidRPr="000C1400">
        <w:rPr>
          <w:lang w:eastAsia="en-GB"/>
        </w:rPr>
        <w:t>3.</w:t>
      </w:r>
      <w:r w:rsidR="00E542DE">
        <w:rPr>
          <w:lang w:eastAsia="en-GB"/>
        </w:rPr>
        <w:t>4</w:t>
      </w:r>
      <w:r w:rsidR="00EF1EBA" w:rsidRPr="000C1400">
        <w:rPr>
          <w:lang w:eastAsia="en-GB"/>
        </w:rPr>
        <w:t xml:space="preserve">%, </w:t>
      </w:r>
      <w:r w:rsidR="000C1400" w:rsidRPr="000C1400">
        <w:rPr>
          <w:lang w:eastAsia="en-GB"/>
        </w:rPr>
        <w:t>6,</w:t>
      </w:r>
      <w:r w:rsidR="00E542DE">
        <w:rPr>
          <w:lang w:eastAsia="en-GB"/>
        </w:rPr>
        <w:t>188</w:t>
      </w:r>
      <w:r w:rsidR="00464C1C" w:rsidRPr="000C1400">
        <w:rPr>
          <w:lang w:eastAsia="en-GB"/>
        </w:rPr>
        <w:t xml:space="preserve"> fewer offences</w:t>
      </w:r>
      <w:r w:rsidRPr="000C1400">
        <w:rPr>
          <w:lang w:eastAsia="en-GB"/>
        </w:rPr>
        <w:t xml:space="preserve">). </w:t>
      </w:r>
      <w:r w:rsidR="00C52329">
        <w:rPr>
          <w:lang w:eastAsia="en-GB"/>
        </w:rPr>
        <w:t>The YTD increases can be attributed to a significant increase in Breach of the Peace under Group 6 Antisocial Offences</w:t>
      </w:r>
      <w:r w:rsidR="007C7E61">
        <w:rPr>
          <w:lang w:eastAsia="en-GB"/>
        </w:rPr>
        <w:t xml:space="preserve"> alongside</w:t>
      </w:r>
      <w:r w:rsidR="00C52329">
        <w:rPr>
          <w:lang w:eastAsia="en-GB"/>
        </w:rPr>
        <w:t xml:space="preserve"> Community and Public Order Offences under Group 7 Miscellaneous Offences.</w:t>
      </w:r>
      <w:r w:rsidR="007C7E61">
        <w:rPr>
          <w:lang w:eastAsia="en-GB"/>
        </w:rPr>
        <w:t xml:space="preserve"> Group 8 Road Traffic </w:t>
      </w:r>
      <w:r w:rsidR="00477DB0">
        <w:rPr>
          <w:lang w:eastAsia="en-GB"/>
        </w:rPr>
        <w:t>O</w:t>
      </w:r>
      <w:r w:rsidR="007C7E61">
        <w:rPr>
          <w:lang w:eastAsia="en-GB"/>
        </w:rPr>
        <w:t xml:space="preserve">ffences increases are led by Vehicle Defect Offences, Other Group 8 Offences, Driving under the Influence and </w:t>
      </w:r>
      <w:r w:rsidR="00477DB0">
        <w:rPr>
          <w:lang w:eastAsia="en-GB"/>
        </w:rPr>
        <w:t>U</w:t>
      </w:r>
      <w:r w:rsidR="007C7E61">
        <w:rPr>
          <w:lang w:eastAsia="en-GB"/>
        </w:rPr>
        <w:t xml:space="preserve">nlawful </w:t>
      </w:r>
      <w:r w:rsidR="00477DB0">
        <w:rPr>
          <w:lang w:eastAsia="en-GB"/>
        </w:rPr>
        <w:t>U</w:t>
      </w:r>
      <w:r w:rsidR="007C7E61">
        <w:rPr>
          <w:lang w:eastAsia="en-GB"/>
        </w:rPr>
        <w:t xml:space="preserve">se of </w:t>
      </w:r>
      <w:r w:rsidR="00477DB0">
        <w:rPr>
          <w:lang w:eastAsia="en-GB"/>
        </w:rPr>
        <w:t>M</w:t>
      </w:r>
      <w:r w:rsidR="007C7E61">
        <w:rPr>
          <w:lang w:eastAsia="en-GB"/>
        </w:rPr>
        <w:t xml:space="preserve">otor </w:t>
      </w:r>
      <w:r w:rsidR="00477DB0">
        <w:rPr>
          <w:lang w:eastAsia="en-GB"/>
        </w:rPr>
        <w:t>V</w:t>
      </w:r>
      <w:r w:rsidR="007C7E61">
        <w:rPr>
          <w:lang w:eastAsia="en-GB"/>
        </w:rPr>
        <w:t>ehicle.</w:t>
      </w:r>
    </w:p>
    <w:p w14:paraId="4C8F51A5" w14:textId="2FE7321B" w:rsidR="007C7E61" w:rsidRDefault="007C7E61" w:rsidP="00123F60">
      <w:pPr>
        <w:rPr>
          <w:lang w:eastAsia="en-GB"/>
        </w:rPr>
      </w:pPr>
      <w:r>
        <w:rPr>
          <w:lang w:eastAsia="en-GB"/>
        </w:rPr>
        <w:t xml:space="preserve">The main factor in the decrease from the five-year mean is a significant reduction in </w:t>
      </w:r>
      <w:r w:rsidR="00477DB0">
        <w:rPr>
          <w:lang w:eastAsia="en-GB"/>
        </w:rPr>
        <w:t>S</w:t>
      </w:r>
      <w:r>
        <w:rPr>
          <w:lang w:eastAsia="en-GB"/>
        </w:rPr>
        <w:t xml:space="preserve">peeding </w:t>
      </w:r>
      <w:r w:rsidR="00477DB0">
        <w:rPr>
          <w:lang w:eastAsia="en-GB"/>
        </w:rPr>
        <w:t>O</w:t>
      </w:r>
      <w:r>
        <w:rPr>
          <w:lang w:eastAsia="en-GB"/>
        </w:rPr>
        <w:t>ffences which have been on a year-on-year downward trend from 2019/20 through t</w:t>
      </w:r>
      <w:r w:rsidR="007A6801">
        <w:rPr>
          <w:lang w:eastAsia="en-GB"/>
        </w:rPr>
        <w:t>o</w:t>
      </w:r>
      <w:r>
        <w:rPr>
          <w:lang w:eastAsia="en-GB"/>
        </w:rPr>
        <w:t xml:space="preserve"> 2024/25. Similar downward trends are noted </w:t>
      </w:r>
      <w:r w:rsidR="000573D5">
        <w:rPr>
          <w:lang w:eastAsia="en-GB"/>
        </w:rPr>
        <w:t xml:space="preserve">against Threatening or </w:t>
      </w:r>
      <w:r w:rsidR="00477DB0">
        <w:rPr>
          <w:lang w:eastAsia="en-GB"/>
        </w:rPr>
        <w:t>A</w:t>
      </w:r>
      <w:r w:rsidR="000573D5">
        <w:rPr>
          <w:lang w:eastAsia="en-GB"/>
        </w:rPr>
        <w:t xml:space="preserve">busive </w:t>
      </w:r>
      <w:r w:rsidR="00477DB0">
        <w:rPr>
          <w:lang w:eastAsia="en-GB"/>
        </w:rPr>
        <w:t>B</w:t>
      </w:r>
      <w:r w:rsidR="000573D5">
        <w:rPr>
          <w:lang w:eastAsia="en-GB"/>
        </w:rPr>
        <w:t xml:space="preserve">ehaviour and </w:t>
      </w:r>
      <w:r w:rsidR="00477DB0">
        <w:rPr>
          <w:lang w:eastAsia="en-GB"/>
        </w:rPr>
        <w:t>C</w:t>
      </w:r>
      <w:r w:rsidR="000573D5">
        <w:rPr>
          <w:lang w:eastAsia="en-GB"/>
        </w:rPr>
        <w:t xml:space="preserve">onsume </w:t>
      </w:r>
      <w:r w:rsidR="00477DB0">
        <w:rPr>
          <w:lang w:eastAsia="en-GB"/>
        </w:rPr>
        <w:t>A</w:t>
      </w:r>
      <w:r w:rsidR="000573D5">
        <w:rPr>
          <w:lang w:eastAsia="en-GB"/>
        </w:rPr>
        <w:t xml:space="preserve">lcohol in a </w:t>
      </w:r>
      <w:r w:rsidR="00477DB0">
        <w:rPr>
          <w:lang w:eastAsia="en-GB"/>
        </w:rPr>
        <w:t>D</w:t>
      </w:r>
      <w:r w:rsidR="000573D5">
        <w:rPr>
          <w:lang w:eastAsia="en-GB"/>
        </w:rPr>
        <w:t xml:space="preserve">esignated </w:t>
      </w:r>
      <w:r w:rsidR="00477DB0">
        <w:rPr>
          <w:lang w:eastAsia="en-GB"/>
        </w:rPr>
        <w:t>P</w:t>
      </w:r>
      <w:r w:rsidR="000573D5">
        <w:rPr>
          <w:lang w:eastAsia="en-GB"/>
        </w:rPr>
        <w:t>lace.</w:t>
      </w:r>
    </w:p>
    <w:p w14:paraId="16B1CD48" w14:textId="21398844" w:rsidR="00FE3811" w:rsidRDefault="00123F60" w:rsidP="00123F60">
      <w:pPr>
        <w:rPr>
          <w:lang w:eastAsia="en-GB"/>
        </w:rPr>
      </w:pPr>
      <w:r w:rsidRPr="000C1400">
        <w:rPr>
          <w:lang w:eastAsia="en-GB"/>
        </w:rPr>
        <w:t xml:space="preserve">The volume of detections has </w:t>
      </w:r>
      <w:r w:rsidR="00464C1C" w:rsidRPr="000C1400">
        <w:rPr>
          <w:lang w:eastAsia="en-GB"/>
        </w:rPr>
        <w:t xml:space="preserve">followed a similar trend (up </w:t>
      </w:r>
      <w:r w:rsidR="000C1400" w:rsidRPr="000C1400">
        <w:rPr>
          <w:lang w:eastAsia="en-GB"/>
        </w:rPr>
        <w:t>3.1</w:t>
      </w:r>
      <w:r w:rsidR="001922B7" w:rsidRPr="000C1400">
        <w:rPr>
          <w:lang w:eastAsia="en-GB"/>
        </w:rPr>
        <w:t>%</w:t>
      </w:r>
      <w:r w:rsidR="00464C1C" w:rsidRPr="000C1400">
        <w:rPr>
          <w:lang w:eastAsia="en-GB"/>
        </w:rPr>
        <w:t xml:space="preserve"> on last year but down </w:t>
      </w:r>
      <w:r w:rsidR="001922B7" w:rsidRPr="000C1400">
        <w:rPr>
          <w:lang w:eastAsia="en-GB"/>
        </w:rPr>
        <w:t>5.8%</w:t>
      </w:r>
      <w:r w:rsidR="00464C1C" w:rsidRPr="000C1400">
        <w:rPr>
          <w:lang w:eastAsia="en-GB"/>
        </w:rPr>
        <w:t xml:space="preserve"> on five-year mean</w:t>
      </w:r>
      <w:r w:rsidRPr="000C1400">
        <w:rPr>
          <w:lang w:eastAsia="en-GB"/>
        </w:rPr>
        <w:t>)</w:t>
      </w:r>
      <w:r w:rsidR="000573D5">
        <w:rPr>
          <w:lang w:eastAsia="en-GB"/>
        </w:rPr>
        <w:t>,</w:t>
      </w:r>
      <w:r w:rsidR="007C7E61">
        <w:rPr>
          <w:lang w:eastAsia="en-GB"/>
        </w:rPr>
        <w:t xml:space="preserve"> with the largest increases </w:t>
      </w:r>
      <w:r w:rsidR="000573D5">
        <w:rPr>
          <w:lang w:eastAsia="en-GB"/>
        </w:rPr>
        <w:t xml:space="preserve">and decreases </w:t>
      </w:r>
      <w:r w:rsidR="007C7E61">
        <w:rPr>
          <w:lang w:eastAsia="en-GB"/>
        </w:rPr>
        <w:t>noted in the same categories</w:t>
      </w:r>
      <w:r w:rsidR="000573D5">
        <w:rPr>
          <w:lang w:eastAsia="en-GB"/>
        </w:rPr>
        <w:t xml:space="preserve"> of offending highlighted in the previous paragraphs</w:t>
      </w:r>
      <w:r w:rsidRPr="000C1400">
        <w:rPr>
          <w:lang w:eastAsia="en-GB"/>
        </w:rPr>
        <w:t>.</w:t>
      </w:r>
    </w:p>
    <w:p w14:paraId="30F66BED" w14:textId="136129F0" w:rsidR="00466D0C" w:rsidRPr="000C1400" w:rsidRDefault="00123F60" w:rsidP="00123F60">
      <w:pPr>
        <w:rPr>
          <w:lang w:eastAsia="en-GB"/>
        </w:rPr>
      </w:pPr>
      <w:r w:rsidRPr="000C1400">
        <w:rPr>
          <w:lang w:eastAsia="en-GB"/>
        </w:rPr>
        <w:t xml:space="preserve">The overall detection rate of </w:t>
      </w:r>
      <w:r w:rsidR="001922B7" w:rsidRPr="000C1400">
        <w:rPr>
          <w:lang w:eastAsia="en-GB"/>
        </w:rPr>
        <w:t>83.3</w:t>
      </w:r>
      <w:r w:rsidRPr="000C1400">
        <w:rPr>
          <w:lang w:eastAsia="en-GB"/>
        </w:rPr>
        <w:t xml:space="preserve">% for Group </w:t>
      </w:r>
      <w:r w:rsidR="00464C1C" w:rsidRPr="000C1400">
        <w:rPr>
          <w:lang w:eastAsia="en-GB"/>
        </w:rPr>
        <w:t>6-8 offences</w:t>
      </w:r>
      <w:r w:rsidRPr="000C1400">
        <w:rPr>
          <w:lang w:eastAsia="en-GB"/>
        </w:rPr>
        <w:t xml:space="preserve"> is </w:t>
      </w:r>
      <w:r w:rsidR="000C1400" w:rsidRPr="000C1400">
        <w:rPr>
          <w:lang w:eastAsia="en-GB"/>
        </w:rPr>
        <w:t>down</w:t>
      </w:r>
      <w:r w:rsidRPr="000C1400">
        <w:rPr>
          <w:lang w:eastAsia="en-GB"/>
        </w:rPr>
        <w:t xml:space="preserve"> </w:t>
      </w:r>
      <w:r w:rsidR="001922B7" w:rsidRPr="000C1400">
        <w:rPr>
          <w:lang w:eastAsia="en-GB"/>
        </w:rPr>
        <w:t>0.</w:t>
      </w:r>
      <w:r w:rsidR="00E904FE">
        <w:rPr>
          <w:lang w:eastAsia="en-GB"/>
        </w:rPr>
        <w:t>5</w:t>
      </w:r>
      <w:r w:rsidR="005A1C7D" w:rsidRPr="000C1400">
        <w:rPr>
          <w:lang w:eastAsia="en-GB"/>
        </w:rPr>
        <w:t xml:space="preserve"> percentage</w:t>
      </w:r>
      <w:r w:rsidRPr="000C1400">
        <w:rPr>
          <w:lang w:eastAsia="en-GB"/>
        </w:rPr>
        <w:t xml:space="preserve"> points on last year </w:t>
      </w:r>
      <w:r w:rsidR="000C1400" w:rsidRPr="000C1400">
        <w:rPr>
          <w:lang w:eastAsia="en-GB"/>
        </w:rPr>
        <w:t>and</w:t>
      </w:r>
      <w:r w:rsidR="00464C1C" w:rsidRPr="000C1400">
        <w:rPr>
          <w:lang w:eastAsia="en-GB"/>
        </w:rPr>
        <w:t xml:space="preserve"> down </w:t>
      </w:r>
      <w:r w:rsidR="000C1400" w:rsidRPr="000C1400">
        <w:rPr>
          <w:lang w:eastAsia="en-GB"/>
        </w:rPr>
        <w:t>2.</w:t>
      </w:r>
      <w:r w:rsidR="00DC02A6" w:rsidRPr="000C1400">
        <w:rPr>
          <w:lang w:eastAsia="en-GB"/>
        </w:rPr>
        <w:t>1</w:t>
      </w:r>
      <w:r w:rsidR="005A1C7D" w:rsidRPr="000C1400">
        <w:rPr>
          <w:lang w:eastAsia="en-GB"/>
        </w:rPr>
        <w:t xml:space="preserve"> percentage</w:t>
      </w:r>
      <w:r w:rsidRPr="000C1400">
        <w:rPr>
          <w:lang w:eastAsia="en-GB"/>
        </w:rPr>
        <w:t xml:space="preserve"> points on the five-year mean.</w:t>
      </w:r>
      <w:r w:rsidR="007C7E61" w:rsidRPr="007C7E61">
        <w:t xml:space="preserve"> </w:t>
      </w:r>
      <w:r w:rsidR="007C7E61" w:rsidRPr="007C7E61">
        <w:rPr>
          <w:lang w:eastAsia="en-GB"/>
        </w:rPr>
        <w:t>The majority of detection rates are fairly consistent with the PYTD and five-year mean figures with no particular outliers to highlight.</w:t>
      </w:r>
    </w:p>
    <w:p w14:paraId="140C9A35" w14:textId="58A78FD7" w:rsidR="00A036C7" w:rsidRPr="00B07689" w:rsidRDefault="0095021C" w:rsidP="000603A2">
      <w:pPr>
        <w:pStyle w:val="Heading4"/>
        <w:rPr>
          <w:lang w:eastAsia="en-GB"/>
        </w:rPr>
      </w:pPr>
      <w:r w:rsidRPr="00FF2F06">
        <w:rPr>
          <w:lang w:eastAsia="en-GB"/>
        </w:rPr>
        <w:t>Benchmarking Overall Total of Reported Crimes</w:t>
      </w:r>
    </w:p>
    <w:p w14:paraId="08CC3961" w14:textId="4DBE0CE9" w:rsidR="00C3737F" w:rsidRPr="00CC2205" w:rsidRDefault="00C3737F" w:rsidP="00C3737F">
      <w:pPr>
        <w:rPr>
          <w:lang w:eastAsia="en-GB"/>
        </w:rPr>
      </w:pPr>
      <w:r>
        <w:rPr>
          <w:lang w:eastAsia="en-GB"/>
        </w:rPr>
        <w:t>Police Services in England and Wales utilise the ‘</w:t>
      </w:r>
      <w:proofErr w:type="gramStart"/>
      <w:r>
        <w:rPr>
          <w:lang w:eastAsia="en-GB"/>
        </w:rPr>
        <w:t>Principle</w:t>
      </w:r>
      <w:proofErr w:type="gramEnd"/>
      <w:r>
        <w:rPr>
          <w:lang w:eastAsia="en-GB"/>
        </w:rPr>
        <w:t xml:space="preserve"> Crime Rule’ for recording, that if an incident involves multiple crimes, only the most serious one is recorded. Whereas Police Scotland record all crimes at the </w:t>
      </w:r>
      <w:r w:rsidR="00C308C2">
        <w:rPr>
          <w:lang w:eastAsia="en-GB"/>
        </w:rPr>
        <w:t xml:space="preserve">incident, regardless of severity. As a result, crime counts in Scotland may appear higher, not necessarily due to more offending, but due to more comprehensive recording </w:t>
      </w:r>
      <w:r w:rsidR="00570F99">
        <w:rPr>
          <w:lang w:eastAsia="en-GB"/>
        </w:rPr>
        <w:t>practices</w:t>
      </w:r>
      <w:r w:rsidR="00FC70B9">
        <w:rPr>
          <w:lang w:eastAsia="en-GB"/>
        </w:rPr>
        <w:t>.</w:t>
      </w:r>
    </w:p>
    <w:p w14:paraId="1DC1F730" w14:textId="6FE0B798" w:rsidR="00C3737F" w:rsidRPr="00B07689" w:rsidRDefault="00C3737F" w:rsidP="00C3737F">
      <w:r w:rsidRPr="00B07689">
        <w:t xml:space="preserve">The most recent crime statistics (at time of writing) for England and Wales covering the 2024/25 period (April 2024 to </w:t>
      </w:r>
      <w:r>
        <w:t>December</w:t>
      </w:r>
      <w:r w:rsidRPr="00B07689">
        <w:t xml:space="preserve"> 2024), indicated a 0.</w:t>
      </w:r>
      <w:r>
        <w:t>4</w:t>
      </w:r>
      <w:r w:rsidRPr="00B07689">
        <w:t xml:space="preserve">% increase in reported crimes. In contrast, when benchmarked to Police Scotland's data for the same period, reported crimes increased by </w:t>
      </w:r>
      <w:r w:rsidR="0070400E">
        <w:t>1</w:t>
      </w:r>
      <w:r w:rsidRPr="00B07689">
        <w:t>.</w:t>
      </w:r>
      <w:r w:rsidR="0070400E">
        <w:t>3</w:t>
      </w:r>
      <w:r w:rsidRPr="00B07689">
        <w:t>% compared to the previous year.</w:t>
      </w:r>
    </w:p>
    <w:p w14:paraId="3534A1B6" w14:textId="5601E18C" w:rsidR="00C3737F" w:rsidRPr="00B07689" w:rsidRDefault="00C3737F" w:rsidP="00C3737F">
      <w:r w:rsidRPr="00B07689">
        <w:t xml:space="preserve">Please note that a guide published by the Office of National Statistics (ONS) on comparability suggests excluding Fraud from both datasets when benchmarking. Fraud in England and Wales is not always recorded by the Police and is recorded by other agencies (e.g. </w:t>
      </w:r>
      <w:r>
        <w:t>A</w:t>
      </w:r>
      <w:r w:rsidRPr="00B07689">
        <w:t xml:space="preserve">ction </w:t>
      </w:r>
      <w:r>
        <w:t>F</w:t>
      </w:r>
      <w:r w:rsidRPr="00B07689">
        <w:t xml:space="preserve">raud, CIFAS, UK Finance). Therefore, between April 2024 to </w:t>
      </w:r>
      <w:r>
        <w:t>December</w:t>
      </w:r>
      <w:r w:rsidRPr="00B07689">
        <w:t xml:space="preserve"> 2024 </w:t>
      </w:r>
      <w:r w:rsidRPr="00B07689">
        <w:lastRenderedPageBreak/>
        <w:t xml:space="preserve">after excluding Fraud, recorded crime in England and Wales decreased by </w:t>
      </w:r>
      <w:r>
        <w:t>1</w:t>
      </w:r>
      <w:r w:rsidRPr="00B07689">
        <w:t xml:space="preserve">.3%, while Police Scotland recorded an increase of </w:t>
      </w:r>
      <w:r w:rsidR="0070400E">
        <w:t>1</w:t>
      </w:r>
      <w:r w:rsidRPr="00B07689">
        <w:t>.</w:t>
      </w:r>
      <w:r w:rsidR="0070400E">
        <w:t>6</w:t>
      </w:r>
      <w:r w:rsidRPr="00B07689">
        <w:t>% for the same time period.</w:t>
      </w:r>
    </w:p>
    <w:p w14:paraId="7C66B90A" w14:textId="77777777" w:rsidR="0095021C" w:rsidRDefault="0095021C" w:rsidP="000603A2">
      <w:pPr>
        <w:pStyle w:val="Heading4"/>
      </w:pPr>
      <w:r>
        <w:t>Violent Crime (Strategic Outcome 1)</w:t>
      </w:r>
    </w:p>
    <w:p w14:paraId="40040789" w14:textId="77777777" w:rsidR="00506A70" w:rsidRDefault="00506A70" w:rsidP="00506A70">
      <w:pPr>
        <w:rPr>
          <w:noProof/>
        </w:rPr>
      </w:pPr>
      <w:r w:rsidRPr="001B4F0C">
        <w:rPr>
          <w:noProof/>
        </w:rPr>
        <w:drawing>
          <wp:inline distT="0" distB="0" distL="0" distR="0" wp14:anchorId="4A257747" wp14:editId="4611403F">
            <wp:extent cx="6188710" cy="1772285"/>
            <wp:effectExtent l="0" t="0" r="2540" b="0"/>
            <wp:docPr id="2047161587" name="Picture 2" descr="Non Sexual Crimes of Violence (Group 1) Comparisons Table&#10;The first section (recorded YTD comparison) shows 71,120 non-sexual crimes of violence PYTD compared to 71,170 YTD (up 0.1% on last year). The six month sparkline shows 5,562 crimes in October; 5,646 crimes in November; 5,780 crimes in December; a low of 5,431 crimes in January; 5,447 crimes in February and a high of 6,400 crimes in March.&#10;The second section (recorded five-year comparison) shows the five-year mean for non-sexual crimes of violence is 67,765.6 compared to 71,170 YTD (up 5.0% on five-year mean). The five-year sparkline shows a low of 61,965 crimes in 2020/21; 69,034 crimes in 2021/22; 68,822 crimes in 2022/23; 71,120 crimes in 2023/24 and a high of 71,170 crimes in 2024/25 YTD.&#10;The third section (recorded detection rate comparison) shows the detection rate for non-sexual crimes of violence was 68.1% in PYTD compared to 68.4% in YTD (up 0.3% points on last year). The five-year detection rate sparkline shows a high of 71.9% in 2020/21; a low of 67.3% in 2021/22 and 2022/23; 68.1% in 2023/24 and 68.4% in 2024/25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61587" name="Picture 2" descr="Non Sexual Crimes of Violence (Group 1) Comparisons Table&#10;The first section (recorded YTD comparison) shows 71,120 non-sexual crimes of violence PYTD compared to 71,170 YTD (up 0.1% on last year). The six month sparkline shows 5,562 crimes in October; 5,646 crimes in November; 5,780 crimes in December; a low of 5,431 crimes in January; 5,447 crimes in February and a high of 6,400 crimes in March.&#10;The second section (recorded five-year comparison) shows the five-year mean for non-sexual crimes of violence is 67,765.6 compared to 71,170 YTD (up 5.0% on five-year mean). The five-year sparkline shows a low of 61,965 crimes in 2020/21; 69,034 crimes in 2021/22; 68,822 crimes in 2022/23; 71,120 crimes in 2023/24 and a high of 71,170 crimes in 2024/25 YTD.&#10;The third section (recorded detection rate comparison) shows the detection rate for non-sexual crimes of violence was 68.1% in PYTD compared to 68.4% in YTD (up 0.3% points on last year). The five-year detection rate sparkline shows a high of 71.9% in 2020/21; a low of 67.3% in 2021/22 and 2022/23; 68.1% in 2023/24 and 68.4% in 2024/25 YTD.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8710" cy="1772285"/>
                    </a:xfrm>
                    <a:prstGeom prst="rect">
                      <a:avLst/>
                    </a:prstGeom>
                    <a:noFill/>
                    <a:ln>
                      <a:noFill/>
                    </a:ln>
                  </pic:spPr>
                </pic:pic>
              </a:graphicData>
            </a:graphic>
          </wp:inline>
        </w:drawing>
      </w:r>
    </w:p>
    <w:p w14:paraId="75A1E304" w14:textId="77777777" w:rsidR="00506A70" w:rsidRDefault="00506A70" w:rsidP="00506A70">
      <w:r w:rsidRPr="001B4F0C">
        <w:rPr>
          <w:noProof/>
        </w:rPr>
        <w:drawing>
          <wp:inline distT="0" distB="0" distL="0" distR="0" wp14:anchorId="173EFF03" wp14:editId="6BB6AD07">
            <wp:extent cx="6188710" cy="1772285"/>
            <wp:effectExtent l="0" t="0" r="2540" b="0"/>
            <wp:docPr id="142821875" name="Picture 3" descr="Overall Violent Crime Comparisons Table&#10;This first section (recorded YTD comparison) shows 64,535 overall violent crimes PYTD compared to 64,317 YTD (down 0.3% on last year). The six month sparkline shows 5,018 crimes in October; 5,075 crimes in November; 5,222 crimes in December; a low of 4,854 crimes in January; 4,867 crimes in February and a high of 5,745 crimes in March.&#10;The second section (recorded five-year comparison) shows the five-year mean for overall violent crimes is 62,441.0 compared to 64,317 YTD (up 3.0% on five-year mean). The five-year sparkline shows a low of 57,334 crimes in 2020/21; 63,739 crimes in 2021/22; 62,927 crimes in 2022/23; a high of 64,535 crimes in 2023/24 and 64,317 crimes in 2024/25 YTD.&#10;The third section (recorded detection rate comparison) shows the detection rate for overall violent crimes was 69.9% in PYTD compared to 69.8% in YTD (down 0.1% points on last year). The five-year detection rate sparkline shows a high of 72.4% in 2020/21; a low of 68.2% in 2021/22; 68.8% in 2022/23; 69.9% in 2023/24 and 69.8% in 2024/25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1875" name="Picture 3" descr="Overall Violent Crime Comparisons Table&#10;This first section (recorded YTD comparison) shows 64,535 overall violent crimes PYTD compared to 64,317 YTD (down 0.3% on last year). The six month sparkline shows 5,018 crimes in October; 5,075 crimes in November; 5,222 crimes in December; a low of 4,854 crimes in January; 4,867 crimes in February and a high of 5,745 crimes in March.&#10;The second section (recorded five-year comparison) shows the five-year mean for overall violent crimes is 62,441.0 compared to 64,317 YTD (up 3.0% on five-year mean). The five-year sparkline shows a low of 57,334 crimes in 2020/21; 63,739 crimes in 2021/22; 62,927 crimes in 2022/23; a high of 64,535 crimes in 2023/24 and 64,317 crimes in 2024/25 YTD.&#10;The third section (recorded detection rate comparison) shows the detection rate for overall violent crimes was 69.9% in PYTD compared to 69.8% in YTD (down 0.1% points on last year). The five-year detection rate sparkline shows a high of 72.4% in 2020/21; a low of 68.2% in 2021/22; 68.8% in 2022/23; 69.9% in 2023/24 and 69.8% in 2024/25 YTD.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1772285"/>
                    </a:xfrm>
                    <a:prstGeom prst="rect">
                      <a:avLst/>
                    </a:prstGeom>
                    <a:noFill/>
                    <a:ln>
                      <a:noFill/>
                    </a:ln>
                  </pic:spPr>
                </pic:pic>
              </a:graphicData>
            </a:graphic>
          </wp:inline>
        </w:drawing>
      </w:r>
    </w:p>
    <w:p w14:paraId="5E8EFEE5" w14:textId="7B479E4D" w:rsidR="00506A70" w:rsidRPr="00E715C5" w:rsidRDefault="00506A70" w:rsidP="00506A70">
      <w:bookmarkStart w:id="35" w:name="_Hlk190337202"/>
      <w:r w:rsidRPr="00E715C5">
        <w:t>Overall violent crime saw a very slight decrease from last year. The volume of violent crimes is above the five</w:t>
      </w:r>
      <w:r>
        <w:t>-</w:t>
      </w:r>
      <w:r w:rsidRPr="00E715C5">
        <w:t>year</w:t>
      </w:r>
      <w:r w:rsidR="005055A7">
        <w:t xml:space="preserve"> </w:t>
      </w:r>
      <w:r w:rsidRPr="00E715C5">
        <w:t>mean although this remains mostly due to common assaults which saw a substantial decrease in 2020/21 during the COVID-19 pandemic.</w:t>
      </w:r>
    </w:p>
    <w:p w14:paraId="2ED58D81" w14:textId="198B5096" w:rsidR="00506A70" w:rsidRDefault="00506A70" w:rsidP="00506A70">
      <w:r w:rsidRPr="00A50D52">
        <w:t>There were 43 homicides recorded during 2024/25, 18 fewer than last year and 16 fewer than the five-year</w:t>
      </w:r>
      <w:r w:rsidR="005055A7">
        <w:t xml:space="preserve"> </w:t>
      </w:r>
      <w:r w:rsidRPr="00A50D52">
        <w:t xml:space="preserve">mean. This is the lowest number of homicides ever recorded in Scotland in any given </w:t>
      </w:r>
      <w:r w:rsidR="005055A7">
        <w:t>reporting</w:t>
      </w:r>
      <w:r w:rsidRPr="00A50D52">
        <w:t xml:space="preserve"> year. Five of these crimes were domestic related. All homicides recorded during the year </w:t>
      </w:r>
      <w:r>
        <w:t>were,</w:t>
      </w:r>
      <w:r w:rsidRPr="00A50D52">
        <w:t xml:space="preserve"> or are expected to be</w:t>
      </w:r>
      <w:r>
        <w:t>,</w:t>
      </w:r>
      <w:r w:rsidRPr="00A50D52">
        <w:t xml:space="preserve"> detected.</w:t>
      </w:r>
    </w:p>
    <w:p w14:paraId="7F70C9FD" w14:textId="69DD7D7E" w:rsidR="0051565C" w:rsidRPr="00A50D52" w:rsidRDefault="00682A91" w:rsidP="00506A70">
      <w:r>
        <w:t>A</w:t>
      </w:r>
      <w:r w:rsidRPr="0051565C">
        <w:t>ttempted</w:t>
      </w:r>
      <w:r w:rsidR="0051565C" w:rsidRPr="0051565C">
        <w:t xml:space="preserve"> murders and serious assaults were at their lowest levels in recent years. Attempted murders </w:t>
      </w:r>
      <w:r w:rsidR="0051565C">
        <w:t>had</w:t>
      </w:r>
      <w:r w:rsidR="0051565C" w:rsidRPr="0051565C">
        <w:t xml:space="preserve"> a 95.2% detection rate</w:t>
      </w:r>
      <w:r w:rsidR="00FA4301">
        <w:t>,</w:t>
      </w:r>
      <w:r w:rsidR="0051565C" w:rsidRPr="0051565C">
        <w:t xml:space="preserve"> this is the second highest level in recent years and only 0.1</w:t>
      </w:r>
      <w:r w:rsidR="00FA4301">
        <w:t xml:space="preserve"> percentage</w:t>
      </w:r>
      <w:r w:rsidR="0051565C" w:rsidRPr="0051565C">
        <w:t xml:space="preserve"> point</w:t>
      </w:r>
      <w:r w:rsidR="00FA4301">
        <w:t>s</w:t>
      </w:r>
      <w:r w:rsidR="0051565C" w:rsidRPr="0051565C">
        <w:t xml:space="preserve"> below last year’s rate. Serious assaults had a </w:t>
      </w:r>
      <w:r w:rsidR="00E70FCF">
        <w:t>79.0</w:t>
      </w:r>
      <w:r w:rsidR="0051565C" w:rsidRPr="0051565C">
        <w:t>% detection rate</w:t>
      </w:r>
      <w:r w:rsidR="00FA4301">
        <w:t>,</w:t>
      </w:r>
      <w:r w:rsidR="0051565C" w:rsidRPr="0051565C">
        <w:t xml:space="preserve"> the highest in recent years.</w:t>
      </w:r>
    </w:p>
    <w:p w14:paraId="51A2606F" w14:textId="50896F43" w:rsidR="00506A70" w:rsidRPr="00D65F4D" w:rsidRDefault="00506A70" w:rsidP="00506A70">
      <w:r w:rsidRPr="00D65F4D">
        <w:t xml:space="preserve">7,700 </w:t>
      </w:r>
      <w:r>
        <w:t xml:space="preserve">overall </w:t>
      </w:r>
      <w:r w:rsidRPr="00D65F4D">
        <w:t xml:space="preserve">violent crimes involved an accused under the age of 18 – these make up 18.1% of violent crimes where an accused was identified. Both the volume and proportion of violent crimes </w:t>
      </w:r>
      <w:r>
        <w:t xml:space="preserve">that involved a child being accused </w:t>
      </w:r>
      <w:r w:rsidRPr="00D65F4D">
        <w:t>decreased compared to the previous year. Robberies (22.7%) and common assaults (22.1%) are the violent crimes with the highest proportion of accused being under the age of 18.</w:t>
      </w:r>
    </w:p>
    <w:p w14:paraId="5D5A629B" w14:textId="77777777" w:rsidR="00506A70" w:rsidRPr="00D65F4D" w:rsidRDefault="00506A70" w:rsidP="00506A70">
      <w:r w:rsidRPr="00D65F4D">
        <w:t>Just over half (52.7%) of violent crimes with an under 18</w:t>
      </w:r>
      <w:r>
        <w:t>-year-old</w:t>
      </w:r>
      <w:r w:rsidRPr="00D65F4D">
        <w:t xml:space="preserve"> </w:t>
      </w:r>
      <w:r>
        <w:t xml:space="preserve">person </w:t>
      </w:r>
      <w:r w:rsidRPr="00D65F4D">
        <w:t>accused occur</w:t>
      </w:r>
      <w:r>
        <w:t>red</w:t>
      </w:r>
      <w:r w:rsidRPr="00D65F4D">
        <w:t xml:space="preserve"> in open space locations. Almost a quarter (24.4%) </w:t>
      </w:r>
      <w:r>
        <w:t>were</w:t>
      </w:r>
      <w:r w:rsidRPr="00D65F4D">
        <w:t xml:space="preserve"> in residences and 18.3% </w:t>
      </w:r>
      <w:r>
        <w:t>took place</w:t>
      </w:r>
      <w:r w:rsidRPr="00D65F4D">
        <w:t xml:space="preserve"> in educational settings.</w:t>
      </w:r>
    </w:p>
    <w:p w14:paraId="1AD60809" w14:textId="677707EB" w:rsidR="00DA7026" w:rsidRDefault="00DA7026" w:rsidP="00506A70">
      <w:r>
        <w:lastRenderedPageBreak/>
        <w:t xml:space="preserve">Recent analytical work between Police Scotland’s Analysis and Performance Unit and the Scottish Violence Reduction Unit has identified </w:t>
      </w:r>
      <w:r w:rsidRPr="00DA7026">
        <w:t xml:space="preserve">a substantial and consistent level of violent crime being committed by young people and that these crimes are often committed against other young people. The results of this analysis also indicate that there has been a higher frequency of younger accused persons across recent years </w:t>
      </w:r>
      <w:r>
        <w:t>when considering the period since 2019</w:t>
      </w:r>
      <w:r w:rsidRPr="00DA7026">
        <w:t>. It has also highlighted that older accused (16–18-year-olds) commit more serious violence whilst younger accused (11-15 years old) commit more crimes relating to violence and threatening behaviour.</w:t>
      </w:r>
    </w:p>
    <w:p w14:paraId="76F096FF" w14:textId="1B34371B" w:rsidR="00DA7026" w:rsidRDefault="00DA7026" w:rsidP="00506A70">
      <w:r>
        <w:t>An increased prevalence for weapon carrying has also been identified, particularly amongst 11-15 year-olds. There has also been an increase in the number of young females becoming involved in acts of violence.</w:t>
      </w:r>
    </w:p>
    <w:p w14:paraId="4B32C9EF" w14:textId="5EF63A89" w:rsidR="00506A70" w:rsidRPr="00506A70" w:rsidRDefault="00DA7026" w:rsidP="00506A70">
      <w:r>
        <w:t>The changing nature of gangs and the exploitation of vulnerable young people was identified as a growing issue impacting this.</w:t>
      </w:r>
      <w:bookmarkStart w:id="36" w:name="_Hlk190339536"/>
      <w:bookmarkEnd w:id="35"/>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06A70" w:rsidRPr="0003495F" w14:paraId="34E1E39B" w14:textId="77777777" w:rsidTr="002A32DF">
        <w:trPr>
          <w:trHeight w:val="680"/>
          <w:tblHeader/>
        </w:trPr>
        <w:tc>
          <w:tcPr>
            <w:tcW w:w="9862" w:type="dxa"/>
            <w:shd w:val="clear" w:color="auto" w:fill="FFE599" w:themeFill="accent4" w:themeFillTint="66"/>
            <w:vAlign w:val="center"/>
            <w:hideMark/>
          </w:tcPr>
          <w:p w14:paraId="7679ACAA" w14:textId="53C7CC22" w:rsidR="00506A70" w:rsidRPr="00D87D1B" w:rsidRDefault="00506A70" w:rsidP="002A32DF">
            <w:pPr>
              <w:pStyle w:val="TableHeaderLeft"/>
              <w:rPr>
                <w:color w:val="000000" w:themeColor="text1"/>
              </w:rPr>
            </w:pPr>
            <w:bookmarkStart w:id="37" w:name="Violence"/>
            <w:bookmarkEnd w:id="36"/>
            <w:bookmarkEnd w:id="37"/>
            <w:r w:rsidRPr="00D87D1B">
              <w:rPr>
                <w:color w:val="000000" w:themeColor="text1"/>
              </w:rPr>
              <w:t xml:space="preserve">Proactive/Preventative Policing – </w:t>
            </w:r>
            <w:r>
              <w:rPr>
                <w:color w:val="000000" w:themeColor="text1"/>
              </w:rPr>
              <w:t xml:space="preserve">Violence </w:t>
            </w:r>
            <w:r w:rsidR="007C2321">
              <w:rPr>
                <w:color w:val="000000" w:themeColor="text1"/>
              </w:rPr>
              <w:t xml:space="preserve">Prevention </w:t>
            </w:r>
            <w:r>
              <w:rPr>
                <w:color w:val="000000" w:themeColor="text1"/>
              </w:rPr>
              <w:t>Strategy</w:t>
            </w:r>
          </w:p>
        </w:tc>
      </w:tr>
      <w:tr w:rsidR="00506A70" w:rsidRPr="0003495F" w14:paraId="0A84818C" w14:textId="77777777" w:rsidTr="002A32DF">
        <w:trPr>
          <w:trHeight w:val="680"/>
        </w:trPr>
        <w:tc>
          <w:tcPr>
            <w:tcW w:w="9862" w:type="dxa"/>
            <w:shd w:val="clear" w:color="auto" w:fill="FFF2CC" w:themeFill="accent4" w:themeFillTint="33"/>
            <w:vAlign w:val="center"/>
            <w:hideMark/>
          </w:tcPr>
          <w:p w14:paraId="58E56FDF" w14:textId="30CB9DC3" w:rsidR="00506A70" w:rsidRPr="00A7152C" w:rsidRDefault="00506A70" w:rsidP="002A32DF">
            <w:pPr>
              <w:pStyle w:val="TableBodyLeft"/>
            </w:pPr>
            <w:bookmarkStart w:id="38" w:name="_Hlk190339618"/>
            <w:r w:rsidRPr="00A7152C">
              <w:t xml:space="preserve">Police Scotland continues to develop </w:t>
            </w:r>
            <w:r w:rsidRPr="00412BD9">
              <w:rPr>
                <w:color w:val="000000" w:themeColor="text1"/>
              </w:rPr>
              <w:t>its</w:t>
            </w:r>
            <w:r w:rsidR="00D8430C">
              <w:rPr>
                <w:color w:val="000000" w:themeColor="text1"/>
              </w:rPr>
              <w:t xml:space="preserve"> National</w:t>
            </w:r>
            <w:r w:rsidRPr="00412BD9">
              <w:rPr>
                <w:color w:val="000000" w:themeColor="text1"/>
              </w:rPr>
              <w:t xml:space="preserve"> Violence </w:t>
            </w:r>
            <w:r w:rsidR="00412BD9" w:rsidRPr="00412BD9">
              <w:rPr>
                <w:color w:val="000000" w:themeColor="text1"/>
              </w:rPr>
              <w:t>Prevention</w:t>
            </w:r>
            <w:r w:rsidRPr="00412BD9">
              <w:rPr>
                <w:color w:val="000000" w:themeColor="text1"/>
              </w:rPr>
              <w:t xml:space="preserve"> Strategy</w:t>
            </w:r>
            <w:bookmarkEnd w:id="38"/>
            <w:r w:rsidRPr="00412BD9">
              <w:rPr>
                <w:color w:val="000000" w:themeColor="text1"/>
              </w:rPr>
              <w:t>.</w:t>
            </w:r>
            <w:r w:rsidRPr="00A7152C">
              <w:t xml:space="preserve"> Feedback from internal and Scottish Government Violence Prevention Framework stakeholders is being integrated into its final shape following consultation.</w:t>
            </w:r>
          </w:p>
          <w:p w14:paraId="7501B18C" w14:textId="0B5537DE" w:rsidR="00506A70" w:rsidRPr="00A7152C" w:rsidRDefault="00506A70" w:rsidP="002A32DF">
            <w:pPr>
              <w:pStyle w:val="TableBodyLeft"/>
            </w:pPr>
            <w:r w:rsidRPr="00A7152C">
              <w:t>This strategy is structured around four key pillars: Pursue, Prevent, Protect, and Prepare.</w:t>
            </w:r>
          </w:p>
          <w:p w14:paraId="5D054B82" w14:textId="5F4D06AE" w:rsidR="00506A70" w:rsidRPr="00A7152C" w:rsidRDefault="00506A70" w:rsidP="002A32DF">
            <w:pPr>
              <w:pStyle w:val="TableBodyLeft"/>
            </w:pPr>
            <w:r w:rsidRPr="00A7152C">
              <w:t>Pursue focuses on identifying and taking action against individuals or groups involved in violence, using intelligence-led enforcement to disrupt and deter harmful behaviour.</w:t>
            </w:r>
          </w:p>
          <w:p w14:paraId="2F2E999D" w14:textId="2906228B" w:rsidR="00506A70" w:rsidRPr="00A7152C" w:rsidRDefault="00506A70" w:rsidP="002A32DF">
            <w:pPr>
              <w:pStyle w:val="TableBodyLeft"/>
            </w:pPr>
            <w:r w:rsidRPr="00A7152C">
              <w:t>Prevent aims to stop violence before it starts by addressing root causes such as social inequality, youth vulnerability, and lack of opportunity, through early intervention, education, and support services.</w:t>
            </w:r>
          </w:p>
          <w:p w14:paraId="29C7D847" w14:textId="6B680676" w:rsidR="00506A70" w:rsidRPr="00A7152C" w:rsidRDefault="00506A70" w:rsidP="002A32DF">
            <w:pPr>
              <w:pStyle w:val="TableBodyLeft"/>
            </w:pPr>
            <w:r w:rsidRPr="00A7152C">
              <w:t>Protect ensures that individuals and communities are safeguarded against the threat of violence by enhancing security measures, building trust, and supporting victims.</w:t>
            </w:r>
          </w:p>
          <w:p w14:paraId="72C0F721" w14:textId="10CCC026" w:rsidR="00506A70" w:rsidRPr="00A7152C" w:rsidRDefault="00506A70" w:rsidP="002A32DF">
            <w:pPr>
              <w:pStyle w:val="TableBodyLeft"/>
            </w:pPr>
            <w:r w:rsidRPr="00A7152C">
              <w:t>Finally, Prepare strengthens community and organisational resilience by planning, training, and equipping people to respond effectively to incidents, minimising harm.</w:t>
            </w:r>
          </w:p>
          <w:p w14:paraId="6FD596EF" w14:textId="77777777" w:rsidR="00506A70" w:rsidRPr="00A7152C" w:rsidRDefault="00506A70" w:rsidP="002A32DF">
            <w:pPr>
              <w:pStyle w:val="TableBodyLeft"/>
            </w:pPr>
            <w:r w:rsidRPr="00A7152C">
              <w:t>Together, these pillars form a comprehensive and collaborative approach to reducing violence and building safer communities which aligns with the Chief Constable’s 2030 vision. Throughout 2025/26, four key areas have been agreed:</w:t>
            </w:r>
          </w:p>
          <w:p w14:paraId="700C4908" w14:textId="435DBBB6" w:rsidR="00506A70" w:rsidRPr="00A7152C" w:rsidRDefault="00506A70" w:rsidP="005C51F4">
            <w:pPr>
              <w:pStyle w:val="TableBodyLeft"/>
              <w:numPr>
                <w:ilvl w:val="0"/>
                <w:numId w:val="12"/>
              </w:numPr>
              <w:spacing w:after="0"/>
              <w:ind w:left="714" w:hanging="357"/>
            </w:pPr>
            <w:r w:rsidRPr="00A7152C">
              <w:t xml:space="preserve">Transport </w:t>
            </w:r>
            <w:r w:rsidR="00E058FD">
              <w:t>r</w:t>
            </w:r>
            <w:r w:rsidRPr="00A7152C">
              <w:t xml:space="preserve">elated </w:t>
            </w:r>
            <w:r w:rsidR="00E058FD">
              <w:t>v</w:t>
            </w:r>
            <w:r w:rsidRPr="00A7152C">
              <w:t xml:space="preserve">iolence and </w:t>
            </w:r>
            <w:r w:rsidR="00E058FD">
              <w:t>a</w:t>
            </w:r>
            <w:r w:rsidR="00CF2BD3">
              <w:t>nti-</w:t>
            </w:r>
            <w:r w:rsidR="00E058FD">
              <w:t>s</w:t>
            </w:r>
            <w:r w:rsidR="00CF2BD3">
              <w:t xml:space="preserve">ocial </w:t>
            </w:r>
            <w:r w:rsidR="00E058FD">
              <w:t>b</w:t>
            </w:r>
            <w:r w:rsidR="00CF2BD3">
              <w:t>ehaviour</w:t>
            </w:r>
          </w:p>
          <w:p w14:paraId="225A9BA3" w14:textId="13999BDF" w:rsidR="00506A70" w:rsidRPr="00A7152C" w:rsidRDefault="00506A70" w:rsidP="005C51F4">
            <w:pPr>
              <w:pStyle w:val="TableBodyLeft"/>
              <w:numPr>
                <w:ilvl w:val="0"/>
                <w:numId w:val="12"/>
              </w:numPr>
              <w:spacing w:before="0" w:after="0"/>
              <w:ind w:left="714" w:hanging="357"/>
            </w:pPr>
            <w:r w:rsidRPr="00A7152C">
              <w:t xml:space="preserve">Violence in </w:t>
            </w:r>
            <w:r w:rsidR="00E058FD">
              <w:t>e</w:t>
            </w:r>
            <w:r w:rsidRPr="00A7152C">
              <w:t xml:space="preserve">ducational and </w:t>
            </w:r>
            <w:r w:rsidR="00E058FD">
              <w:t>c</w:t>
            </w:r>
            <w:r w:rsidRPr="00A7152C">
              <w:t xml:space="preserve">are </w:t>
            </w:r>
            <w:r w:rsidR="00E058FD">
              <w:t>s</w:t>
            </w:r>
            <w:r w:rsidRPr="00A7152C">
              <w:t>ettings</w:t>
            </w:r>
          </w:p>
          <w:p w14:paraId="09118D11" w14:textId="223C849A" w:rsidR="00506A70" w:rsidRPr="00A7152C" w:rsidRDefault="00506A70" w:rsidP="005C51F4">
            <w:pPr>
              <w:pStyle w:val="TableBodyLeft"/>
              <w:numPr>
                <w:ilvl w:val="0"/>
                <w:numId w:val="12"/>
              </w:numPr>
              <w:spacing w:before="0" w:after="0"/>
              <w:ind w:left="714" w:hanging="357"/>
            </w:pPr>
            <w:r w:rsidRPr="00A7152C">
              <w:t xml:space="preserve">Possession of </w:t>
            </w:r>
            <w:r w:rsidR="00E058FD">
              <w:t>w</w:t>
            </w:r>
            <w:r w:rsidRPr="00A7152C">
              <w:t>eapons</w:t>
            </w:r>
          </w:p>
          <w:p w14:paraId="015D7848" w14:textId="7D93779D" w:rsidR="00506A70" w:rsidRPr="00A7152C" w:rsidRDefault="00506A70" w:rsidP="005C51F4">
            <w:pPr>
              <w:pStyle w:val="TableBodyLeft"/>
              <w:numPr>
                <w:ilvl w:val="0"/>
                <w:numId w:val="12"/>
              </w:numPr>
              <w:spacing w:before="0"/>
              <w:ind w:left="714" w:hanging="357"/>
            </w:pPr>
            <w:r w:rsidRPr="00A7152C">
              <w:t xml:space="preserve">Interventions and </w:t>
            </w:r>
            <w:r w:rsidR="00E058FD">
              <w:t>p</w:t>
            </w:r>
            <w:r w:rsidRPr="00A7152C">
              <w:t>athways to support for repeat victims and perpetrators.</w:t>
            </w:r>
          </w:p>
          <w:p w14:paraId="79DC10FC" w14:textId="77777777" w:rsidR="00506A70" w:rsidRPr="0071236A" w:rsidRDefault="00506A70" w:rsidP="002A32DF">
            <w:pPr>
              <w:pStyle w:val="TableBodyLeft"/>
            </w:pPr>
            <w:r w:rsidRPr="002F47D2">
              <w:t xml:space="preserve">Additionally, </w:t>
            </w:r>
            <w:r>
              <w:t>Police Scotland’s</w:t>
            </w:r>
            <w:r w:rsidRPr="002F47D2">
              <w:t xml:space="preserve"> Violence Prevention Licensing Coordination Unit</w:t>
            </w:r>
            <w:r>
              <w:t xml:space="preserve"> (VPLCU)</w:t>
            </w:r>
            <w:r w:rsidRPr="002F47D2">
              <w:t xml:space="preserve"> is crafting a National ‘Trigger’ Plan to guide local policing divisions on incidents involving weapons in schools. This will be focused on intervention and prevention, it aims for a uniform and collaborative approach without prescribing operational responses.</w:t>
            </w:r>
          </w:p>
        </w:tc>
      </w:tr>
    </w:tbl>
    <w:p w14:paraId="7EE1D84A" w14:textId="77777777" w:rsidR="0095021C" w:rsidRPr="00401B2C" w:rsidRDefault="0095021C" w:rsidP="000603A2">
      <w:pPr>
        <w:pStyle w:val="Heading4"/>
      </w:pPr>
      <w:r w:rsidRPr="00401B2C">
        <w:lastRenderedPageBreak/>
        <w:t xml:space="preserve">Public Protection </w:t>
      </w:r>
      <w:r>
        <w:t>(Strategic Outcome 1)</w:t>
      </w:r>
    </w:p>
    <w:p w14:paraId="6943B621" w14:textId="77777777" w:rsidR="005604F2" w:rsidRDefault="005604F2" w:rsidP="0095021C">
      <w:pPr>
        <w:rPr>
          <w:noProof/>
        </w:rPr>
      </w:pPr>
      <w:r>
        <w:rPr>
          <w:noProof/>
        </w:rPr>
        <w:drawing>
          <wp:inline distT="0" distB="0" distL="0" distR="0" wp14:anchorId="2D4AF234" wp14:editId="1AE5A3B7">
            <wp:extent cx="6188710" cy="1184910"/>
            <wp:effectExtent l="0" t="0" r="2540" b="0"/>
            <wp:docPr id="426839528" name="Picture 1" descr="Group 2 Sexual Crime YTD Comparison Table&#10;The first row shows 14,338 group 2 sexual crimes PYTD compared to 14,892 YTD (up 3.9% on last year). The six month sparkline shows 1,250 crimes in October; 1,240 crimes in November; a low of 1,081 crimes in December; 1,228 crimes in January; 1,249 crimes in February and a high of 1,293 crimes in March.&#10;The second row shows 10,826 recent group 2 sexual crimes PYTD compared to 11,173 YTD (up 3.2% on last year).&#10;The third row shows 3,512 non-recent group 2 sexual crimes PYTD compared to 3,719 YTD (up 5.9%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39528" name="Picture 1" descr="Group 2 Sexual Crime YTD Comparison Table&#10;The first row shows 14,338 group 2 sexual crimes PYTD compared to 14,892 YTD (up 3.9% on last year). The six month sparkline shows 1,250 crimes in October; 1,240 crimes in November; a low of 1,081 crimes in December; 1,228 crimes in January; 1,249 crimes in February and a high of 1,293 crimes in March.&#10;The second row shows 10,826 recent group 2 sexual crimes PYTD compared to 11,173 YTD (up 3.2% on last year).&#10;The third row shows 3,512 non-recent group 2 sexual crimes PYTD compared to 3,719 YTD (up 5.9% on last year).&#10;"/>
                    <pic:cNvPicPr/>
                  </pic:nvPicPr>
                  <pic:blipFill>
                    <a:blip r:embed="rId48"/>
                    <a:stretch>
                      <a:fillRect/>
                    </a:stretch>
                  </pic:blipFill>
                  <pic:spPr>
                    <a:xfrm>
                      <a:off x="0" y="0"/>
                      <a:ext cx="6188710" cy="1184910"/>
                    </a:xfrm>
                    <a:prstGeom prst="rect">
                      <a:avLst/>
                    </a:prstGeom>
                  </pic:spPr>
                </pic:pic>
              </a:graphicData>
            </a:graphic>
          </wp:inline>
        </w:drawing>
      </w:r>
    </w:p>
    <w:p w14:paraId="0418CCB1" w14:textId="77777777" w:rsidR="005604F2" w:rsidRDefault="005604F2" w:rsidP="0095021C">
      <w:pPr>
        <w:rPr>
          <w:noProof/>
        </w:rPr>
      </w:pPr>
      <w:r>
        <w:rPr>
          <w:noProof/>
        </w:rPr>
        <w:drawing>
          <wp:inline distT="0" distB="0" distL="0" distR="0" wp14:anchorId="0844EDF7" wp14:editId="178FD316">
            <wp:extent cx="6188710" cy="1181100"/>
            <wp:effectExtent l="0" t="0" r="2540" b="0"/>
            <wp:docPr id="886816076" name="Picture 1" descr="Group 2 Sexual Crime Five-Year Comparison Table&#10;The first row shows the five-year mean for group 2 sexual crimes is 14,206.2 compared to 14,892 YTD (up 4.8% on five-year mean). The five-year sparkline shows a low of 13,338 crimes in 2020/21; a high of 15,214 crimes in 2021/22; 14,561 crimes in 2022/23; 14,338 crimes in 2023/24 and 14,892 crimes in 2024/25 YTD.&#10;The second row shows the five-year mean for recent group 2 sexual crimes is 10,738.0 compared to 11,173 YTD (up 4.1% on five-year mean). The five-year sparkline shows a low of 9,810 crimes in 2020/21; a high of 11,608 crimes in 2021/22; 11,308 crimes in 2022/23; 10,826 crimes in 2023/24 and 11,173 crimes in 2024/25 YTD.&#10;The third row shows the five-year mean for non-recent group 2 sexual crimes is 3,468.2 compared to 3,719 YTD (up 7.2% on five-year mean). The five-year sparkline shows 3,528 crimes in 2020/21; 3,606 crimes in 2021/22; a low of 3,253 crimes in 2022/23; 3,512 crimes in 2023/24 and a high of 3,719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16076" name="Picture 1" descr="Group 2 Sexual Crime Five-Year Comparison Table&#10;The first row shows the five-year mean for group 2 sexual crimes is 14,206.2 compared to 14,892 YTD (up 4.8% on five-year mean). The five-year sparkline shows a low of 13,338 crimes in 2020/21; a high of 15,214 crimes in 2021/22; 14,561 crimes in 2022/23; 14,338 crimes in 2023/24 and 14,892 crimes in 2024/25 YTD.&#10;The second row shows the five-year mean for recent group 2 sexual crimes is 10,738.0 compared to 11,173 YTD (up 4.1% on five-year mean). The five-year sparkline shows a low of 9,810 crimes in 2020/21; a high of 11,608 crimes in 2021/22; 11,308 crimes in 2022/23; 10,826 crimes in 2023/24 and 11,173 crimes in 2024/25 YTD.&#10;The third row shows the five-year mean for non-recent group 2 sexual crimes is 3,468.2 compared to 3,719 YTD (up 7.2% on five-year mean). The five-year sparkline shows 3,528 crimes in 2020/21; 3,606 crimes in 2021/22; a low of 3,253 crimes in 2022/23; 3,512 crimes in 2023/24 and a high of 3,719 crimes in 2024/25 YTD.&#10;"/>
                    <pic:cNvPicPr/>
                  </pic:nvPicPr>
                  <pic:blipFill>
                    <a:blip r:embed="rId49"/>
                    <a:stretch>
                      <a:fillRect/>
                    </a:stretch>
                  </pic:blipFill>
                  <pic:spPr>
                    <a:xfrm>
                      <a:off x="0" y="0"/>
                      <a:ext cx="6188710" cy="1181100"/>
                    </a:xfrm>
                    <a:prstGeom prst="rect">
                      <a:avLst/>
                    </a:prstGeom>
                  </pic:spPr>
                </pic:pic>
              </a:graphicData>
            </a:graphic>
          </wp:inline>
        </w:drawing>
      </w:r>
    </w:p>
    <w:p w14:paraId="4F60CB16" w14:textId="078BBBA0" w:rsidR="00613FA5" w:rsidRDefault="005604F2" w:rsidP="0095021C">
      <w:pPr>
        <w:rPr>
          <w:noProof/>
        </w:rPr>
      </w:pPr>
      <w:r>
        <w:rPr>
          <w:noProof/>
        </w:rPr>
        <w:drawing>
          <wp:inline distT="0" distB="0" distL="0" distR="0" wp14:anchorId="4243130C" wp14:editId="25FC5656">
            <wp:extent cx="6188710" cy="1184275"/>
            <wp:effectExtent l="0" t="0" r="2540" b="0"/>
            <wp:docPr id="1517944654" name="Picture 1" descr="Group 2 Sexual Crime Detection Rate/Proportion Comparison Table&#10;The first row shows the detection rate for group 2 sexual crimes was 57.4% in PYTD compared to 56.9% in YTD (down 0.5% points on last year). The five-year detection rate sparkline shows a high of 58.0% in 2020/21; a low of 53.1% in 2021/22; 53.5% in 2022/23; 57.4% in 2023/24 and 56.9% in 2024/25 YTD.&#10;The second row shows the proportion of recent group 2 sexual crimes was 75.5% in PYTD compared to 75.0% in YTD (down 0.5% points on last year) . The five-year proportion recent sparkline shows a low of 73.5% in 2020/21; 76.3% in 2021/22; a high of 77.7% in 2022/23; 75.5% in 2023/24 and 75.0% in 2024/25 YTD.&#10;The third row shows the proportion of non-recent group 2 sexual crimes was 24.5% in PYTD compared to 25.0% in YTD (up 0.5% points on last year). The five-year proportion recent sparkline shows a high of 26.5% in 2020/21; 23.7% in 2021/22; a low of 22.3% in 2022/23; 24.5% in 2023/24 and 25.0%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44654" name="Picture 1" descr="Group 2 Sexual Crime Detection Rate/Proportion Comparison Table&#10;The first row shows the detection rate for group 2 sexual crimes was 57.4% in PYTD compared to 56.9% in YTD (down 0.5% points on last year). The five-year detection rate sparkline shows a high of 58.0% in 2020/21; a low of 53.1% in 2021/22; 53.5% in 2022/23; 57.4% in 2023/24 and 56.9% in 2024/25 YTD.&#10;The second row shows the proportion of recent group 2 sexual crimes was 75.5% in PYTD compared to 75.0% in YTD (down 0.5% points on last year) . The five-year proportion recent sparkline shows a low of 73.5% in 2020/21; 76.3% in 2021/22; a high of 77.7% in 2022/23; 75.5% in 2023/24 and 75.0% in 2024/25 YTD.&#10;The third row shows the proportion of non-recent group 2 sexual crimes was 24.5% in PYTD compared to 25.0% in YTD (up 0.5% points on last year). The five-year proportion recent sparkline shows a high of 26.5% in 2020/21; 23.7% in 2021/22; a low of 22.3% in 2022/23; 24.5% in 2023/24 and 25.0% in 2024/25 YTD.&#10;"/>
                    <pic:cNvPicPr/>
                  </pic:nvPicPr>
                  <pic:blipFill>
                    <a:blip r:embed="rId50"/>
                    <a:stretch>
                      <a:fillRect/>
                    </a:stretch>
                  </pic:blipFill>
                  <pic:spPr>
                    <a:xfrm>
                      <a:off x="0" y="0"/>
                      <a:ext cx="6188710" cy="1184275"/>
                    </a:xfrm>
                    <a:prstGeom prst="rect">
                      <a:avLst/>
                    </a:prstGeom>
                  </pic:spPr>
                </pic:pic>
              </a:graphicData>
            </a:graphic>
          </wp:inline>
        </w:drawing>
      </w:r>
    </w:p>
    <w:p w14:paraId="65EB13A0" w14:textId="34B1F7CC" w:rsidR="009B77FD" w:rsidRPr="009B77FD" w:rsidRDefault="009B77FD" w:rsidP="009B77FD">
      <w:pPr>
        <w:rPr>
          <w:lang w:eastAsia="en-GB"/>
        </w:rPr>
      </w:pPr>
      <w:r w:rsidRPr="009B77FD">
        <w:rPr>
          <w:lang w:eastAsia="en-GB"/>
        </w:rPr>
        <w:t>Sexual crime increased when compared to last year, up 3.9%, (554 more crimes) and against the five-year mean (up 4.8%, 686 more crimes).</w:t>
      </w:r>
    </w:p>
    <w:p w14:paraId="065CD86A" w14:textId="40B29B65" w:rsidR="009B77FD" w:rsidRPr="009B77FD" w:rsidRDefault="009B77FD" w:rsidP="009B77FD">
      <w:pPr>
        <w:rPr>
          <w:lang w:eastAsia="en-GB"/>
        </w:rPr>
      </w:pPr>
      <w:r w:rsidRPr="009B77FD">
        <w:rPr>
          <w:lang w:eastAsia="en-GB"/>
        </w:rPr>
        <w:t>The detection rate of overall sexual crime is 56.9%,</w:t>
      </w:r>
      <w:r w:rsidR="00A66A77">
        <w:rPr>
          <w:lang w:eastAsia="en-GB"/>
        </w:rPr>
        <w:t xml:space="preserve"> similar to the detection rate noted in the previous year</w:t>
      </w:r>
      <w:r w:rsidRPr="009B77FD">
        <w:rPr>
          <w:lang w:eastAsia="en-GB"/>
        </w:rPr>
        <w:t>.</w:t>
      </w:r>
    </w:p>
    <w:p w14:paraId="1EA78417" w14:textId="0E31DFAC" w:rsidR="009B77FD" w:rsidRPr="00991FCE" w:rsidRDefault="009B77FD" w:rsidP="009B77FD">
      <w:pPr>
        <w:rPr>
          <w:lang w:eastAsia="en-GB"/>
        </w:rPr>
      </w:pPr>
      <w:r w:rsidRPr="00D6654E">
        <w:rPr>
          <w:lang w:eastAsia="en-GB"/>
        </w:rPr>
        <w:t xml:space="preserve">Non-recent sexual crime accounts for </w:t>
      </w:r>
      <w:r w:rsidR="00D6654E" w:rsidRPr="00D6654E">
        <w:rPr>
          <w:lang w:eastAsia="en-GB"/>
        </w:rPr>
        <w:t>25.0</w:t>
      </w:r>
      <w:r w:rsidRPr="00D6654E">
        <w:rPr>
          <w:lang w:eastAsia="en-GB"/>
        </w:rPr>
        <w:t>% of overall group 2 and recent sexual crime accounts for 75.</w:t>
      </w:r>
      <w:r w:rsidR="00D6654E" w:rsidRPr="00D6654E">
        <w:rPr>
          <w:lang w:eastAsia="en-GB"/>
        </w:rPr>
        <w:t>0</w:t>
      </w:r>
      <w:r w:rsidRPr="00D6654E">
        <w:rPr>
          <w:lang w:eastAsia="en-GB"/>
        </w:rPr>
        <w:t>%.</w:t>
      </w:r>
    </w:p>
    <w:p w14:paraId="285697D3" w14:textId="1BE9E870" w:rsidR="00613FA5" w:rsidRDefault="0095021C" w:rsidP="000603A2">
      <w:pPr>
        <w:pStyle w:val="Heading4"/>
      </w:pPr>
      <w:r w:rsidRPr="007D421A">
        <w:t>Rape</w:t>
      </w:r>
      <w:r>
        <w:t xml:space="preserve"> (Strategic Outcome 1)</w:t>
      </w:r>
    </w:p>
    <w:p w14:paraId="72DAA704" w14:textId="77777777" w:rsidR="005604F2" w:rsidRDefault="005604F2" w:rsidP="00B07689">
      <w:pPr>
        <w:rPr>
          <w:lang w:eastAsia="en-GB"/>
        </w:rPr>
      </w:pPr>
      <w:bookmarkStart w:id="39" w:name="_Hlk190340379"/>
      <w:r>
        <w:rPr>
          <w:noProof/>
        </w:rPr>
        <w:drawing>
          <wp:inline distT="0" distB="0" distL="0" distR="0" wp14:anchorId="1654C3E5" wp14:editId="5EEF67AE">
            <wp:extent cx="6188710" cy="1181100"/>
            <wp:effectExtent l="0" t="0" r="2540" b="0"/>
            <wp:docPr id="1168825353" name="Picture 1" descr="Rape YTD Comparison Table&#10;The first row shows 2,366 rape crimes PYTD compared to 2,739 YTD (up 15.8% on last year). The six month sparkline shows 227 crimes in October; a low of 194 crimes in November; 224 crimes in December; 217 crimes in January; 204 crimes in February and a high of 272 crimes in March.&#10;The second row shows 1,381 recent rape crimes PYTD compared to 1,652 YTD (up 19.6% on last year).&#10;The third row shows 985 non-recent rape crimes PYTD compared to 1,087 YTD (up 10.4%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5353" name="Picture 1" descr="Rape YTD Comparison Table&#10;The first row shows 2,366 rape crimes PYTD compared to 2,739 YTD (up 15.8% on last year). The six month sparkline shows 227 crimes in October; a low of 194 crimes in November; 224 crimes in December; 217 crimes in January; 204 crimes in February and a high of 272 crimes in March.&#10;The second row shows 1,381 recent rape crimes PYTD compared to 1,652 YTD (up 19.6% on last year).&#10;The third row shows 985 non-recent rape crimes PYTD compared to 1,087 YTD (up 10.4% on last year).&#10;"/>
                    <pic:cNvPicPr/>
                  </pic:nvPicPr>
                  <pic:blipFill>
                    <a:blip r:embed="rId51"/>
                    <a:stretch>
                      <a:fillRect/>
                    </a:stretch>
                  </pic:blipFill>
                  <pic:spPr>
                    <a:xfrm>
                      <a:off x="0" y="0"/>
                      <a:ext cx="6188710" cy="1181100"/>
                    </a:xfrm>
                    <a:prstGeom prst="rect">
                      <a:avLst/>
                    </a:prstGeom>
                  </pic:spPr>
                </pic:pic>
              </a:graphicData>
            </a:graphic>
          </wp:inline>
        </w:drawing>
      </w:r>
    </w:p>
    <w:p w14:paraId="47954A62" w14:textId="77777777" w:rsidR="005604F2" w:rsidRDefault="005604F2" w:rsidP="00B07689">
      <w:pPr>
        <w:rPr>
          <w:lang w:eastAsia="en-GB"/>
        </w:rPr>
      </w:pPr>
      <w:r>
        <w:rPr>
          <w:noProof/>
        </w:rPr>
        <w:drawing>
          <wp:inline distT="0" distB="0" distL="0" distR="0" wp14:anchorId="0631C784" wp14:editId="1C2E9E6D">
            <wp:extent cx="6188710" cy="1192530"/>
            <wp:effectExtent l="0" t="0" r="2540" b="7620"/>
            <wp:docPr id="564684452" name="Picture 1" descr="Rape Five-Year Comparison Table&#10;The first row shows the five-year mean for rape crimes is 2,333.4 compared to 2,739 YTD (up 17.4% on five-year mean). The five-year sparkline shows a low of 2,225 crimes in 2020/21; 2,411 crimes in 2021/22; 2,424 crimes in 2022/23; 2,366 crimes in 2023/24 and a high of 2,739 crimes in 2024/25 YTD.&#10;The second row shows the five-year mean for recent rape crimes is 1,388.4 compared to 1,652 YTD (up 19.0% on five-year mean). The five-year sparkline shows a low of 1,224 crimes in 2020/21; 1,436 crimes in 2021/22; 1,515 crimes in 2022/23; 1,381 crimes in 2023/24 and a high of 1,652 crimes in 2024/25 YTD.&#10;The third row shows the five-year mean for non-recent rape crimes is 945.0 compared to 1,087 YTD (up 15.0% on five-year mean). The five-year sparkline shows 1,001 crimes in 2020/21; 975 crimes in 2021/22; a low of 909 crimes in 2022/23; 985 crimes in 2023/24 and a high of 1,087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84452" name="Picture 1" descr="Rape Five-Year Comparison Table&#10;The first row shows the five-year mean for rape crimes is 2,333.4 compared to 2,739 YTD (up 17.4% on five-year mean). The five-year sparkline shows a low of 2,225 crimes in 2020/21; 2,411 crimes in 2021/22; 2,424 crimes in 2022/23; 2,366 crimes in 2023/24 and a high of 2,739 crimes in 2024/25 YTD.&#10;The second row shows the five-year mean for recent rape crimes is 1,388.4 compared to 1,652 YTD (up 19.0% on five-year mean). The five-year sparkline shows a low of 1,224 crimes in 2020/21; 1,436 crimes in 2021/22; 1,515 crimes in 2022/23; 1,381 crimes in 2023/24 and a high of 1,652 crimes in 2024/25 YTD.&#10;The third row shows the five-year mean for non-recent rape crimes is 945.0 compared to 1,087 YTD (up 15.0% on five-year mean). The five-year sparkline shows 1,001 crimes in 2020/21; 975 crimes in 2021/22; a low of 909 crimes in 2022/23; 985 crimes in 2023/24 and a high of 1,087 crimes in 2024/25 YTD.&#10;"/>
                    <pic:cNvPicPr/>
                  </pic:nvPicPr>
                  <pic:blipFill>
                    <a:blip r:embed="rId52"/>
                    <a:stretch>
                      <a:fillRect/>
                    </a:stretch>
                  </pic:blipFill>
                  <pic:spPr>
                    <a:xfrm>
                      <a:off x="0" y="0"/>
                      <a:ext cx="6188710" cy="1192530"/>
                    </a:xfrm>
                    <a:prstGeom prst="rect">
                      <a:avLst/>
                    </a:prstGeom>
                  </pic:spPr>
                </pic:pic>
              </a:graphicData>
            </a:graphic>
          </wp:inline>
        </w:drawing>
      </w:r>
    </w:p>
    <w:p w14:paraId="5AB71D4A" w14:textId="77777777" w:rsidR="005604F2" w:rsidRDefault="005604F2" w:rsidP="00B07689">
      <w:pPr>
        <w:rPr>
          <w:lang w:eastAsia="en-GB"/>
        </w:rPr>
      </w:pPr>
      <w:r>
        <w:rPr>
          <w:noProof/>
        </w:rPr>
        <w:lastRenderedPageBreak/>
        <w:drawing>
          <wp:inline distT="0" distB="0" distL="0" distR="0" wp14:anchorId="0DA91DFA" wp14:editId="73840D04">
            <wp:extent cx="6188710" cy="1189355"/>
            <wp:effectExtent l="0" t="0" r="2540" b="0"/>
            <wp:docPr id="160035202" name="Picture 1" descr="Rape Detection Rate/Proportion Comparison Table&#10;The first row shows the detection rate for rape crimes was 52.3% in PYTD compared to 53.2% in YTD (up 0.9% points on last year). The five-year detection rate sparkline shows a high of 58.6% in 2020/21; 52.7% in 2021/22; 53.3% in 2022/23; a low of 52.3% in 2023/24 and 53.2% in 2024/25 YTD.&#10;The second row shows the proportion of recent rape crimes was 58.4% in PYTD compared to 60.3% in YTD (up 1.9% points on last year). The five-year proportion recent sparkline shows a low of 55.0% in 2020/21; 59.6% in 2021/22; a high of 62.5% in 2022/23; 58.4% in 2023/24 and 60.3% in 2024/25 YTD.&#10;The third row shows the proportion of non-recent rape crimes was 41.6% in PYTD compared to 39.7% in YTD (down 1.9% points on last year). The five-year proportion non-recent sparkline shows a high of 45.0% in 2020/21; 40.4% in 2021/22; a low of 37.5% in 2022/23; 41.6% in 2023/24 and 39.7%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5202" name="Picture 1" descr="Rape Detection Rate/Proportion Comparison Table&#10;The first row shows the detection rate for rape crimes was 52.3% in PYTD compared to 53.2% in YTD (up 0.9% points on last year). The five-year detection rate sparkline shows a high of 58.6% in 2020/21; 52.7% in 2021/22; 53.3% in 2022/23; a low of 52.3% in 2023/24 and 53.2% in 2024/25 YTD.&#10;The second row shows the proportion of recent rape crimes was 58.4% in PYTD compared to 60.3% in YTD (up 1.9% points on last year). The five-year proportion recent sparkline shows a low of 55.0% in 2020/21; 59.6% in 2021/22; a high of 62.5% in 2022/23; 58.4% in 2023/24 and 60.3% in 2024/25 YTD.&#10;The third row shows the proportion of non-recent rape crimes was 41.6% in PYTD compared to 39.7% in YTD (down 1.9% points on last year). The five-year proportion non-recent sparkline shows a high of 45.0% in 2020/21; 40.4% in 2021/22; a low of 37.5% in 2022/23; 41.6% in 2023/24 and 39.7% in 2024/25 YTD.&#10;"/>
                    <pic:cNvPicPr/>
                  </pic:nvPicPr>
                  <pic:blipFill>
                    <a:blip r:embed="rId53"/>
                    <a:stretch>
                      <a:fillRect/>
                    </a:stretch>
                  </pic:blipFill>
                  <pic:spPr>
                    <a:xfrm>
                      <a:off x="0" y="0"/>
                      <a:ext cx="6188710" cy="1189355"/>
                    </a:xfrm>
                    <a:prstGeom prst="rect">
                      <a:avLst/>
                    </a:prstGeom>
                  </pic:spPr>
                </pic:pic>
              </a:graphicData>
            </a:graphic>
          </wp:inline>
        </w:drawing>
      </w:r>
    </w:p>
    <w:p w14:paraId="78D3E6B2" w14:textId="06CAFD4D" w:rsidR="00D6654E" w:rsidRPr="00D6654E" w:rsidRDefault="00D6654E" w:rsidP="00D6654E">
      <w:pPr>
        <w:rPr>
          <w:lang w:eastAsia="en-GB"/>
        </w:rPr>
      </w:pPr>
      <w:r w:rsidRPr="00D6654E">
        <w:rPr>
          <w:lang w:eastAsia="en-GB"/>
        </w:rPr>
        <w:t xml:space="preserve">Recorded rape </w:t>
      </w:r>
      <w:r>
        <w:rPr>
          <w:lang w:eastAsia="en-GB"/>
        </w:rPr>
        <w:t xml:space="preserve">continues to note </w:t>
      </w:r>
      <w:r w:rsidRPr="00D6654E">
        <w:rPr>
          <w:lang w:eastAsia="en-GB"/>
        </w:rPr>
        <w:t xml:space="preserve">the highest level </w:t>
      </w:r>
      <w:r>
        <w:rPr>
          <w:lang w:eastAsia="en-GB"/>
        </w:rPr>
        <w:t>of reporting.</w:t>
      </w:r>
      <w:r w:rsidRPr="00D6654E">
        <w:rPr>
          <w:lang w:eastAsia="en-GB"/>
        </w:rPr>
        <w:t xml:space="preserve"> Crimes of rape increased when compared to last year, up 15.8% (</w:t>
      </w:r>
      <w:r>
        <w:rPr>
          <w:lang w:eastAsia="en-GB"/>
        </w:rPr>
        <w:t>373</w:t>
      </w:r>
      <w:r w:rsidRPr="00D6654E">
        <w:rPr>
          <w:lang w:eastAsia="en-GB"/>
        </w:rPr>
        <w:t xml:space="preserve"> more crimes) and against the five-year mean, up </w:t>
      </w:r>
      <w:r>
        <w:rPr>
          <w:lang w:eastAsia="en-GB"/>
        </w:rPr>
        <w:t>17.4</w:t>
      </w:r>
      <w:r w:rsidRPr="00D6654E">
        <w:rPr>
          <w:lang w:eastAsia="en-GB"/>
        </w:rPr>
        <w:t>% (</w:t>
      </w:r>
      <w:r>
        <w:rPr>
          <w:lang w:eastAsia="en-GB"/>
        </w:rPr>
        <w:t>406</w:t>
      </w:r>
      <w:r w:rsidRPr="00D6654E">
        <w:rPr>
          <w:lang w:eastAsia="en-GB"/>
        </w:rPr>
        <w:t xml:space="preserve"> more crimes).</w:t>
      </w:r>
    </w:p>
    <w:p w14:paraId="053837EE" w14:textId="77777777" w:rsidR="004466CF" w:rsidRDefault="00D6654E" w:rsidP="00D6654E">
      <w:pPr>
        <w:rPr>
          <w:lang w:eastAsia="en-GB"/>
        </w:rPr>
      </w:pPr>
      <w:r w:rsidRPr="00D6654E">
        <w:rPr>
          <w:lang w:eastAsia="en-GB"/>
        </w:rPr>
        <w:t>Rape of a Female over 16 continues to drive the increase in rape</w:t>
      </w:r>
      <w:r w:rsidR="00872BC5">
        <w:rPr>
          <w:lang w:eastAsia="en-GB"/>
        </w:rPr>
        <w:t xml:space="preserve"> however every category within rape has increased compared to last year</w:t>
      </w:r>
      <w:r w:rsidR="00656ABC">
        <w:rPr>
          <w:lang w:eastAsia="en-GB"/>
        </w:rPr>
        <w:t>.</w:t>
      </w:r>
    </w:p>
    <w:p w14:paraId="569618A5" w14:textId="4956DDA5" w:rsidR="004466CF" w:rsidRDefault="004466CF" w:rsidP="00D6654E">
      <w:r w:rsidRPr="004466CF">
        <w:t>The rise in reported incidents of rape and sexual offences indicates a constructive change in society's approach to addressing these key issues. Awareness campaigns, improved support services, and multi-agency collaboration have fostered supportive environments where victims</w:t>
      </w:r>
      <w:r>
        <w:t xml:space="preserve"> may</w:t>
      </w:r>
      <w:r w:rsidRPr="004466CF">
        <w:t xml:space="preserve"> feel safer to report sexual crimes.</w:t>
      </w:r>
    </w:p>
    <w:bookmarkEnd w:id="39"/>
    <w:p w14:paraId="460DDFD4" w14:textId="14F1EEFA" w:rsidR="0095021C" w:rsidRDefault="0095021C" w:rsidP="000603A2">
      <w:pPr>
        <w:pStyle w:val="Heading4"/>
      </w:pPr>
      <w:r w:rsidRPr="0091371E">
        <w:t>Child Sexual Abuse</w:t>
      </w:r>
      <w:r>
        <w:t xml:space="preserve"> Online (Strategic Outcome 1</w:t>
      </w:r>
      <w:r w:rsidRPr="0091371E">
        <w:t>)</w:t>
      </w:r>
    </w:p>
    <w:p w14:paraId="0438198B" w14:textId="77777777" w:rsidR="00414CD4" w:rsidRDefault="00414CD4" w:rsidP="00EF5AFF">
      <w:r>
        <w:rPr>
          <w:noProof/>
        </w:rPr>
        <w:drawing>
          <wp:inline distT="0" distB="0" distL="0" distR="0" wp14:anchorId="6EB9AEEA" wp14:editId="4716E7E4">
            <wp:extent cx="6188710" cy="1808480"/>
            <wp:effectExtent l="0" t="0" r="2540" b="1270"/>
            <wp:docPr id="1969161181" name="Picture 1" descr="Child Sexual Abuse Online Table&#10;The first section (recorded YTD comparison) shows 2,003 online child sexual abuse crimes PYTD compared to 1,989 YTD (down 0.7% on last year). The six month sparkline shows 156 crimes in October, a high of 193 crimes in November; a low of 125 crimes in December; 163 crimes in January; 183 crimes in February and 160 crimes in March.&#10;The second section (recorded five-year comparison) shows the five-year mean for online child sexual abuse crimes is 1,943.0 compared to 1,989 YTD (up 2.4% on five-year mean). The five-year sparkline shows a high of 2,064 crimes in 2020/21; 1,900 crimes in 2021/22; a low of 1,882 crimes in 2022/23; 2,003 crimes in 2023/24 and 1,989 crimes in 2024/25 YTD.&#10;The third section (recorded detection rate comparison) shows the detection rate for online child sexual abuse crimes was 72.6% in PYTD compared to 72.2% in YTD (down 0.4% points on last year). The five-year detection rate sparkline shows 64.0% in 2020/21; a low of 63.1% in 2021/22; 64.2% in 2022/23; a high of 72.6% in 2023/24 and 72.2%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61181" name="Picture 1" descr="Child Sexual Abuse Online Table&#10;The first section (recorded YTD comparison) shows 2,003 online child sexual abuse crimes PYTD compared to 1,989 YTD (down 0.7% on last year). The six month sparkline shows 156 crimes in October, a high of 193 crimes in November; a low of 125 crimes in December; 163 crimes in January; 183 crimes in February and 160 crimes in March.&#10;The second section (recorded five-year comparison) shows the five-year mean for online child sexual abuse crimes is 1,943.0 compared to 1,989 YTD (up 2.4% on five-year mean). The five-year sparkline shows a high of 2,064 crimes in 2020/21; 1,900 crimes in 2021/22; a low of 1,882 crimes in 2022/23; 2,003 crimes in 2023/24 and 1,989 crimes in 2024/25 YTD.&#10;The third section (recorded detection rate comparison) shows the detection rate for online child sexual abuse crimes was 72.6% in PYTD compared to 72.2% in YTD (down 0.4% points on last year). The five-year detection rate sparkline shows 64.0% in 2020/21; a low of 63.1% in 2021/22; 64.2% in 2022/23; a high of 72.6% in 2023/24 and 72.2% in 2024/25 YTD.&#10;"/>
                    <pic:cNvPicPr/>
                  </pic:nvPicPr>
                  <pic:blipFill>
                    <a:blip r:embed="rId54"/>
                    <a:stretch>
                      <a:fillRect/>
                    </a:stretch>
                  </pic:blipFill>
                  <pic:spPr>
                    <a:xfrm>
                      <a:off x="0" y="0"/>
                      <a:ext cx="6188710" cy="1808480"/>
                    </a:xfrm>
                    <a:prstGeom prst="rect">
                      <a:avLst/>
                    </a:prstGeom>
                  </pic:spPr>
                </pic:pic>
              </a:graphicData>
            </a:graphic>
          </wp:inline>
        </w:drawing>
      </w:r>
    </w:p>
    <w:p w14:paraId="5E0FF70A" w14:textId="69636187" w:rsidR="0049433F" w:rsidRPr="0049433F" w:rsidRDefault="0049433F" w:rsidP="005604F2">
      <w:pPr>
        <w:rPr>
          <w:lang w:eastAsia="en-GB"/>
        </w:rPr>
      </w:pPr>
      <w:r w:rsidRPr="0049433F">
        <w:rPr>
          <w:lang w:eastAsia="en-GB"/>
        </w:rPr>
        <w:t>Online child sexual abuse crimes</w:t>
      </w:r>
      <w:r>
        <w:rPr>
          <w:lang w:eastAsia="en-GB"/>
        </w:rPr>
        <w:t xml:space="preserve"> have dec</w:t>
      </w:r>
      <w:r w:rsidRPr="0049433F">
        <w:rPr>
          <w:lang w:eastAsia="en-GB"/>
        </w:rPr>
        <w:t xml:space="preserve">reased </w:t>
      </w:r>
      <w:r>
        <w:rPr>
          <w:lang w:eastAsia="en-GB"/>
        </w:rPr>
        <w:t>against</w:t>
      </w:r>
      <w:r w:rsidRPr="0049433F">
        <w:rPr>
          <w:lang w:eastAsia="en-GB"/>
        </w:rPr>
        <w:t xml:space="preserve"> the same period last year (</w:t>
      </w:r>
      <w:r>
        <w:rPr>
          <w:lang w:eastAsia="en-GB"/>
        </w:rPr>
        <w:t>down 0</w:t>
      </w:r>
      <w:r w:rsidRPr="0049433F">
        <w:rPr>
          <w:lang w:eastAsia="en-GB"/>
        </w:rPr>
        <w:t>.</w:t>
      </w:r>
      <w:r>
        <w:rPr>
          <w:lang w:eastAsia="en-GB"/>
        </w:rPr>
        <w:t>7</w:t>
      </w:r>
      <w:r w:rsidRPr="0049433F">
        <w:rPr>
          <w:lang w:eastAsia="en-GB"/>
        </w:rPr>
        <w:t xml:space="preserve">%, </w:t>
      </w:r>
      <w:r>
        <w:rPr>
          <w:lang w:eastAsia="en-GB"/>
        </w:rPr>
        <w:t>14</w:t>
      </w:r>
      <w:r w:rsidRPr="0049433F">
        <w:rPr>
          <w:lang w:eastAsia="en-GB"/>
        </w:rPr>
        <w:t xml:space="preserve"> crimes) </w:t>
      </w:r>
      <w:r>
        <w:rPr>
          <w:lang w:eastAsia="en-GB"/>
        </w:rPr>
        <w:t>however increased when compared to</w:t>
      </w:r>
      <w:r w:rsidRPr="0049433F">
        <w:rPr>
          <w:lang w:eastAsia="en-GB"/>
        </w:rPr>
        <w:t xml:space="preserve"> the five-year mean (up </w:t>
      </w:r>
      <w:r>
        <w:rPr>
          <w:lang w:eastAsia="en-GB"/>
        </w:rPr>
        <w:t>2.</w:t>
      </w:r>
      <w:r w:rsidRPr="0049433F">
        <w:rPr>
          <w:lang w:eastAsia="en-GB"/>
        </w:rPr>
        <w:t xml:space="preserve">4%, </w:t>
      </w:r>
      <w:r>
        <w:rPr>
          <w:lang w:eastAsia="en-GB"/>
        </w:rPr>
        <w:t>4</w:t>
      </w:r>
      <w:r w:rsidRPr="0049433F">
        <w:rPr>
          <w:lang w:eastAsia="en-GB"/>
        </w:rPr>
        <w:t>6 crimes).</w:t>
      </w:r>
    </w:p>
    <w:p w14:paraId="258531FF" w14:textId="5E93DAE7" w:rsidR="0049433F" w:rsidRPr="0049433F" w:rsidRDefault="0049433F" w:rsidP="005604F2">
      <w:pPr>
        <w:rPr>
          <w:lang w:eastAsia="en-GB"/>
        </w:rPr>
      </w:pPr>
      <w:r w:rsidRPr="0049433F">
        <w:rPr>
          <w:lang w:eastAsia="en-GB"/>
        </w:rPr>
        <w:t xml:space="preserve">Overall, the detection rate for online child sexual abuse is </w:t>
      </w:r>
      <w:r>
        <w:rPr>
          <w:lang w:eastAsia="en-GB"/>
        </w:rPr>
        <w:t>72.2</w:t>
      </w:r>
      <w:r w:rsidRPr="0049433F">
        <w:rPr>
          <w:lang w:eastAsia="en-GB"/>
        </w:rPr>
        <w:t xml:space="preserve">%, a </w:t>
      </w:r>
      <w:r>
        <w:rPr>
          <w:lang w:eastAsia="en-GB"/>
        </w:rPr>
        <w:t>de</w:t>
      </w:r>
      <w:r w:rsidRPr="0049433F">
        <w:rPr>
          <w:lang w:eastAsia="en-GB"/>
        </w:rPr>
        <w:t>crease compared to last year (7</w:t>
      </w:r>
      <w:r>
        <w:rPr>
          <w:lang w:eastAsia="en-GB"/>
        </w:rPr>
        <w:t>2</w:t>
      </w:r>
      <w:r w:rsidRPr="0049433F">
        <w:rPr>
          <w:lang w:eastAsia="en-GB"/>
        </w:rPr>
        <w:t>.6</w:t>
      </w:r>
      <w:r w:rsidRPr="008E6EB7">
        <w:rPr>
          <w:lang w:eastAsia="en-GB"/>
        </w:rPr>
        <w:t>%) and an increase compared to the five-year mean (6</w:t>
      </w:r>
      <w:r w:rsidR="008E6EB7" w:rsidRPr="008E6EB7">
        <w:rPr>
          <w:lang w:eastAsia="en-GB"/>
        </w:rPr>
        <w:t>4</w:t>
      </w:r>
      <w:r w:rsidRPr="008E6EB7">
        <w:rPr>
          <w:lang w:eastAsia="en-GB"/>
        </w:rPr>
        <w:t>.5%).</w:t>
      </w:r>
    </w:p>
    <w:p w14:paraId="01DBC4AE" w14:textId="13D24C6E" w:rsidR="005C51F4" w:rsidRDefault="0049433F" w:rsidP="005604F2">
      <w:pPr>
        <w:rPr>
          <w:color w:val="000000" w:themeColor="text1"/>
          <w:lang w:eastAsia="en-GB"/>
        </w:rPr>
      </w:pPr>
      <w:r w:rsidRPr="0049433F">
        <w:rPr>
          <w:color w:val="000000" w:themeColor="text1"/>
          <w:lang w:eastAsia="en-GB"/>
        </w:rPr>
        <w:t xml:space="preserve">Grooming of children for the purposes of sexual offences decreased by </w:t>
      </w:r>
      <w:r w:rsidR="004B2AD8" w:rsidRPr="004B2AD8">
        <w:rPr>
          <w:color w:val="000000" w:themeColor="text1"/>
          <w:lang w:eastAsia="en-GB"/>
        </w:rPr>
        <w:t xml:space="preserve">27.5% (19 crimes) </w:t>
      </w:r>
      <w:r w:rsidRPr="0049433F">
        <w:rPr>
          <w:color w:val="000000" w:themeColor="text1"/>
          <w:lang w:eastAsia="en-GB"/>
        </w:rPr>
        <w:t xml:space="preserve">compared to last year </w:t>
      </w:r>
      <w:r w:rsidR="000F4633">
        <w:rPr>
          <w:color w:val="000000" w:themeColor="text1"/>
          <w:lang w:eastAsia="en-GB"/>
        </w:rPr>
        <w:t xml:space="preserve">and </w:t>
      </w:r>
      <w:r w:rsidR="004B2AD8" w:rsidRPr="004B2AD8">
        <w:rPr>
          <w:color w:val="000000" w:themeColor="text1"/>
          <w:lang w:eastAsia="en-GB"/>
        </w:rPr>
        <w:t>is down 40.0% (</w:t>
      </w:r>
      <w:r w:rsidR="004B2AD8">
        <w:rPr>
          <w:color w:val="000000" w:themeColor="text1"/>
          <w:lang w:eastAsia="en-GB"/>
        </w:rPr>
        <w:t>33</w:t>
      </w:r>
      <w:r w:rsidR="004B2AD8" w:rsidRPr="004B2AD8">
        <w:rPr>
          <w:color w:val="000000" w:themeColor="text1"/>
          <w:lang w:eastAsia="en-GB"/>
        </w:rPr>
        <w:t xml:space="preserve"> crimes) </w:t>
      </w:r>
      <w:r w:rsidRPr="0049433F">
        <w:rPr>
          <w:color w:val="000000" w:themeColor="text1"/>
          <w:lang w:eastAsia="en-GB"/>
        </w:rPr>
        <w:t xml:space="preserve">against the five-year mean. </w:t>
      </w:r>
      <w:r w:rsidRPr="0049433F">
        <w:rPr>
          <w:lang w:eastAsia="en-GB"/>
        </w:rPr>
        <w:t>Crimes of communicating indecently with a child under 13 are down 25.8% (</w:t>
      </w:r>
      <w:r>
        <w:rPr>
          <w:lang w:eastAsia="en-GB"/>
        </w:rPr>
        <w:t>80</w:t>
      </w:r>
      <w:r w:rsidRPr="0049433F">
        <w:rPr>
          <w:lang w:eastAsia="en-GB"/>
        </w:rPr>
        <w:t xml:space="preserve"> crimes) compared to last </w:t>
      </w:r>
      <w:r w:rsidRPr="0049433F">
        <w:rPr>
          <w:color w:val="000000" w:themeColor="text1"/>
          <w:lang w:eastAsia="en-GB"/>
        </w:rPr>
        <w:t>year and down (</w:t>
      </w:r>
      <w:r w:rsidR="004B2AD8" w:rsidRPr="004B2AD8">
        <w:rPr>
          <w:color w:val="000000" w:themeColor="text1"/>
          <w:lang w:eastAsia="en-GB"/>
        </w:rPr>
        <w:t>15</w:t>
      </w:r>
      <w:r w:rsidRPr="0049433F">
        <w:rPr>
          <w:color w:val="000000" w:themeColor="text1"/>
          <w:lang w:eastAsia="en-GB"/>
        </w:rPr>
        <w:t xml:space="preserve"> crimes, </w:t>
      </w:r>
      <w:r w:rsidR="004B2AD8" w:rsidRPr="004B2AD8">
        <w:rPr>
          <w:color w:val="000000" w:themeColor="text1"/>
          <w:lang w:eastAsia="en-GB"/>
        </w:rPr>
        <w:t>0.3</w:t>
      </w:r>
      <w:r w:rsidRPr="0049433F">
        <w:rPr>
          <w:color w:val="000000" w:themeColor="text1"/>
          <w:lang w:eastAsia="en-GB"/>
        </w:rPr>
        <w:t>%) against the five-year mean.</w:t>
      </w:r>
    </w:p>
    <w:p w14:paraId="4B6243DD" w14:textId="723E7E89" w:rsidR="0049433F" w:rsidRDefault="005C51F4" w:rsidP="005C51F4">
      <w:pPr>
        <w:spacing w:before="0" w:after="160" w:line="259" w:lineRule="auto"/>
        <w:rPr>
          <w:color w:val="000000" w:themeColor="text1"/>
          <w:lang w:eastAsia="en-GB"/>
        </w:rPr>
      </w:pPr>
      <w:r>
        <w:rPr>
          <w:color w:val="000000" w:themeColor="text1"/>
          <w:lang w:eastAsia="en-GB"/>
        </w:rPr>
        <w:br w:type="page"/>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91908" w:rsidRPr="0003495F" w14:paraId="13E286D6" w14:textId="77777777" w:rsidTr="00103874">
        <w:trPr>
          <w:trHeight w:val="680"/>
          <w:tblHeader/>
        </w:trPr>
        <w:tc>
          <w:tcPr>
            <w:tcW w:w="9862" w:type="dxa"/>
            <w:shd w:val="clear" w:color="auto" w:fill="FFE599" w:themeFill="accent4" w:themeFillTint="66"/>
            <w:vAlign w:val="center"/>
            <w:hideMark/>
          </w:tcPr>
          <w:p w14:paraId="6F2C5C6C" w14:textId="25A83330" w:rsidR="00591908" w:rsidRPr="00D87D1B" w:rsidRDefault="00F30E4A" w:rsidP="00103874">
            <w:pPr>
              <w:pStyle w:val="TableHeaderLeft"/>
              <w:rPr>
                <w:color w:val="000000" w:themeColor="text1"/>
              </w:rPr>
            </w:pPr>
            <w:bookmarkStart w:id="40" w:name="Woodwhite"/>
            <w:bookmarkEnd w:id="40"/>
            <w:r>
              <w:rPr>
                <w:color w:val="000000" w:themeColor="text1"/>
              </w:rPr>
              <w:lastRenderedPageBreak/>
              <w:t>Operation WOODWHITE</w:t>
            </w:r>
          </w:p>
        </w:tc>
      </w:tr>
      <w:tr w:rsidR="00591908" w:rsidRPr="0003495F" w14:paraId="7D0DBB11" w14:textId="77777777" w:rsidTr="00103874">
        <w:trPr>
          <w:trHeight w:val="680"/>
        </w:trPr>
        <w:tc>
          <w:tcPr>
            <w:tcW w:w="9862" w:type="dxa"/>
            <w:shd w:val="clear" w:color="auto" w:fill="FFF2CC" w:themeFill="accent4" w:themeFillTint="33"/>
            <w:vAlign w:val="center"/>
            <w:hideMark/>
          </w:tcPr>
          <w:p w14:paraId="26AD5A9F" w14:textId="3183F4F7" w:rsidR="00591908" w:rsidRPr="00591908" w:rsidRDefault="00591908" w:rsidP="00591908">
            <w:pPr>
              <w:pStyle w:val="TableBodyLeft"/>
            </w:pPr>
            <w:r w:rsidRPr="00591908">
              <w:t>Operation W</w:t>
            </w:r>
            <w:r>
              <w:t>OODWHITE</w:t>
            </w:r>
            <w:r w:rsidRPr="00591908">
              <w:t xml:space="preserve"> was the Police Scotland investigation of systematic serious sexual abuse, including attempted murder, rape, and serious neglect of four young children by a “paedophile ring” in the Glasgow area. The abuse spanned several years and the case was highlighted as one of the most extreme seen by investigators, with offences including occult type activity and animal mutilations.</w:t>
            </w:r>
          </w:p>
          <w:p w14:paraId="3C47FA7F" w14:textId="131C9160" w:rsidR="00591908" w:rsidRPr="00591908" w:rsidRDefault="00591908" w:rsidP="00591908">
            <w:pPr>
              <w:pStyle w:val="TableBodyLeft"/>
            </w:pPr>
            <w:r w:rsidRPr="00591908">
              <w:t xml:space="preserve">The trial was held at the High Court in Glasgow between September and November 2023. </w:t>
            </w:r>
            <w:r>
              <w:t xml:space="preserve">In </w:t>
            </w:r>
            <w:r w:rsidRPr="00591908">
              <w:t>January 2025</w:t>
            </w:r>
            <w:r w:rsidR="00F30E4A">
              <w:t xml:space="preserve">, </w:t>
            </w:r>
            <w:r w:rsidR="00F30E4A">
              <w:rPr>
                <w:rFonts w:cs="Arial"/>
              </w:rPr>
              <w:t>f</w:t>
            </w:r>
            <w:r w:rsidR="00F30E4A" w:rsidRPr="00F7748B">
              <w:rPr>
                <w:rFonts w:cs="Arial"/>
              </w:rPr>
              <w:t xml:space="preserve">ive men and two women </w:t>
            </w:r>
            <w:r w:rsidR="00F30E4A">
              <w:rPr>
                <w:rFonts w:cs="Arial"/>
              </w:rPr>
              <w:t>were</w:t>
            </w:r>
            <w:r w:rsidR="00F30E4A" w:rsidRPr="00F7748B">
              <w:rPr>
                <w:rFonts w:cs="Arial"/>
              </w:rPr>
              <w:t xml:space="preserve"> </w:t>
            </w:r>
            <w:r w:rsidR="00B826DA">
              <w:rPr>
                <w:rFonts w:cs="Arial"/>
              </w:rPr>
              <w:t>sentenced to</w:t>
            </w:r>
            <w:r w:rsidR="00F30E4A" w:rsidRPr="00F7748B">
              <w:rPr>
                <w:rFonts w:cs="Arial"/>
              </w:rPr>
              <w:t xml:space="preserve"> a total of 93 years</w:t>
            </w:r>
            <w:r w:rsidR="00B826DA">
              <w:rPr>
                <w:rFonts w:cs="Arial"/>
              </w:rPr>
              <w:t xml:space="preserve"> in prison</w:t>
            </w:r>
            <w:r w:rsidR="00B826DA">
              <w:t>.</w:t>
            </w:r>
          </w:p>
          <w:p w14:paraId="6C2C5D8C" w14:textId="38AD4827" w:rsidR="00591908" w:rsidRPr="0071236A" w:rsidRDefault="00591908" w:rsidP="00591908">
            <w:pPr>
              <w:pStyle w:val="TableBodyLeft"/>
            </w:pPr>
            <w:r w:rsidRPr="00591908">
              <w:t>Judge, Lord Beckett, imposed Orders for Lifelong Restrictions in addition to the custodial sentences. They will be required to serve their full sentence before being considered for parole.</w:t>
            </w:r>
          </w:p>
        </w:tc>
      </w:tr>
    </w:tbl>
    <w:p w14:paraId="054DBAD5" w14:textId="77777777" w:rsidR="0095021C" w:rsidRDefault="0095021C" w:rsidP="000603A2">
      <w:pPr>
        <w:pStyle w:val="Heading4"/>
      </w:pPr>
      <w:r>
        <w:t>Domestic Abuse (Strategic Outcome 1)</w:t>
      </w:r>
    </w:p>
    <w:p w14:paraId="2AE08C8A" w14:textId="77777777" w:rsidR="00414CD4" w:rsidRDefault="00414CD4" w:rsidP="0020060E">
      <w:r>
        <w:rPr>
          <w:noProof/>
        </w:rPr>
        <w:drawing>
          <wp:inline distT="0" distB="0" distL="0" distR="0" wp14:anchorId="46B9663F" wp14:editId="1427C0EA">
            <wp:extent cx="6188710" cy="1515110"/>
            <wp:effectExtent l="0" t="0" r="2540" b="8890"/>
            <wp:docPr id="833267819" name="Picture 1" descr="Domestic Abuse YTD Comparison Table&#10;The first row shows 61,509 domestic abuse incidents PYTD compared to 64,933 YTD (up 5.6% on last year). The six month sparkline shows 5,163 incidents in October, 5,153 incidents in November; a high of 5,681 incidents in December; 5,551 incidents in January; a low of 5,037 incidents in February and 5,582 incidents in March.&#10;The second row shows 35,360 domestic abuse crimes PYTD compared to 39,323 YTD (up 11.2% on last year). The six month sparkline shows 3,220 crimes in October, 3,325 crimes in November; a low of 3,129 crimes in December; a high of 3,672 crimes in January; 3,144 crimes in February and 3,365 crimes in March.&#10;The third row shows 1,902 domestic abuse of female (DASA) crimes PYTD compared to 2,410 YTD (up 26.7% on last year). The six month sparkline shows 198 crimes in October, 203 crimes in November; a low of 189 crimes in December; 210 crimes in January; 196 crimes in February and a high of 236 crimes in March.&#10;The fourth row shows 118 domestic abuse of male (DASA) crimes PYTD compared to 163 YTD (up 38.1% on last year). The six month sparkline shows 14 crimes in October, a low of 9 crimes in November; 14 crimes in December and January; and a high of 20 crimes in February and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7819" name="Picture 1" descr="Domestic Abuse YTD Comparison Table&#10;The first row shows 61,509 domestic abuse incidents PYTD compared to 64,933 YTD (up 5.6% on last year). The six month sparkline shows 5,163 incidents in October, 5,153 incidents in November; a high of 5,681 incidents in December; 5,551 incidents in January; a low of 5,037 incidents in February and 5,582 incidents in March.&#10;The second row shows 35,360 domestic abuse crimes PYTD compared to 39,323 YTD (up 11.2% on last year). The six month sparkline shows 3,220 crimes in October, 3,325 crimes in November; a low of 3,129 crimes in December; a high of 3,672 crimes in January; 3,144 crimes in February and 3,365 crimes in March.&#10;The third row shows 1,902 domestic abuse of female (DASA) crimes PYTD compared to 2,410 YTD (up 26.7% on last year). The six month sparkline shows 198 crimes in October, 203 crimes in November; a low of 189 crimes in December; 210 crimes in January; 196 crimes in February and a high of 236 crimes in March.&#10;The fourth row shows 118 domestic abuse of male (DASA) crimes PYTD compared to 163 YTD (up 38.1% on last year). The six month sparkline shows 14 crimes in October, a low of 9 crimes in November; 14 crimes in December and January; and a high of 20 crimes in February and March.&#10;"/>
                    <pic:cNvPicPr/>
                  </pic:nvPicPr>
                  <pic:blipFill>
                    <a:blip r:embed="rId55"/>
                    <a:stretch>
                      <a:fillRect/>
                    </a:stretch>
                  </pic:blipFill>
                  <pic:spPr>
                    <a:xfrm>
                      <a:off x="0" y="0"/>
                      <a:ext cx="6188710" cy="1515110"/>
                    </a:xfrm>
                    <a:prstGeom prst="rect">
                      <a:avLst/>
                    </a:prstGeom>
                  </pic:spPr>
                </pic:pic>
              </a:graphicData>
            </a:graphic>
          </wp:inline>
        </w:drawing>
      </w:r>
    </w:p>
    <w:p w14:paraId="5D175A3C" w14:textId="77777777" w:rsidR="00414CD4" w:rsidRDefault="00414CD4" w:rsidP="0020060E">
      <w:r>
        <w:rPr>
          <w:noProof/>
        </w:rPr>
        <w:drawing>
          <wp:inline distT="0" distB="0" distL="0" distR="0" wp14:anchorId="67AE9581" wp14:editId="731839A2">
            <wp:extent cx="6188710" cy="1513840"/>
            <wp:effectExtent l="0" t="0" r="2540" b="0"/>
            <wp:docPr id="531566501" name="Picture 1" descr="Domestic Abuse Five/Three-Year Comparison Table&#10;The first row shows the five-year mean for domestic abuse incidents is 61,574.4 compared to 64,933 YTD (up 5.5% on five-year mean). The five-year sparkline shows 63,088 incidents in 2020/21; 61,473 incidents in 2021/22; a low of 59,919 incidents in 2022/23; 61,509 incidents in 2023/24 and a high of 64,933 incidents in 2024/25 YTD.&#10;The second row shows the five-year mean for domestic abuse crimes is 37,890.4 compared to 39,323 YTD (up 3.8% on five-year mean). The five-year sparkline shows a high of 39,831 crimes in 2020/21; 38,856 crimes in 2021/22; 36,614 crimes in 2022/23; a low of 35,360 crimes in 2023/24 and 39,323 crimes in 2024/25 YTD.&#10;The third row shows the three-year mean for domestic abuse of female (DASA) crimes is 2,003.0 compared to 2,410 YTD (up 20.3% on three-year mean). The three-year sparkline shows a low of 1,697 crimes in 2022/23; 1,902 crimes in 2023/24 and a high of 2,410 crimes in 2024/25 YTD.&#10;The fourth row shows the three-year mean for domestic abuse of male (DASA) crimes is 122.7 compared to 163 YTD (up 32.8% on three-year mean). The three-year sparkline shows a low of 87 crimes in 2022/23; 118 crimes in 2023/24 and a high of 163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66501" name="Picture 1" descr="Domestic Abuse Five/Three-Year Comparison Table&#10;The first row shows the five-year mean for domestic abuse incidents is 61,574.4 compared to 64,933 YTD (up 5.5% on five-year mean). The five-year sparkline shows 63,088 incidents in 2020/21; 61,473 incidents in 2021/22; a low of 59,919 incidents in 2022/23; 61,509 incidents in 2023/24 and a high of 64,933 incidents in 2024/25 YTD.&#10;The second row shows the five-year mean for domestic abuse crimes is 37,890.4 compared to 39,323 YTD (up 3.8% on five-year mean). The five-year sparkline shows a high of 39,831 crimes in 2020/21; 38,856 crimes in 2021/22; 36,614 crimes in 2022/23; a low of 35,360 crimes in 2023/24 and 39,323 crimes in 2024/25 YTD.&#10;The third row shows the three-year mean for domestic abuse of female (DASA) crimes is 2,003.0 compared to 2,410 YTD (up 20.3% on three-year mean). The three-year sparkline shows a low of 1,697 crimes in 2022/23; 1,902 crimes in 2023/24 and a high of 2,410 crimes in 2024/25 YTD.&#10;The fourth row shows the three-year mean for domestic abuse of male (DASA) crimes is 122.7 compared to 163 YTD (up 32.8% on three-year mean). The three-year sparkline shows a low of 87 crimes in 2022/23; 118 crimes in 2023/24 and a high of 163 crimes in 2024/25 YTD.&#10;"/>
                    <pic:cNvPicPr/>
                  </pic:nvPicPr>
                  <pic:blipFill>
                    <a:blip r:embed="rId56"/>
                    <a:stretch>
                      <a:fillRect/>
                    </a:stretch>
                  </pic:blipFill>
                  <pic:spPr>
                    <a:xfrm>
                      <a:off x="0" y="0"/>
                      <a:ext cx="6188710" cy="1513840"/>
                    </a:xfrm>
                    <a:prstGeom prst="rect">
                      <a:avLst/>
                    </a:prstGeom>
                  </pic:spPr>
                </pic:pic>
              </a:graphicData>
            </a:graphic>
          </wp:inline>
        </w:drawing>
      </w:r>
    </w:p>
    <w:p w14:paraId="5E16E3C5" w14:textId="0B6FDCE6" w:rsidR="00414CD4" w:rsidRDefault="00414CD4" w:rsidP="0020060E">
      <w:r>
        <w:rPr>
          <w:noProof/>
        </w:rPr>
        <w:drawing>
          <wp:inline distT="0" distB="0" distL="0" distR="0" wp14:anchorId="247B67AF" wp14:editId="7A1A7003">
            <wp:extent cx="6188710" cy="1521460"/>
            <wp:effectExtent l="0" t="0" r="2540" b="2540"/>
            <wp:docPr id="983329424" name="Picture 1" descr="Domestic Abuse Detection Rate/Proportion Comparison Table&#10;The first row shows the proportion of domestic abuse incidents resulting in a crime was 42.4% in PYTD compared to 39.5% in YTD (down 2.9% points on last year). The five-year proportion rate sparkline shows a high of 44.5% in 2020/21; 44.1% in 2021/22; 43.0% in 2022/23; 42.4% in 2023/24 and a low of 39.5% in 2024/25 YTD.&#10;The second row shows the detection rate for domestic abuse crimes was 61.0% in PYTD compared to 65.9% in YTD (up 4.9% points on last year) . The five-year detection rate sparkline shows a high of 69.7% in 2020/21; 66.7% in 2021/22; 63.6% in 2022/23; a low of 61.0% in 2023/24 and 65.9% in 2024/25 YTD.&#10;The third row shows the detection rate for domestic abuse of female (DASA) crimes was 75.1% in PYTD compared to 69.9% in YTD (down 5.2% points on last year). The three-year detection rate sparkline shows 71.8% in 2022/23; a high of 75.1% in 2023/24 and a low of 69.9% in 2024/25 YTD.&#10;The fourth row shows the detection rate for domestic abuse of male (DASA) crimes was 58.5% in PYTD compared to 57.1% in YTD (down 1.4% points on last year). The three-year detection rate sparkline shows a high of 63.2% in 2022/23; 58.5% in 2023/24 and a low of 57.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9424" name="Picture 1" descr="Domestic Abuse Detection Rate/Proportion Comparison Table&#10;The first row shows the proportion of domestic abuse incidents resulting in a crime was 42.4% in PYTD compared to 39.5% in YTD (down 2.9% points on last year). The five-year proportion rate sparkline shows a high of 44.5% in 2020/21; 44.1% in 2021/22; 43.0% in 2022/23; 42.4% in 2023/24 and a low of 39.5% in 2024/25 YTD.&#10;The second row shows the detection rate for domestic abuse crimes was 61.0% in PYTD compared to 65.9% in YTD (up 4.9% points on last year) . The five-year detection rate sparkline shows a high of 69.7% in 2020/21; 66.7% in 2021/22; 63.6% in 2022/23; a low of 61.0% in 2023/24 and 65.9% in 2024/25 YTD.&#10;The third row shows the detection rate for domestic abuse of female (DASA) crimes was 75.1% in PYTD compared to 69.9% in YTD (down 5.2% points on last year). The three-year detection rate sparkline shows 71.8% in 2022/23; a high of 75.1% in 2023/24 and a low of 69.9% in 2024/25 YTD.&#10;The fourth row shows the detection rate for domestic abuse of male (DASA) crimes was 58.5% in PYTD compared to 57.1% in YTD (down 1.4% points on last year). The three-year detection rate sparkline shows a high of 63.2% in 2022/23; 58.5% in 2023/24 and a low of 57.1% in 2024/25 YTD.&#10;"/>
                    <pic:cNvPicPr/>
                  </pic:nvPicPr>
                  <pic:blipFill>
                    <a:blip r:embed="rId57"/>
                    <a:stretch>
                      <a:fillRect/>
                    </a:stretch>
                  </pic:blipFill>
                  <pic:spPr>
                    <a:xfrm>
                      <a:off x="0" y="0"/>
                      <a:ext cx="6188710" cy="1521460"/>
                    </a:xfrm>
                    <a:prstGeom prst="rect">
                      <a:avLst/>
                    </a:prstGeom>
                  </pic:spPr>
                </pic:pic>
              </a:graphicData>
            </a:graphic>
          </wp:inline>
        </w:drawing>
      </w:r>
    </w:p>
    <w:p w14:paraId="3B3867FA" w14:textId="051E558A" w:rsidR="00EF63C3" w:rsidRPr="00EF63C3" w:rsidRDefault="00EF63C3" w:rsidP="0076252C">
      <w:pPr>
        <w:rPr>
          <w:lang w:eastAsia="en-GB"/>
        </w:rPr>
      </w:pPr>
      <w:r w:rsidRPr="00EF63C3">
        <w:rPr>
          <w:lang w:eastAsia="en-GB"/>
        </w:rPr>
        <w:t>Domestic abuse crimes have increased by 1</w:t>
      </w:r>
      <w:r w:rsidR="00DC52DD">
        <w:rPr>
          <w:lang w:eastAsia="en-GB"/>
        </w:rPr>
        <w:t>1</w:t>
      </w:r>
      <w:r w:rsidRPr="00EF63C3">
        <w:rPr>
          <w:lang w:eastAsia="en-GB"/>
        </w:rPr>
        <w:t>.</w:t>
      </w:r>
      <w:r w:rsidR="00DC52DD">
        <w:rPr>
          <w:lang w:eastAsia="en-GB"/>
        </w:rPr>
        <w:t>2</w:t>
      </w:r>
      <w:r w:rsidRPr="00EF63C3">
        <w:rPr>
          <w:lang w:eastAsia="en-GB"/>
        </w:rPr>
        <w:t>% (</w:t>
      </w:r>
      <w:r w:rsidR="00DC52DD">
        <w:rPr>
          <w:lang w:eastAsia="en-GB"/>
        </w:rPr>
        <w:t>3,963</w:t>
      </w:r>
      <w:r w:rsidRPr="00EF63C3">
        <w:rPr>
          <w:lang w:eastAsia="en-GB"/>
        </w:rPr>
        <w:t xml:space="preserve"> crimes) compared to last year and 3.</w:t>
      </w:r>
      <w:r w:rsidR="00DC52DD">
        <w:rPr>
          <w:lang w:eastAsia="en-GB"/>
        </w:rPr>
        <w:t>8</w:t>
      </w:r>
      <w:r w:rsidRPr="00EF63C3">
        <w:rPr>
          <w:lang w:eastAsia="en-GB"/>
        </w:rPr>
        <w:t>% against the five-year mean (</w:t>
      </w:r>
      <w:r w:rsidR="00DC52DD">
        <w:rPr>
          <w:lang w:eastAsia="en-GB"/>
        </w:rPr>
        <w:t>1,433</w:t>
      </w:r>
      <w:r w:rsidRPr="00EF63C3">
        <w:rPr>
          <w:lang w:eastAsia="en-GB"/>
        </w:rPr>
        <w:t xml:space="preserve"> crimes), Domestic incidents also noted an increase, up 5.</w:t>
      </w:r>
      <w:r w:rsidR="00AD34B7">
        <w:rPr>
          <w:lang w:eastAsia="en-GB"/>
        </w:rPr>
        <w:t>6</w:t>
      </w:r>
      <w:r w:rsidRPr="00EF63C3">
        <w:rPr>
          <w:lang w:eastAsia="en-GB"/>
        </w:rPr>
        <w:t>% (</w:t>
      </w:r>
      <w:r w:rsidR="00AD34B7">
        <w:rPr>
          <w:lang w:eastAsia="en-GB"/>
        </w:rPr>
        <w:t>3,424</w:t>
      </w:r>
      <w:r w:rsidRPr="00EF63C3">
        <w:rPr>
          <w:lang w:eastAsia="en-GB"/>
        </w:rPr>
        <w:t xml:space="preserve"> incidents) against last year and up </w:t>
      </w:r>
      <w:r w:rsidR="00DC52DD">
        <w:rPr>
          <w:lang w:eastAsia="en-GB"/>
        </w:rPr>
        <w:t>5.5</w:t>
      </w:r>
      <w:r w:rsidRPr="00EF63C3">
        <w:rPr>
          <w:lang w:eastAsia="en-GB"/>
        </w:rPr>
        <w:t>% (</w:t>
      </w:r>
      <w:r w:rsidR="00AD34B7">
        <w:rPr>
          <w:lang w:eastAsia="en-GB"/>
        </w:rPr>
        <w:t>3,359</w:t>
      </w:r>
      <w:r w:rsidRPr="00EF63C3">
        <w:rPr>
          <w:lang w:eastAsia="en-GB"/>
        </w:rPr>
        <w:t xml:space="preserve"> incidents) against the five-year mean.</w:t>
      </w:r>
    </w:p>
    <w:p w14:paraId="26BC1474" w14:textId="4AB115A2" w:rsidR="003F5348" w:rsidRDefault="00EF63C3" w:rsidP="0076252C">
      <w:pPr>
        <w:rPr>
          <w:lang w:eastAsia="en-GB"/>
        </w:rPr>
      </w:pPr>
      <w:r w:rsidRPr="00EF63C3">
        <w:rPr>
          <w:lang w:eastAsia="en-GB"/>
        </w:rPr>
        <w:lastRenderedPageBreak/>
        <w:t>Overall D</w:t>
      </w:r>
      <w:r w:rsidR="0059025A">
        <w:rPr>
          <w:lang w:eastAsia="en-GB"/>
        </w:rPr>
        <w:t>ASA</w:t>
      </w:r>
      <w:r w:rsidRPr="00EF63C3">
        <w:rPr>
          <w:lang w:eastAsia="en-GB"/>
        </w:rPr>
        <w:t xml:space="preserve"> crimes increased by </w:t>
      </w:r>
      <w:r w:rsidR="00AD34B7" w:rsidRPr="00AD34B7">
        <w:rPr>
          <w:lang w:eastAsia="en-GB"/>
        </w:rPr>
        <w:t>21.5% (55</w:t>
      </w:r>
      <w:r w:rsidR="00A91478">
        <w:rPr>
          <w:lang w:eastAsia="en-GB"/>
        </w:rPr>
        <w:t>3</w:t>
      </w:r>
      <w:r w:rsidR="00AD34B7" w:rsidRPr="00AD34B7">
        <w:rPr>
          <w:lang w:eastAsia="en-GB"/>
        </w:rPr>
        <w:t xml:space="preserve"> crimes)</w:t>
      </w:r>
      <w:r w:rsidRPr="00EF63C3">
        <w:rPr>
          <w:lang w:eastAsia="en-GB"/>
        </w:rPr>
        <w:t xml:space="preserve"> with DASA of a female increasing by </w:t>
      </w:r>
      <w:r w:rsidR="00AD34B7" w:rsidRPr="00AD34B7">
        <w:rPr>
          <w:lang w:eastAsia="en-GB"/>
        </w:rPr>
        <w:t>508</w:t>
      </w:r>
      <w:r w:rsidRPr="00EF63C3">
        <w:rPr>
          <w:lang w:eastAsia="en-GB"/>
        </w:rPr>
        <w:t xml:space="preserve"> crimes and DASA of a male increasing by </w:t>
      </w:r>
      <w:r w:rsidR="00AD34B7" w:rsidRPr="00AD34B7">
        <w:rPr>
          <w:lang w:eastAsia="en-GB"/>
        </w:rPr>
        <w:t>45</w:t>
      </w:r>
      <w:r w:rsidRPr="00EF63C3">
        <w:rPr>
          <w:lang w:eastAsia="en-GB"/>
        </w:rPr>
        <w:t xml:space="preserve"> crimes compared to last year.</w:t>
      </w:r>
    </w:p>
    <w:p w14:paraId="7ED4ECB5" w14:textId="19F43F35" w:rsidR="00056350" w:rsidRPr="00EF63C3" w:rsidRDefault="00056350" w:rsidP="0076252C">
      <w:pPr>
        <w:rPr>
          <w:lang w:eastAsia="en-GB"/>
        </w:rPr>
      </w:pPr>
      <w:r w:rsidRPr="00056350">
        <w:rPr>
          <w:lang w:eastAsia="en-GB"/>
        </w:rPr>
        <w:t xml:space="preserve">Various feedback sources </w:t>
      </w:r>
      <w:r>
        <w:rPr>
          <w:lang w:eastAsia="en-GB"/>
        </w:rPr>
        <w:t xml:space="preserve">including </w:t>
      </w:r>
      <w:r w:rsidRPr="00056350">
        <w:rPr>
          <w:lang w:eastAsia="en-GB"/>
        </w:rPr>
        <w:t>HMICS, online Victim Survivor portal, partner agencies</w:t>
      </w:r>
      <w:r>
        <w:rPr>
          <w:lang w:eastAsia="en-GB"/>
        </w:rPr>
        <w:t xml:space="preserve">, etc. </w:t>
      </w:r>
      <w:r w:rsidRPr="00056350">
        <w:rPr>
          <w:lang w:eastAsia="en-GB"/>
        </w:rPr>
        <w:t>identified officers were failing to respond appropriately to victims and recognise domestic abuse as a pattern of behaviour</w:t>
      </w:r>
      <w:r>
        <w:rPr>
          <w:lang w:eastAsia="en-GB"/>
        </w:rPr>
        <w:t xml:space="preserve">. </w:t>
      </w:r>
      <w:r w:rsidRPr="00056350">
        <w:rPr>
          <w:lang w:eastAsia="en-GB"/>
        </w:rPr>
        <w:t xml:space="preserve">The increase in recorded crime </w:t>
      </w:r>
      <w:r>
        <w:rPr>
          <w:lang w:eastAsia="en-GB"/>
        </w:rPr>
        <w:t>could</w:t>
      </w:r>
      <w:r w:rsidRPr="00056350">
        <w:rPr>
          <w:lang w:eastAsia="en-GB"/>
        </w:rPr>
        <w:t xml:space="preserve"> be viewed as evidence of an improving response in this area.</w:t>
      </w:r>
    </w:p>
    <w:p w14:paraId="6F7341A5" w14:textId="2489AE9A" w:rsidR="00EF63C3" w:rsidRPr="00EF63C3" w:rsidRDefault="00EF63C3" w:rsidP="0076252C">
      <w:pPr>
        <w:rPr>
          <w:lang w:eastAsia="en-GB"/>
        </w:rPr>
      </w:pPr>
      <w:r w:rsidRPr="00EF63C3">
        <w:rPr>
          <w:lang w:eastAsia="en-GB"/>
        </w:rPr>
        <w:t>F</w:t>
      </w:r>
      <w:r w:rsidR="00A91478" w:rsidRPr="00A91478">
        <w:rPr>
          <w:lang w:eastAsia="en-GB"/>
        </w:rPr>
        <w:t>ive</w:t>
      </w:r>
      <w:r w:rsidRPr="00EF63C3">
        <w:rPr>
          <w:lang w:eastAsia="en-GB"/>
        </w:rPr>
        <w:t xml:space="preserve"> domestic homicides were recorded during the reporting period, two of which were committed in Quarter 1</w:t>
      </w:r>
      <w:r w:rsidR="000F4633">
        <w:rPr>
          <w:lang w:eastAsia="en-GB"/>
        </w:rPr>
        <w:t xml:space="preserve">, </w:t>
      </w:r>
      <w:r w:rsidRPr="00EF63C3">
        <w:rPr>
          <w:lang w:eastAsia="en-GB"/>
        </w:rPr>
        <w:t>two committed in Quarter 3</w:t>
      </w:r>
      <w:r w:rsidR="00A91478" w:rsidRPr="00A91478">
        <w:rPr>
          <w:lang w:eastAsia="en-GB"/>
        </w:rPr>
        <w:t xml:space="preserve"> and </w:t>
      </w:r>
      <w:r w:rsidR="00A91478">
        <w:rPr>
          <w:lang w:eastAsia="en-GB"/>
        </w:rPr>
        <w:t>o</w:t>
      </w:r>
      <w:r w:rsidR="00A91478" w:rsidRPr="00A91478">
        <w:rPr>
          <w:lang w:eastAsia="en-GB"/>
        </w:rPr>
        <w:t>n</w:t>
      </w:r>
      <w:r w:rsidR="00A91478">
        <w:rPr>
          <w:lang w:eastAsia="en-GB"/>
        </w:rPr>
        <w:t>e</w:t>
      </w:r>
      <w:r w:rsidR="00A91478" w:rsidRPr="00A91478">
        <w:rPr>
          <w:lang w:eastAsia="en-GB"/>
        </w:rPr>
        <w:t xml:space="preserve"> during Quarter 4.</w:t>
      </w:r>
    </w:p>
    <w:p w14:paraId="27C89419" w14:textId="5D7A0C64" w:rsidR="006B7A24" w:rsidRPr="006B7A24" w:rsidRDefault="006B7A24" w:rsidP="000603A2">
      <w:pPr>
        <w:pStyle w:val="Heading4"/>
      </w:pPr>
      <w:r w:rsidRPr="006B7A24">
        <w:t>Disclosure Scheme for Domestic Abuse Scotland (DSDAS)</w:t>
      </w:r>
    </w:p>
    <w:p w14:paraId="6A72DEDA" w14:textId="707F33C1" w:rsidR="00EF63C3" w:rsidRDefault="0052274D" w:rsidP="00EF5AFF">
      <w:r w:rsidRPr="00056350">
        <w:t xml:space="preserve">DSDAS </w:t>
      </w:r>
      <w:r w:rsidRPr="00DA0EC7">
        <w:t>is</w:t>
      </w:r>
      <w:r w:rsidRPr="00056350">
        <w:t xml:space="preserve"> a good example of prevention </w:t>
      </w:r>
      <w:r w:rsidRPr="00DA0EC7">
        <w:t xml:space="preserve">work in tackling </w:t>
      </w:r>
      <w:r w:rsidRPr="00056350">
        <w:t>domestic abuse</w:t>
      </w:r>
      <w:r>
        <w:t>.</w:t>
      </w:r>
      <w:r w:rsidRPr="00DA0EC7">
        <w:t xml:space="preserve"> </w:t>
      </w:r>
      <w:r w:rsidR="00DC52DD" w:rsidRPr="00E025CB">
        <w:t xml:space="preserve">During the period </w:t>
      </w:r>
      <w:r w:rsidR="000F4633">
        <w:t>0</w:t>
      </w:r>
      <w:r w:rsidR="00DC52DD" w:rsidRPr="00E025CB">
        <w:t xml:space="preserve">1 April 2024 to </w:t>
      </w:r>
      <w:r w:rsidR="00E025CB" w:rsidRPr="00E025CB">
        <w:t>31</w:t>
      </w:r>
      <w:r w:rsidR="00DC52DD" w:rsidRPr="00E025CB">
        <w:t xml:space="preserve"> </w:t>
      </w:r>
      <w:r w:rsidR="00E025CB" w:rsidRPr="00E025CB">
        <w:t>March</w:t>
      </w:r>
      <w:r w:rsidR="00DC52DD" w:rsidRPr="00E025CB">
        <w:t xml:space="preserve"> 2025, </w:t>
      </w:r>
      <w:r w:rsidR="00E025CB" w:rsidRPr="00E025CB">
        <w:t>7,296</w:t>
      </w:r>
      <w:r w:rsidR="00DC52DD" w:rsidRPr="00E025CB">
        <w:t xml:space="preserve"> DSDAS applications were submitted to Police Scotland, an increase of </w:t>
      </w:r>
      <w:r w:rsidR="00E025CB" w:rsidRPr="00E025CB">
        <w:t>2</w:t>
      </w:r>
      <w:r w:rsidR="00DC52DD" w:rsidRPr="00E025CB">
        <w:t xml:space="preserve">3.4% overall. Power to Tell (PTT) applications increased by </w:t>
      </w:r>
      <w:r w:rsidR="00E025CB" w:rsidRPr="00E025CB">
        <w:t>14.5</w:t>
      </w:r>
      <w:r w:rsidR="00DC52DD" w:rsidRPr="00E025CB">
        <w:t>% (</w:t>
      </w:r>
      <w:r w:rsidR="00E025CB" w:rsidRPr="00E025CB">
        <w:t>659</w:t>
      </w:r>
      <w:r w:rsidR="00DC52DD" w:rsidRPr="00E025CB">
        <w:t xml:space="preserve"> applications) and Right to Ask (RTA) applications increased by </w:t>
      </w:r>
      <w:r w:rsidR="00E025CB" w:rsidRPr="00E025CB">
        <w:t>38.3</w:t>
      </w:r>
      <w:r w:rsidR="00DC52DD" w:rsidRPr="00E025CB">
        <w:t>% (</w:t>
      </w:r>
      <w:r w:rsidR="00E025CB" w:rsidRPr="00E025CB">
        <w:t>1,048</w:t>
      </w:r>
      <w:r w:rsidR="00DC52DD" w:rsidRPr="00E025CB">
        <w:t xml:space="preserve"> applications) compared to the same period last year.</w:t>
      </w:r>
      <w:r>
        <w:t xml:space="preserve"> The continued </w:t>
      </w:r>
      <w:r w:rsidRPr="00DA0EC7">
        <w:t xml:space="preserve">increase </w:t>
      </w:r>
      <w:r>
        <w:t xml:space="preserve">in DSDAS applications </w:t>
      </w:r>
      <w:r w:rsidRPr="00DA0EC7">
        <w:t>represents greater awareness and use of the scheme.</w:t>
      </w:r>
    </w:p>
    <w:p w14:paraId="60352490" w14:textId="38E52BF1" w:rsidR="00056350" w:rsidRPr="003F5348" w:rsidRDefault="00DA0EC7" w:rsidP="00EF5AFF">
      <w:r w:rsidRPr="00DA0EC7">
        <w:t>Sexual crime and domestic abuse</w:t>
      </w:r>
      <w:r w:rsidR="00056350" w:rsidRPr="00056350">
        <w:t xml:space="preserve"> are </w:t>
      </w:r>
      <w:r w:rsidRPr="00DA0EC7">
        <w:t xml:space="preserve">themes </w:t>
      </w:r>
      <w:r w:rsidR="00056350" w:rsidRPr="00056350">
        <w:t xml:space="preserve">embedded within the PSOS Violence </w:t>
      </w:r>
      <w:r w:rsidR="00584119">
        <w:t>A</w:t>
      </w:r>
      <w:r w:rsidR="00056350" w:rsidRPr="00056350">
        <w:t>gainst Women and Girls Strategy and its implementation plan which details delivery activities to ensure that we do everything in our power to keep women and girls safe in Scotland</w:t>
      </w:r>
      <w:r w:rsidR="00056350" w:rsidRPr="003F5348">
        <w:t>.</w:t>
      </w:r>
    </w:p>
    <w:p w14:paraId="22F4FB48" w14:textId="77777777" w:rsidR="0095021C" w:rsidRDefault="0095021C" w:rsidP="000603A2">
      <w:pPr>
        <w:pStyle w:val="Heading4"/>
      </w:pPr>
      <w:r w:rsidRPr="003C77EC">
        <w:t>Hate Crime</w:t>
      </w:r>
      <w:r>
        <w:t xml:space="preserve"> (Strategic Outcome 2)</w:t>
      </w:r>
    </w:p>
    <w:p w14:paraId="4D2785DF" w14:textId="676B7956" w:rsidR="0008068B" w:rsidRDefault="0008068B" w:rsidP="0008068B">
      <w:r>
        <w:rPr>
          <w:noProof/>
        </w:rPr>
        <w:drawing>
          <wp:inline distT="0" distB="0" distL="0" distR="0" wp14:anchorId="211AC08B" wp14:editId="3ECE6F5D">
            <wp:extent cx="6188710" cy="937260"/>
            <wp:effectExtent l="0" t="0" r="2540" b="0"/>
            <wp:docPr id="924137182" name="Picture 1" descr="Hate Crime YTD Comparison Table&#10;The first row shows 1,331 non-crime hate incidents PYTD compared to 912 YTD (down 31.5% on last year). The six month sparkline shows a high of 78 incidents in October, 57 incidents in November; 64 incidents in December; 54 incidents in January; a low of 53 incidents in February and 74 incidents in March.&#10;The second row shows 6,369 hate crimes PYTD compared to 8,539 YTD (up 34.1% on last year). The six month sparkline shows 692 crimes in October, 651 crimes in November; 637 crimes in December; a low of 621 crimes in January; 627 crimes in February and a high of 737 crimes in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37182" name="Picture 1" descr="Hate Crime YTD Comparison Table&#10;The first row shows 1,331 non-crime hate incidents PYTD compared to 912 YTD (down 31.5% on last year). The six month sparkline shows a high of 78 incidents in October, 57 incidents in November; 64 incidents in December; 54 incidents in January; a low of 53 incidents in February and 74 incidents in March.&#10;The second row shows 6,369 hate crimes PYTD compared to 8,539 YTD (up 34.1% on last year). The six month sparkline shows 692 crimes in October, 651 crimes in November; 637 crimes in December; a low of 621 crimes in January; 627 crimes in February and a high of 737 crimes in March."/>
                    <pic:cNvPicPr/>
                  </pic:nvPicPr>
                  <pic:blipFill>
                    <a:blip r:embed="rId58"/>
                    <a:stretch>
                      <a:fillRect/>
                    </a:stretch>
                  </pic:blipFill>
                  <pic:spPr>
                    <a:xfrm>
                      <a:off x="0" y="0"/>
                      <a:ext cx="6188710" cy="937260"/>
                    </a:xfrm>
                    <a:prstGeom prst="rect">
                      <a:avLst/>
                    </a:prstGeom>
                  </pic:spPr>
                </pic:pic>
              </a:graphicData>
            </a:graphic>
          </wp:inline>
        </w:drawing>
      </w:r>
    </w:p>
    <w:p w14:paraId="54CE238E" w14:textId="401EAA68" w:rsidR="0008068B" w:rsidRDefault="0008068B" w:rsidP="0008068B">
      <w:r>
        <w:rPr>
          <w:noProof/>
        </w:rPr>
        <w:drawing>
          <wp:inline distT="0" distB="0" distL="0" distR="0" wp14:anchorId="737C1CF0" wp14:editId="267D308E">
            <wp:extent cx="6188710" cy="937895"/>
            <wp:effectExtent l="0" t="0" r="2540" b="0"/>
            <wp:docPr id="719093819" name="Picture 1" descr="Hate Crime Five-Year Comparison Table&#10;The first row shows the five-year mean for non-crime hate incidents is 943.6 compared to 912 YTD (down 3.3% on five-year mean). The five-year sparkline shows a low of 590 incidents in 2020/21; 739 incidents in 2021/22; 1,146 incidents in 2022/23; a high of 1,331 incidents in 2023/24 and 912 incidents in 2024/25 YTD.&#10;The second row shows the five-year mean for hate crimes is 6,965.2 compared to 8,539 YTD (up 22.6% on five-year mean). The five-year sparkline shows 6,724 crimes in 2020/21; 6,921 crimes in 2021/22; a low of 6,273 crimes in 2022/23; 6,369 crimes in 2023/24 and a high of 8,539 crimes in 2024/25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93819" name="Picture 1" descr="Hate Crime Five-Year Comparison Table&#10;The first row shows the five-year mean for non-crime hate incidents is 943.6 compared to 912 YTD (down 3.3% on five-year mean). The five-year sparkline shows a low of 590 incidents in 2020/21; 739 incidents in 2021/22; 1,146 incidents in 2022/23; a high of 1,331 incidents in 2023/24 and 912 incidents in 2024/25 YTD.&#10;The second row shows the five-year mean for hate crimes is 6,965.2 compared to 8,539 YTD (up 22.6% on five-year mean). The five-year sparkline shows 6,724 crimes in 2020/21; 6,921 crimes in 2021/22; a low of 6,273 crimes in 2022/23; 6,369 crimes in 2023/24 and a high of 8,539 crimes in 2024/25 YTD."/>
                    <pic:cNvPicPr/>
                  </pic:nvPicPr>
                  <pic:blipFill>
                    <a:blip r:embed="rId59"/>
                    <a:stretch>
                      <a:fillRect/>
                    </a:stretch>
                  </pic:blipFill>
                  <pic:spPr>
                    <a:xfrm>
                      <a:off x="0" y="0"/>
                      <a:ext cx="6188710" cy="937895"/>
                    </a:xfrm>
                    <a:prstGeom prst="rect">
                      <a:avLst/>
                    </a:prstGeom>
                  </pic:spPr>
                </pic:pic>
              </a:graphicData>
            </a:graphic>
          </wp:inline>
        </w:drawing>
      </w:r>
    </w:p>
    <w:p w14:paraId="6E35BE52" w14:textId="6888C5B9" w:rsidR="0008068B" w:rsidRPr="0008068B" w:rsidRDefault="0008068B" w:rsidP="0008068B">
      <w:r>
        <w:rPr>
          <w:noProof/>
        </w:rPr>
        <w:drawing>
          <wp:inline distT="0" distB="0" distL="0" distR="0" wp14:anchorId="62162A57" wp14:editId="409E772E">
            <wp:extent cx="6188710" cy="622300"/>
            <wp:effectExtent l="0" t="0" r="2540" b="6350"/>
            <wp:docPr id="769058368" name="Picture 1" descr="Hate Crime Detection Rate Comparison Table&#10;This row shows the detection rate for hate crimes was 57.5% in PYTD compared to 67.4% in YTD (up 9.9% points on last year). The five-year detection rate sparkline shows a high of 68.8% in 2020/21; 66.0% in 2021/22; 64.4% in 2022/23; a low of 57.5% in 2023/24 and 67.4% in 2024/25 Y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8368" name="Picture 1" descr="Hate Crime Detection Rate Comparison Table&#10;This row shows the detection rate for hate crimes was 57.5% in PYTD compared to 67.4% in YTD (up 9.9% points on last year). The five-year detection rate sparkline shows a high of 68.8% in 2020/21; 66.0% in 2021/22; 64.4% in 2022/23; a low of 57.5% in 2023/24 and 67.4% in 2024/25 YTD."/>
                    <pic:cNvPicPr/>
                  </pic:nvPicPr>
                  <pic:blipFill>
                    <a:blip r:embed="rId60"/>
                    <a:stretch>
                      <a:fillRect/>
                    </a:stretch>
                  </pic:blipFill>
                  <pic:spPr>
                    <a:xfrm>
                      <a:off x="0" y="0"/>
                      <a:ext cx="6188710" cy="622300"/>
                    </a:xfrm>
                    <a:prstGeom prst="rect">
                      <a:avLst/>
                    </a:prstGeom>
                  </pic:spPr>
                </pic:pic>
              </a:graphicData>
            </a:graphic>
          </wp:inline>
        </w:drawing>
      </w:r>
    </w:p>
    <w:p w14:paraId="1146D741" w14:textId="77777777" w:rsidR="00115BF7" w:rsidRDefault="00115BF7" w:rsidP="00115BF7">
      <w:r>
        <w:t>Please note due to changes in legislation introduced on 01 April 2024, direct comparisons to previous years should not be made and are for illustrative purposes only.</w:t>
      </w:r>
    </w:p>
    <w:p w14:paraId="65BC98D3" w14:textId="2C380A59" w:rsidR="00115BF7" w:rsidRPr="00477DB0" w:rsidRDefault="00115BF7" w:rsidP="00115BF7">
      <w:r>
        <w:rPr>
          <w:noProof/>
          <w:color w:val="FF0000"/>
        </w:rPr>
        <w:lastRenderedPageBreak/>
        <w:drawing>
          <wp:inline distT="0" distB="0" distL="0" distR="0" wp14:anchorId="0D377FDC" wp14:editId="46A11FA0">
            <wp:extent cx="5675630" cy="2578735"/>
            <wp:effectExtent l="0" t="0" r="1270" b="0"/>
            <wp:docPr id="2100957427" name="Picture 2" descr="Hate Crime by Protected Characteristics Chart&#10;This bar chart shows the volume of protected characteristics aggravators recorded in 2024/25 YTD, There were 12 Variations in Sex Characteristics; 76 Age; 1,080 Disability; 2,020 Sexual Orientation; 5,200 Racial; 559 Religion; and 190 Transge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7427" name="Picture 2" descr="Hate Crime by Protected Characteristics Chart&#10;This bar chart shows the volume of protected characteristics aggravators recorded in 2024/25 YTD, There were 12 Variations in Sex Characteristics; 76 Age; 1,080 Disability; 2,020 Sexual Orientation; 5,200 Racial; 559 Religion; and 190 Transgender.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5630" cy="2578735"/>
                    </a:xfrm>
                    <a:prstGeom prst="rect">
                      <a:avLst/>
                    </a:prstGeom>
                    <a:noFill/>
                  </pic:spPr>
                </pic:pic>
              </a:graphicData>
            </a:graphic>
          </wp:inline>
        </w:drawing>
      </w:r>
    </w:p>
    <w:p w14:paraId="2470DFF4" w14:textId="77777777" w:rsidR="000F4633" w:rsidRDefault="00D3565D" w:rsidP="00D3565D">
      <w:r w:rsidRPr="00D3565D">
        <w:t>As was previously communicated</w:t>
      </w:r>
      <w:r w:rsidR="000F4633">
        <w:t>,</w:t>
      </w:r>
      <w:r w:rsidRPr="00D3565D">
        <w:t xml:space="preserve"> comparisons to previous years should not be made in relation to hate crime statistics due to the implementation of single national crime system, removal of requirement for </w:t>
      </w:r>
      <w:proofErr w:type="spellStart"/>
      <w:r w:rsidRPr="00D3565D">
        <w:t>iVPD`s</w:t>
      </w:r>
      <w:proofErr w:type="spellEnd"/>
      <w:r w:rsidRPr="00D3565D">
        <w:t xml:space="preserve"> for data capture purposes, increase in the number of protected characteristics that constitute a hate aggravator and new counting rules for hate crime.</w:t>
      </w:r>
    </w:p>
    <w:p w14:paraId="2E39B03A" w14:textId="5F287335" w:rsidR="002607CB" w:rsidRPr="00D3565D" w:rsidRDefault="002607CB" w:rsidP="00D3565D">
      <w:r>
        <w:t>In Quarter 4, r</w:t>
      </w:r>
      <w:r w:rsidRPr="002607CB">
        <w:t xml:space="preserve">ecording errors around hate crime aggravators were identified and a short life working group, consisting of reps from all territorial divisions, Policing Together and Data Governance was stood up which has remedied the errors for </w:t>
      </w:r>
      <w:r w:rsidR="000B5571">
        <w:t>20</w:t>
      </w:r>
      <w:r w:rsidRPr="002607CB">
        <w:t>24/25 to allow figures to be shared with Scottish Government. This addressed governance structures to manage at a local level and work is ongoing to build a longer term ICT solution.</w:t>
      </w:r>
    </w:p>
    <w:p w14:paraId="2AA74A21" w14:textId="68ADBE78" w:rsidR="00D3565D" w:rsidRPr="00E23827" w:rsidRDefault="00D3565D" w:rsidP="000603A2">
      <w:pPr>
        <w:pStyle w:val="Heading4"/>
      </w:pPr>
      <w:r w:rsidRPr="00E23827">
        <w:t>Analysis</w:t>
      </w:r>
    </w:p>
    <w:p w14:paraId="5BF03285" w14:textId="29FCAB57" w:rsidR="00115BF7" w:rsidRPr="00012180" w:rsidRDefault="00115BF7" w:rsidP="00115BF7">
      <w:r w:rsidRPr="008B2C72">
        <w:t xml:space="preserve">Hate crimes </w:t>
      </w:r>
      <w:r w:rsidR="005F2F95" w:rsidRPr="008B2C72">
        <w:t xml:space="preserve">were decreasing steadily but increased in March </w:t>
      </w:r>
      <w:r w:rsidR="00B359CF" w:rsidRPr="008B2C72">
        <w:t>to 7</w:t>
      </w:r>
      <w:r w:rsidR="0008068B">
        <w:t>3</w:t>
      </w:r>
      <w:r w:rsidR="00B359CF" w:rsidRPr="008B2C72">
        <w:t>7 crimes for that month.</w:t>
      </w:r>
      <w:r w:rsidR="00477DB0">
        <w:t xml:space="preserve"> </w:t>
      </w:r>
      <w:r w:rsidRPr="008B2C72">
        <w:t>Hate crimes continue to be predominantly aggravated by racial or sexual orientation, amounting to 56.</w:t>
      </w:r>
      <w:r w:rsidR="008B2C72" w:rsidRPr="008B2C72">
        <w:t>9</w:t>
      </w:r>
      <w:r w:rsidRPr="008B2C72">
        <w:t>% and 2</w:t>
      </w:r>
      <w:r w:rsidR="008B2C72" w:rsidRPr="008B2C72">
        <w:t>2.1</w:t>
      </w:r>
      <w:r w:rsidRPr="008B2C72">
        <w:t>% of total aggravators across the reporting period.</w:t>
      </w:r>
      <w:r w:rsidR="00477DB0">
        <w:t xml:space="preserve"> </w:t>
      </w:r>
      <w:r w:rsidR="005A51E5" w:rsidRPr="00012180">
        <w:t>Most</w:t>
      </w:r>
      <w:r w:rsidRPr="00012180">
        <w:t xml:space="preserve"> hate crimes related to threatening or abusive behaviour (</w:t>
      </w:r>
      <w:r w:rsidR="00012180" w:rsidRPr="00012180">
        <w:t>4,129</w:t>
      </w:r>
      <w:r w:rsidRPr="00012180">
        <w:t>), followed by hate aggravated conduct (1,</w:t>
      </w:r>
      <w:r w:rsidR="00012180" w:rsidRPr="00012180">
        <w:t>879</w:t>
      </w:r>
      <w:r w:rsidRPr="00012180">
        <w:t>)</w:t>
      </w:r>
      <w:r w:rsidR="00012180" w:rsidRPr="00012180">
        <w:t xml:space="preserve"> then</w:t>
      </w:r>
      <w:r w:rsidRPr="00012180">
        <w:t xml:space="preserve"> Common Assault (</w:t>
      </w:r>
      <w:r w:rsidR="00012180" w:rsidRPr="00012180">
        <w:t>1,063</w:t>
      </w:r>
      <w:r w:rsidRPr="00012180">
        <w:t>)</w:t>
      </w:r>
      <w:r w:rsidR="00012180" w:rsidRPr="00012180">
        <w:t>.</w:t>
      </w:r>
    </w:p>
    <w:p w14:paraId="07B0315A" w14:textId="614327CF" w:rsidR="002607CB" w:rsidRDefault="002607CB" w:rsidP="002607CB">
      <w:r>
        <w:t>The</w:t>
      </w:r>
      <w:r w:rsidR="00115BF7" w:rsidRPr="008B2C72">
        <w:t xml:space="preserve"> hate crimes detection rate </w:t>
      </w:r>
      <w:r>
        <w:t xml:space="preserve">for </w:t>
      </w:r>
      <w:r w:rsidR="00477DB0">
        <w:t>20</w:t>
      </w:r>
      <w:r>
        <w:t>24/25 is 67.4%. As previously stated, comparisons to previous years should not be made however some considerations that might account for the increase compared to last year are:</w:t>
      </w:r>
    </w:p>
    <w:p w14:paraId="02B338BD" w14:textId="2E01E72D" w:rsidR="002607CB" w:rsidRPr="00886D2F" w:rsidRDefault="002607CB" w:rsidP="00025B8F">
      <w:pPr>
        <w:pStyle w:val="Bullets"/>
      </w:pPr>
      <w:r w:rsidRPr="00025B8F">
        <w:t>Increased public awareness as a result of the H</w:t>
      </w:r>
      <w:r w:rsidR="00E47D1C">
        <w:t>ate Crime and Public Order Act</w:t>
      </w:r>
    </w:p>
    <w:p w14:paraId="30945F90" w14:textId="02C2A739" w:rsidR="002607CB" w:rsidRPr="00886D2F" w:rsidRDefault="002607CB" w:rsidP="00025B8F">
      <w:pPr>
        <w:pStyle w:val="Bullets"/>
      </w:pPr>
      <w:r w:rsidRPr="00025B8F">
        <w:t>Increased officer awareness</w:t>
      </w:r>
    </w:p>
    <w:p w14:paraId="4722D3EF" w14:textId="3F8E78AA" w:rsidR="002607CB" w:rsidRPr="00886D2F" w:rsidRDefault="002607CB" w:rsidP="00025B8F">
      <w:pPr>
        <w:pStyle w:val="Bullets"/>
      </w:pPr>
      <w:r w:rsidRPr="00025B8F">
        <w:t>Increase in the number of protected characteristics that constitute an aggravation of existing offences</w:t>
      </w:r>
    </w:p>
    <w:p w14:paraId="1E294048" w14:textId="5588DA30" w:rsidR="002607CB" w:rsidRPr="00886D2F" w:rsidRDefault="002607CB" w:rsidP="00025B8F">
      <w:pPr>
        <w:pStyle w:val="Bullets"/>
      </w:pPr>
      <w:r w:rsidRPr="00025B8F">
        <w:t>Increase in the number of protected characteristics that constitute an offence</w:t>
      </w:r>
    </w:p>
    <w:p w14:paraId="2F93D66F" w14:textId="1E146E8B" w:rsidR="002607CB" w:rsidRPr="00886D2F" w:rsidRDefault="002607CB" w:rsidP="00025B8F">
      <w:pPr>
        <w:pStyle w:val="Bullets"/>
      </w:pPr>
      <w:r w:rsidRPr="00025B8F">
        <w:t>Roll out of national crime giving more accurate crime stats tha</w:t>
      </w:r>
      <w:r w:rsidR="00AB20E0" w:rsidRPr="00025B8F">
        <w:t>n</w:t>
      </w:r>
      <w:r w:rsidRPr="00025B8F">
        <w:t xml:space="preserve"> VPD </w:t>
      </w:r>
    </w:p>
    <w:p w14:paraId="559636B7" w14:textId="4A776C6F" w:rsidR="002607CB" w:rsidRPr="00886D2F" w:rsidRDefault="002607CB" w:rsidP="00025B8F">
      <w:pPr>
        <w:pStyle w:val="Bullets"/>
      </w:pPr>
      <w:r w:rsidRPr="00025B8F">
        <w:t xml:space="preserve">New counting methodology for hate crime since </w:t>
      </w:r>
      <w:r w:rsidR="005644BA">
        <w:t>0</w:t>
      </w:r>
      <w:r w:rsidRPr="00025B8F">
        <w:t>1 April 2024</w:t>
      </w:r>
    </w:p>
    <w:p w14:paraId="125F34F7" w14:textId="227447C6" w:rsidR="0095021C" w:rsidRDefault="0095021C" w:rsidP="000603A2">
      <w:pPr>
        <w:pStyle w:val="Heading4"/>
      </w:pPr>
      <w:r>
        <w:lastRenderedPageBreak/>
        <w:t>Anti-social Behaviour and Disorder (Strategic Outcome 2)</w:t>
      </w:r>
    </w:p>
    <w:p w14:paraId="70DC0AD9" w14:textId="77777777" w:rsidR="00414CD4" w:rsidRDefault="00414CD4" w:rsidP="0095021C">
      <w:pPr>
        <w:rPr>
          <w:color w:val="000000" w:themeColor="text1"/>
        </w:rPr>
      </w:pPr>
      <w:r>
        <w:rPr>
          <w:noProof/>
        </w:rPr>
        <w:drawing>
          <wp:inline distT="0" distB="0" distL="0" distR="0" wp14:anchorId="7E66C649" wp14:editId="7F2CFE45">
            <wp:extent cx="6188710" cy="963930"/>
            <wp:effectExtent l="0" t="0" r="2540" b="7620"/>
            <wp:docPr id="1736340468" name="Picture 1" descr="ASB/Disorder Recorded YTD Comparison Table&#10;The first row shows 273,124 antisocial behaviour incidents PYTD compared to 264,304 YTD (down 3.2% on last year). The six month sparkline shows 22,690 incidents in October, 21,806 incidents in November; 19,260 incidents in December; a low of 19,034 incidents in January; 19,205 incidents in February and a high of 22,937 incidents in March.&#10;The second row shows 191,344 complaints regarding disorder PYTD compared to 183,696 YTD (down 4.0% on last year). The six month sparkline shows a high of 15,938 complaints in October, 15,134 complaints in November; 13,263 complaints in December; a low of 13,114 complaints in January; 13,118 complaints in February and 15,870 complaints in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40468" name="Picture 1" descr="ASB/Disorder Recorded YTD Comparison Table&#10;The first row shows 273,124 antisocial behaviour incidents PYTD compared to 264,304 YTD (down 3.2% on last year). The six month sparkline shows 22,690 incidents in October, 21,806 incidents in November; 19,260 incidents in December; a low of 19,034 incidents in January; 19,205 incidents in February and a high of 22,937 incidents in March.&#10;The second row shows 191,344 complaints regarding disorder PYTD compared to 183,696 YTD (down 4.0% on last year). The six month sparkline shows a high of 15,938 complaints in October, 15,134 complaints in November; 13,263 complaints in December; a low of 13,114 complaints in January; 13,118 complaints in February and 15,870 complaints in March.&#10;"/>
                    <pic:cNvPicPr/>
                  </pic:nvPicPr>
                  <pic:blipFill>
                    <a:blip r:embed="rId62"/>
                    <a:stretch>
                      <a:fillRect/>
                    </a:stretch>
                  </pic:blipFill>
                  <pic:spPr>
                    <a:xfrm>
                      <a:off x="0" y="0"/>
                      <a:ext cx="6188710" cy="963930"/>
                    </a:xfrm>
                    <a:prstGeom prst="rect">
                      <a:avLst/>
                    </a:prstGeom>
                  </pic:spPr>
                </pic:pic>
              </a:graphicData>
            </a:graphic>
          </wp:inline>
        </w:drawing>
      </w:r>
    </w:p>
    <w:p w14:paraId="16DA7D55" w14:textId="3149E50B" w:rsidR="00414CD4" w:rsidRDefault="00323999" w:rsidP="0095021C">
      <w:pPr>
        <w:rPr>
          <w:color w:val="000000" w:themeColor="text1"/>
        </w:rPr>
      </w:pPr>
      <w:r>
        <w:rPr>
          <w:noProof/>
        </w:rPr>
        <w:drawing>
          <wp:inline distT="0" distB="0" distL="0" distR="0" wp14:anchorId="6D58A5F6" wp14:editId="4CBF957D">
            <wp:extent cx="6188710" cy="943610"/>
            <wp:effectExtent l="0" t="0" r="2540" b="8890"/>
            <wp:docPr id="1021321369" name="Picture 1" descr="ASB/Disorder Recorded Five-Year Comparison Table&#10;The first row shows the five-year mean for antisocial behaviour incidents is 323,146.8 compared to 264,304 YTD (down 18.2% on five-year mean). The five-year sparkline shows a high of 424,568 incidents in 2020/21; 322,956 incidents in 2021/22; 276,866 incidents in 2022/23; 273,124 incidents in 2023/24 and a low of 264,304 incidents in 2024/25 YTD.&#10;The second row shows the five-year mean for complaints regarding disorder is 232,902.0 compared to 183,696 YTD (down 21.1% on five-year mean). The five-year sparkline shows a high of 321,177 complaints in 2020/21; 231,3296 complaints in 2021/22; 194,215 complaints in 2022/23; 191,344 complaints in 2023/24 and a low of 183,696 complaint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21369" name="Picture 1" descr="ASB/Disorder Recorded Five-Year Comparison Table&#10;The first row shows the five-year mean for antisocial behaviour incidents is 323,146.8 compared to 264,304 YTD (down 18.2% on five-year mean). The five-year sparkline shows a high of 424,568 incidents in 2020/21; 322,956 incidents in 2021/22; 276,866 incidents in 2022/23; 273,124 incidents in 2023/24 and a low of 264,304 incidents in 2024/25 YTD.&#10;The second row shows the five-year mean for complaints regarding disorder is 232,902.0 compared to 183,696 YTD (down 21.1% on five-year mean). The five-year sparkline shows a high of 321,177 complaints in 2020/21; 231,3296 complaints in 2021/22; 194,215 complaints in 2022/23; 191,344 complaints in 2023/24 and a low of 183,696 complaints in 2024/25 YTD.&#10;"/>
                    <pic:cNvPicPr/>
                  </pic:nvPicPr>
                  <pic:blipFill>
                    <a:blip r:embed="rId63"/>
                    <a:stretch>
                      <a:fillRect/>
                    </a:stretch>
                  </pic:blipFill>
                  <pic:spPr>
                    <a:xfrm>
                      <a:off x="0" y="0"/>
                      <a:ext cx="6188710" cy="943610"/>
                    </a:xfrm>
                    <a:prstGeom prst="rect">
                      <a:avLst/>
                    </a:prstGeom>
                  </pic:spPr>
                </pic:pic>
              </a:graphicData>
            </a:graphic>
          </wp:inline>
        </w:drawing>
      </w:r>
    </w:p>
    <w:p w14:paraId="08CE1458" w14:textId="685B2011" w:rsidR="00711B68" w:rsidRDefault="00AB1B92" w:rsidP="00A42CA2">
      <w:pPr>
        <w:rPr>
          <w:color w:val="000000" w:themeColor="text1"/>
        </w:rPr>
      </w:pPr>
      <w:r>
        <w:rPr>
          <w:color w:val="000000" w:themeColor="text1"/>
        </w:rPr>
        <w:t>Incidents of anti-social behaviour (ASB) include disturbance, public nuisance, communications, noise, damage, neighbour disputes and drinking in public incidents. Incidents of ASB and complaints of disorder were at their lowest level in recent years</w:t>
      </w:r>
      <w:r w:rsidR="00605789">
        <w:rPr>
          <w:color w:val="000000" w:themeColor="text1"/>
        </w:rPr>
        <w:t>. The number of</w:t>
      </w:r>
      <w:r>
        <w:rPr>
          <w:color w:val="000000" w:themeColor="text1"/>
        </w:rPr>
        <w:t xml:space="preserve"> antisocial offences</w:t>
      </w:r>
      <w:r w:rsidR="00605789">
        <w:rPr>
          <w:color w:val="000000" w:themeColor="text1"/>
        </w:rPr>
        <w:t>, however,</w:t>
      </w:r>
      <w:r>
        <w:rPr>
          <w:color w:val="000000" w:themeColor="text1"/>
        </w:rPr>
        <w:t xml:space="preserve"> rose by 4.7% from last year. </w:t>
      </w:r>
      <w:r w:rsidR="00605789">
        <w:rPr>
          <w:color w:val="000000" w:themeColor="text1"/>
        </w:rPr>
        <w:t xml:space="preserve">This includes threatening or abusive behaviour, breach of the peace, hate aggravated conduct, consuming alcohol in designated places (local </w:t>
      </w:r>
      <w:proofErr w:type="gramStart"/>
      <w:r w:rsidR="00605789">
        <w:rPr>
          <w:color w:val="000000" w:themeColor="text1"/>
        </w:rPr>
        <w:t>bye-laws</w:t>
      </w:r>
      <w:proofErr w:type="gramEnd"/>
      <w:r w:rsidR="00605789">
        <w:rPr>
          <w:color w:val="000000" w:themeColor="text1"/>
        </w:rPr>
        <w:t>), urinating and other alcohol related offences.</w:t>
      </w:r>
    </w:p>
    <w:p w14:paraId="5C2305CC" w14:textId="31C64F79" w:rsidR="001641E6" w:rsidRPr="00BB1310" w:rsidRDefault="00AB1B92" w:rsidP="00A42CA2">
      <w:pPr>
        <w:rPr>
          <w:color w:val="000000" w:themeColor="text1"/>
        </w:rPr>
      </w:pPr>
      <w:r>
        <w:rPr>
          <w:color w:val="000000" w:themeColor="text1"/>
        </w:rPr>
        <w:t>It should be noted that last year saw significantly fewer antisocial offences than usual, and this year’s 45,329 offences, of which 85.1% were crimes of threatening or abusive behaviour, was 14.8% below the five-year</w:t>
      </w:r>
      <w:r w:rsidR="005055A7">
        <w:rPr>
          <w:color w:val="000000" w:themeColor="text1"/>
        </w:rPr>
        <w:t xml:space="preserve"> </w:t>
      </w:r>
      <w:r>
        <w:rPr>
          <w:color w:val="000000" w:themeColor="text1"/>
        </w:rPr>
        <w:t>mean.</w:t>
      </w:r>
    </w:p>
    <w:p w14:paraId="1E8B3F78" w14:textId="692B56AC" w:rsidR="0095021C" w:rsidRDefault="0095021C" w:rsidP="000603A2">
      <w:pPr>
        <w:pStyle w:val="Heading4"/>
      </w:pPr>
      <w:r>
        <w:t>Crime</w:t>
      </w:r>
      <w:r w:rsidR="00DB2882">
        <w:t>s of Dishonesty</w:t>
      </w:r>
      <w:r>
        <w:t xml:space="preserve"> (Strategic Outcome 2)</w:t>
      </w:r>
    </w:p>
    <w:p w14:paraId="6BB8A8E0" w14:textId="77777777" w:rsidR="00414CD4" w:rsidRDefault="00414CD4" w:rsidP="00491DAC">
      <w:r>
        <w:rPr>
          <w:noProof/>
        </w:rPr>
        <w:drawing>
          <wp:inline distT="0" distB="0" distL="0" distR="0" wp14:anchorId="15CE6262" wp14:editId="49C0C128">
            <wp:extent cx="6188710" cy="1570355"/>
            <wp:effectExtent l="0" t="0" r="2540" b="0"/>
            <wp:docPr id="1546352949" name="Picture 1" descr="Crimes of Dishonesty YTD Comparison Table&#10;The first row shows 110,063 group 3 crimes of dishonesty PYTD compared to 110,913 YTD (up 0.8% on last year). The six month sparkline shows 9,299 crimes in October, 9,385 crimes in November; 8,867 crimes in December; a low of 8,398 crimes in January; 8,488 crimes in February and a high of 9,453 crimes in March.&#10;The second row shows 8,991 total housebreaking crimes PYTD compared to 7,381 YTD (down 17.9% on last year). The six month sparkline shows 617 crimes in October, 646 crimes in November; a high of 650 crimes in December; a low of 542 crimes in January; 572 crimes in February and 554 crimes in March.&#10;The third row shows 11,391 total motor vehicle crimes PYTD compared to 10,280 YTD (down 9.8% on last year). The six month sparkline shows a high of 848 crimes in October, 776 crimes in November; 782 crimes in December; 754 crimes in January; 780 crimes in February and a low of 744 crimes in Marchr.&#10;The fourth row shows 38,645 theft by shoplifting crimes PYTD compared to 44,730 YTD (up 15.7% on last year). The six month sparkline shows 3,646 crimes in October; 3,903 crimes in November; 3,402 crimes in December; a low of 3,350 crimes in January; 3,606 crimes in February and a high of 4,124 crimes in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52949" name="Picture 1" descr="Crimes of Dishonesty YTD Comparison Table&#10;The first row shows 110,063 group 3 crimes of dishonesty PYTD compared to 110,913 YTD (up 0.8% on last year). The six month sparkline shows 9,299 crimes in October, 9,385 crimes in November; 8,867 crimes in December; a low of 8,398 crimes in January; 8,488 crimes in February and a high of 9,453 crimes in March.&#10;The second row shows 8,991 total housebreaking crimes PYTD compared to 7,381 YTD (down 17.9% on last year). The six month sparkline shows 617 crimes in October, 646 crimes in November; a high of 650 crimes in December; a low of 542 crimes in January; 572 crimes in February and 554 crimes in March.&#10;The third row shows 11,391 total motor vehicle crimes PYTD compared to 10,280 YTD (down 9.8% on last year). The six month sparkline shows a high of 848 crimes in October, 776 crimes in November; 782 crimes in December; 754 crimes in January; 780 crimes in February and a low of 744 crimes in Marchr.&#10;The fourth row shows 38,645 theft by shoplifting crimes PYTD compared to 44,730 YTD (up 15.7% on last year). The six month sparkline shows 3,646 crimes in October; 3,903 crimes in November; 3,402 crimes in December; a low of 3,350 crimes in January; 3,606 crimes in February and a high of 4,124 crimes in March.&#10;"/>
                    <pic:cNvPicPr/>
                  </pic:nvPicPr>
                  <pic:blipFill>
                    <a:blip r:embed="rId64"/>
                    <a:stretch>
                      <a:fillRect/>
                    </a:stretch>
                  </pic:blipFill>
                  <pic:spPr>
                    <a:xfrm>
                      <a:off x="0" y="0"/>
                      <a:ext cx="6188710" cy="1570355"/>
                    </a:xfrm>
                    <a:prstGeom prst="rect">
                      <a:avLst/>
                    </a:prstGeom>
                  </pic:spPr>
                </pic:pic>
              </a:graphicData>
            </a:graphic>
          </wp:inline>
        </w:drawing>
      </w:r>
    </w:p>
    <w:p w14:paraId="6BB5AF4A" w14:textId="77777777" w:rsidR="00414CD4" w:rsidRDefault="00414CD4" w:rsidP="00491DAC">
      <w:r>
        <w:rPr>
          <w:noProof/>
        </w:rPr>
        <w:drawing>
          <wp:inline distT="0" distB="0" distL="0" distR="0" wp14:anchorId="4EE82EEA" wp14:editId="5597A560">
            <wp:extent cx="6188710" cy="1562100"/>
            <wp:effectExtent l="0" t="0" r="2540" b="0"/>
            <wp:docPr id="1991916270" name="Picture 1" descr="Crimes of Dishonesty Five-Year Comparison Table&#10;The first row shows the five-year mean for group 3 crimes of dishonesty is 100,229.8 compared to 110,913 YTD (up 10.7% on five-year mean). The five-year sparkline shows a low of 88,186 crimes in 2020/21; 91,242 crimes in 2021/22; 102,144 crimes in 2022/23; 110,063 crimes in 2023/24 and a high of 110,913 crimes in 2024/25 YTD.&#10;The second row shows the five-year mean for total housebreaking crimes is 9,746.8 compared to 7,381 YTD (down 24.3% on five-year mean). The five-year sparkline shows a high of 9,664 crimes in 2020/21; 8,465 crimes in 2021/22; 8,754 crimes in 2022/23; 8,991 crimes in 2023/24 and a low of 7,381 crimes in 2024/25 YTD.&#10;The third row shows the five-year mean for total motor vehicle crimes is 11,539.6 compared to 10,280 YTD (down 10.9% on five-year mean). The five-year sparkline shows 10,626 crimes in 2020/21; 10,430 crimes in 2021/22; a high of 11,636 crimes in 2022/23; 11,391 crimes in 2023/24 and a low of 10,280 crimes in 2024/25 YTD.&#10;The fourth row shows the five-year mean for theft by shoplifting crimes is 28,264.4 compared to 44,730 YTD (up 58.3% on five-year mean). The five-year sparkline shows a low of 20,540 crimes in 2020/21; 22,928 crimes in 2021/22; 28,637 crimes in 2022/23; 38,645 crimes in 2023/24 and a high of 44,730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6270" name="Picture 1" descr="Crimes of Dishonesty Five-Year Comparison Table&#10;The first row shows the five-year mean for group 3 crimes of dishonesty is 100,229.8 compared to 110,913 YTD (up 10.7% on five-year mean). The five-year sparkline shows a low of 88,186 crimes in 2020/21; 91,242 crimes in 2021/22; 102,144 crimes in 2022/23; 110,063 crimes in 2023/24 and a high of 110,913 crimes in 2024/25 YTD.&#10;The second row shows the five-year mean for total housebreaking crimes is 9,746.8 compared to 7,381 YTD (down 24.3% on five-year mean). The five-year sparkline shows a high of 9,664 crimes in 2020/21; 8,465 crimes in 2021/22; 8,754 crimes in 2022/23; 8,991 crimes in 2023/24 and a low of 7,381 crimes in 2024/25 YTD.&#10;The third row shows the five-year mean for total motor vehicle crimes is 11,539.6 compared to 10,280 YTD (down 10.9% on five-year mean). The five-year sparkline shows 10,626 crimes in 2020/21; 10,430 crimes in 2021/22; a high of 11,636 crimes in 2022/23; 11,391 crimes in 2023/24 and a low of 10,280 crimes in 2024/25 YTD.&#10;The fourth row shows the five-year mean for theft by shoplifting crimes is 28,264.4 compared to 44,730 YTD (up 58.3% on five-year mean). The five-year sparkline shows a low of 20,540 crimes in 2020/21; 22,928 crimes in 2021/22; 28,637 crimes in 2022/23; 38,645 crimes in 2023/24 and a high of 44,730 crimes in 2024/25 YTD.&#10;"/>
                    <pic:cNvPicPr/>
                  </pic:nvPicPr>
                  <pic:blipFill>
                    <a:blip r:embed="rId65"/>
                    <a:stretch>
                      <a:fillRect/>
                    </a:stretch>
                  </pic:blipFill>
                  <pic:spPr>
                    <a:xfrm>
                      <a:off x="0" y="0"/>
                      <a:ext cx="6188710" cy="1562100"/>
                    </a:xfrm>
                    <a:prstGeom prst="rect">
                      <a:avLst/>
                    </a:prstGeom>
                  </pic:spPr>
                </pic:pic>
              </a:graphicData>
            </a:graphic>
          </wp:inline>
        </w:drawing>
      </w:r>
    </w:p>
    <w:p w14:paraId="115FA5EF" w14:textId="0A20D9E3" w:rsidR="00414CD4" w:rsidRDefault="00414CD4" w:rsidP="00491DAC">
      <w:r>
        <w:rPr>
          <w:noProof/>
        </w:rPr>
        <w:lastRenderedPageBreak/>
        <w:drawing>
          <wp:inline distT="0" distB="0" distL="0" distR="0" wp14:anchorId="4E6EB011" wp14:editId="463C60F1">
            <wp:extent cx="6188710" cy="1576705"/>
            <wp:effectExtent l="0" t="0" r="2540" b="4445"/>
            <wp:docPr id="1380411157" name="Picture 1" descr="Crimes of Dishonesty Detection Rate Comparison Table&#10;The first row shows the detection rate for group 3 crimes of dishonesty was 33.3% in PYTD compared to 35.1% in YTD (up 1.8% points on last year). The five-year detection rate sparkline shows a high of 38.5% in 2020/21; 32.0% in 2021/22; a low of 31.2% in 2022/23; 33.3% in 2023/24 and 35.1% in 2024/25 YTD.&#10;The second row shows the detection rate for total housebreaking crimes was 27.6% in PYTD compared to 32.0% in YTD (up 4.4% points on last year). The five-year detection rate sparkline shows 31.5% in 2020/21; 27.0% in 2021/22; a low of 25.4% in 2022/23; 27.6% in 2023/24 and a high of 32.0% in 2024/25 YTD.&#10;The third row shows the detection rate for total motor vehicle crimes was 29.7% in PYTD compared to 32.4% in YTD (up 3.7% points on last year). The five-year detection rate sparkline shows a high of 37.8% in 2020/21; 29.3% in 2021/22; a low of 27.0% in 2022/23; 29.7% in 2023/24 and 32.4% in 2024/25 YTD.&#10;The fourth row shows the detection rate for theft by shoplifting crimes was 50.3% in PYTD compared to 49.0% in YTD (down 1.3% points on last year). The five-year detection rate sparkline shows a high of 65.7% in 2020/21; 55.9% in 2021/22; 53.3% in 2022/23; 50.3% in 2023/24 and a low of 49.0%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1157" name="Picture 1" descr="Crimes of Dishonesty Detection Rate Comparison Table&#10;The first row shows the detection rate for group 3 crimes of dishonesty was 33.3% in PYTD compared to 35.1% in YTD (up 1.8% points on last year). The five-year detection rate sparkline shows a high of 38.5% in 2020/21; 32.0% in 2021/22; a low of 31.2% in 2022/23; 33.3% in 2023/24 and 35.1% in 2024/25 YTD.&#10;The second row shows the detection rate for total housebreaking crimes was 27.6% in PYTD compared to 32.0% in YTD (up 4.4% points on last year). The five-year detection rate sparkline shows 31.5% in 2020/21; 27.0% in 2021/22; a low of 25.4% in 2022/23; 27.6% in 2023/24 and a high of 32.0% in 2024/25 YTD.&#10;The third row shows the detection rate for total motor vehicle crimes was 29.7% in PYTD compared to 32.4% in YTD (up 3.7% points on last year). The five-year detection rate sparkline shows a high of 37.8% in 2020/21; 29.3% in 2021/22; a low of 27.0% in 2022/23; 29.7% in 2023/24 and 32.4% in 2024/25 YTD.&#10;The fourth row shows the detection rate for theft by shoplifting crimes was 50.3% in PYTD compared to 49.0% in YTD (down 1.3% points on last year). The five-year detection rate sparkline shows a high of 65.7% in 2020/21; 55.9% in 2021/22; 53.3% in 2022/23; 50.3% in 2023/24 and a low of 49.0% in 2024/25 YTD.&#10;"/>
                    <pic:cNvPicPr/>
                  </pic:nvPicPr>
                  <pic:blipFill>
                    <a:blip r:embed="rId66"/>
                    <a:stretch>
                      <a:fillRect/>
                    </a:stretch>
                  </pic:blipFill>
                  <pic:spPr>
                    <a:xfrm>
                      <a:off x="0" y="0"/>
                      <a:ext cx="6188710" cy="1576705"/>
                    </a:xfrm>
                    <a:prstGeom prst="rect">
                      <a:avLst/>
                    </a:prstGeom>
                  </pic:spPr>
                </pic:pic>
              </a:graphicData>
            </a:graphic>
          </wp:inline>
        </w:drawing>
      </w:r>
    </w:p>
    <w:p w14:paraId="3C84DEC6" w14:textId="3F7EAAB4" w:rsidR="0095021C" w:rsidRPr="007D72C9" w:rsidRDefault="00A42CA2" w:rsidP="0095021C">
      <w:r>
        <w:t>C</w:t>
      </w:r>
      <w:r w:rsidR="00EB4771">
        <w:t xml:space="preserve">rimes of dishonesty continue to increase compared to the previous year (up 0.8%) and five-year mean (up 10.7%). The rate of increase in these crimes has notably reduced having recorded a 9.1% rise at the end of last year. </w:t>
      </w:r>
      <w:r w:rsidR="00EB4771" w:rsidRPr="007D6815">
        <w:t>It should be noted that the five-year mean has been affected by the COVID-19 period where there was a significant decrease in the number of crimes of dishonesty recorded</w:t>
      </w:r>
      <w:r w:rsidR="00EB4771">
        <w:t xml:space="preserve">. </w:t>
      </w:r>
      <w:r w:rsidR="00EB4771" w:rsidRPr="007D6815">
        <w:t>Comparing to the first year before COVID-19 (2019/20) the current figures are slightly increased (1,</w:t>
      </w:r>
      <w:r w:rsidR="00EB4771">
        <w:t>399</w:t>
      </w:r>
      <w:r w:rsidR="00EB4771" w:rsidRPr="007D6815">
        <w:t xml:space="preserve"> more, up 1.</w:t>
      </w:r>
      <w:r w:rsidR="00EB4771">
        <w:t>3</w:t>
      </w:r>
      <w:r w:rsidR="00EB4771" w:rsidRPr="007D6815">
        <w:t>%).</w:t>
      </w:r>
    </w:p>
    <w:p w14:paraId="2922F082" w14:textId="0F921D24" w:rsidR="00EB4771" w:rsidRDefault="001A6E81" w:rsidP="0095021C">
      <w:r>
        <w:t xml:space="preserve">Shoplifting crimes continues to be the main contributor to this increase, if these crimes were removed from the total, then there is a 7.5% decrease (5,235 </w:t>
      </w:r>
      <w:r w:rsidR="00782482">
        <w:t xml:space="preserve">fewer </w:t>
      </w:r>
      <w:r>
        <w:t xml:space="preserve">crimes) in crimes of dishonesty compared to last year. </w:t>
      </w:r>
      <w:r w:rsidRPr="007D6815">
        <w:t>Aside from Theft by Shoplifting, which has risen by 1</w:t>
      </w:r>
      <w:r>
        <w:t>5.</w:t>
      </w:r>
      <w:r w:rsidR="00897E0A">
        <w:t>7</w:t>
      </w:r>
      <w:r w:rsidRPr="007D6815">
        <w:t xml:space="preserve">% compared to the previous year, there have also been increases in Opening Lockfast Places (not motor vehicle) which increased by </w:t>
      </w:r>
      <w:r>
        <w:t>66</w:t>
      </w:r>
      <w:r w:rsidRPr="007D6815">
        <w:t xml:space="preserve"> crimes (up </w:t>
      </w:r>
      <w:r>
        <w:t>4</w:t>
      </w:r>
      <w:r w:rsidRPr="007D6815">
        <w:t>.8%) and Attempted Theft of a Motor Vehicle (</w:t>
      </w:r>
      <w:r>
        <w:t>66</w:t>
      </w:r>
      <w:r w:rsidRPr="007D6815">
        <w:t xml:space="preserve"> more crimes, up </w:t>
      </w:r>
      <w:r>
        <w:t>13.6</w:t>
      </w:r>
      <w:r w:rsidRPr="007D72C9">
        <w:t>%).</w:t>
      </w:r>
    </w:p>
    <w:p w14:paraId="00D2FCEB" w14:textId="17463AD3" w:rsidR="00502516" w:rsidRPr="007D72C9" w:rsidRDefault="00502516" w:rsidP="0095021C">
      <w:r>
        <w:t>Notable</w:t>
      </w:r>
      <w:r w:rsidRPr="00502516">
        <w:t xml:space="preserve"> decreases </w:t>
      </w:r>
      <w:r>
        <w:t xml:space="preserve">have been experienced </w:t>
      </w:r>
      <w:r w:rsidRPr="00502516">
        <w:t>in Overall Housebreaking crimes, which decreased by 1,</w:t>
      </w:r>
      <w:r>
        <w:t>610</w:t>
      </w:r>
      <w:r w:rsidRPr="00502516">
        <w:t xml:space="preserve"> (down 1</w:t>
      </w:r>
      <w:r>
        <w:t>7.9</w:t>
      </w:r>
      <w:r w:rsidRPr="00502516">
        <w:t xml:space="preserve">%), </w:t>
      </w:r>
      <w:r>
        <w:t>Common Theft,</w:t>
      </w:r>
      <w:r w:rsidRPr="00502516">
        <w:t xml:space="preserve"> down </w:t>
      </w:r>
      <w:r>
        <w:t>1,384</w:t>
      </w:r>
      <w:r w:rsidRPr="00502516">
        <w:t xml:space="preserve"> crimes (</w:t>
      </w:r>
      <w:r>
        <w:t>5.3</w:t>
      </w:r>
      <w:r w:rsidRPr="00502516">
        <w:t>%) and</w:t>
      </w:r>
      <w:r>
        <w:t xml:space="preserve"> in Fraud</w:t>
      </w:r>
      <w:r w:rsidRPr="00502516">
        <w:t xml:space="preserve">, which decreased by </w:t>
      </w:r>
      <w:r>
        <w:t>990</w:t>
      </w:r>
      <w:r w:rsidRPr="00502516">
        <w:t xml:space="preserve"> (down </w:t>
      </w:r>
      <w:r>
        <w:t>6.1</w:t>
      </w:r>
      <w:r w:rsidRPr="00502516">
        <w:t>%).</w:t>
      </w:r>
    </w:p>
    <w:p w14:paraId="506335BC" w14:textId="77777777" w:rsidR="0095021C" w:rsidRDefault="0095021C" w:rsidP="000603A2">
      <w:pPr>
        <w:pStyle w:val="Heading4"/>
      </w:pPr>
      <w:r>
        <w:t>Shoplifting</w:t>
      </w:r>
    </w:p>
    <w:p w14:paraId="43EBB0ED" w14:textId="4AE7049D" w:rsidR="004827FE" w:rsidRDefault="004827FE" w:rsidP="004827FE">
      <w:r>
        <w:t>Crimes of shoplifting account for 40.3% of all crimes of dishonesty and are continuing the upwards trend observed in the previous two years. Shoplifting crimes have increased by 14,158 (up 46.3%) compared to the pre-COVID-19 year of 2019/20. Compared to the same period last year there has been an increase of 6,085 crimes (up 15.7%) and all regions of Scotland are continuing to experience increases for this crime type.</w:t>
      </w:r>
    </w:p>
    <w:p w14:paraId="76925F01" w14:textId="00DEE985" w:rsidR="0095021C" w:rsidRDefault="004827FE" w:rsidP="0095021C">
      <w:r>
        <w:t>The detection rate for shoplifting crimes has decreased by 1.3 percentage points to 49.0%. This is despite an increase in detections YTD, rising 12.7% (2,460 detections) to 21,898.</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0C66D5" w:rsidRPr="0003495F" w14:paraId="3EEDAF22" w14:textId="77777777" w:rsidTr="00270D60">
        <w:trPr>
          <w:trHeight w:val="680"/>
          <w:tblHeader/>
        </w:trPr>
        <w:tc>
          <w:tcPr>
            <w:tcW w:w="9862" w:type="dxa"/>
            <w:shd w:val="clear" w:color="auto" w:fill="FFE599" w:themeFill="accent4" w:themeFillTint="66"/>
            <w:vAlign w:val="center"/>
            <w:hideMark/>
          </w:tcPr>
          <w:p w14:paraId="362184BA" w14:textId="247DB95F" w:rsidR="000C66D5" w:rsidRPr="00D87D1B" w:rsidRDefault="000C66D5" w:rsidP="00270D60">
            <w:pPr>
              <w:pStyle w:val="TableHeaderLeft"/>
              <w:rPr>
                <w:color w:val="000000" w:themeColor="text1"/>
              </w:rPr>
            </w:pPr>
            <w:bookmarkStart w:id="41" w:name="RetailCrime"/>
            <w:bookmarkEnd w:id="41"/>
            <w:r w:rsidRPr="00D87D1B">
              <w:rPr>
                <w:color w:val="000000" w:themeColor="text1"/>
              </w:rPr>
              <w:t xml:space="preserve">Proactive/Preventative Policing – </w:t>
            </w:r>
            <w:r w:rsidRPr="000C66D5">
              <w:rPr>
                <w:color w:val="000000" w:themeColor="text1"/>
              </w:rPr>
              <w:t>Retail Crime Taskforce (RCTF)</w:t>
            </w:r>
          </w:p>
        </w:tc>
      </w:tr>
      <w:tr w:rsidR="000C66D5" w:rsidRPr="0003495F" w14:paraId="43272E54" w14:textId="77777777" w:rsidTr="00270D60">
        <w:trPr>
          <w:trHeight w:val="680"/>
        </w:trPr>
        <w:tc>
          <w:tcPr>
            <w:tcW w:w="9862" w:type="dxa"/>
            <w:shd w:val="clear" w:color="auto" w:fill="FFF2CC" w:themeFill="accent4" w:themeFillTint="33"/>
            <w:vAlign w:val="center"/>
            <w:hideMark/>
          </w:tcPr>
          <w:p w14:paraId="1B099629" w14:textId="35E0A9B2" w:rsidR="000C66D5" w:rsidRDefault="000C66D5" w:rsidP="000C66D5">
            <w:pPr>
              <w:pStyle w:val="TableBodyLeft"/>
            </w:pPr>
            <w:r>
              <w:t xml:space="preserve">The Retail Crime Taskforce (RCTF) will commence from </w:t>
            </w:r>
            <w:r w:rsidR="00782482">
              <w:t>0</w:t>
            </w:r>
            <w:r>
              <w:t>1 April 2025 and will deliver on each of the 4Ps of the acquisitive crime strategy, Prevent, Pursue, Prepare, Protect. The creation of the RCTF will “Provide a visible and measurable impact on retail crime</w:t>
            </w:r>
            <w:r w:rsidR="003756F3">
              <w:t>.”</w:t>
            </w:r>
          </w:p>
          <w:p w14:paraId="59D258B1" w14:textId="0AEA0D49" w:rsidR="000C66D5" w:rsidRDefault="000C66D5" w:rsidP="000C66D5">
            <w:pPr>
              <w:pStyle w:val="TableBodyLeft"/>
            </w:pPr>
            <w:r>
              <w:t>This will be achieved through three primary initiatives which will form the Retail Crime Taskforce;</w:t>
            </w:r>
          </w:p>
          <w:p w14:paraId="75A1682C" w14:textId="500C6C94" w:rsidR="000C66D5" w:rsidRDefault="000C66D5" w:rsidP="000C66D5">
            <w:pPr>
              <w:pStyle w:val="TableBodyLeft"/>
              <w:numPr>
                <w:ilvl w:val="0"/>
                <w:numId w:val="13"/>
              </w:numPr>
            </w:pPr>
            <w:r>
              <w:lastRenderedPageBreak/>
              <w:t>The creation of a dedicated multi-agency team led by a dedicated Chief Inspector to progress work across all 4P’s.</w:t>
            </w:r>
          </w:p>
          <w:p w14:paraId="4C265313" w14:textId="07AE596A" w:rsidR="000C66D5" w:rsidRDefault="000C66D5" w:rsidP="000C66D5">
            <w:pPr>
              <w:pStyle w:val="TableBodyLeft"/>
              <w:numPr>
                <w:ilvl w:val="0"/>
                <w:numId w:val="13"/>
              </w:numPr>
            </w:pPr>
            <w:r>
              <w:t>The availability of funding to support key work across all four pillars to target criminality and develop prototypes for wider rollout.</w:t>
            </w:r>
          </w:p>
          <w:p w14:paraId="754DD9BD" w14:textId="46A8DD59" w:rsidR="000C66D5" w:rsidRDefault="000C66D5" w:rsidP="000C66D5">
            <w:pPr>
              <w:pStyle w:val="TableBodyLeft"/>
              <w:numPr>
                <w:ilvl w:val="0"/>
                <w:numId w:val="13"/>
              </w:numPr>
            </w:pPr>
            <w:r>
              <w:t>The establishment of the Scottish Partnership Against Acquisitive Crime, which will coordinate the collaborative efforts to deliver on the 4P strategy at both a national and local level and hold the RCTF to account for delivery.</w:t>
            </w:r>
          </w:p>
          <w:p w14:paraId="6C242EE0" w14:textId="260E1611" w:rsidR="000C66D5" w:rsidRPr="0071236A" w:rsidRDefault="000C66D5" w:rsidP="000C66D5">
            <w:pPr>
              <w:pStyle w:val="TableBodyLeft"/>
            </w:pPr>
            <w:r>
              <w:t>The delivery of the Acquisitive Crime Strategy (4Ps) by the RCTF will be overseen at strategic level by the SPAACE</w:t>
            </w:r>
            <w:r w:rsidR="005A51E5">
              <w:t xml:space="preserve"> </w:t>
            </w:r>
            <w:r>
              <w:t>(Scottish Partnership Against Acquisitive Crime) Steering Group and at tactical level by the National Acquisitive Crime Group (NACG).</w:t>
            </w:r>
          </w:p>
        </w:tc>
      </w:tr>
    </w:tbl>
    <w:p w14:paraId="6853A96A" w14:textId="77777777" w:rsidR="0095021C" w:rsidRDefault="0095021C" w:rsidP="000603A2">
      <w:pPr>
        <w:pStyle w:val="Heading4"/>
      </w:pPr>
      <w:r>
        <w:lastRenderedPageBreak/>
        <w:t>Housebreaking</w:t>
      </w:r>
    </w:p>
    <w:p w14:paraId="71FB8DDE" w14:textId="36DBAA3E" w:rsidR="004827FE" w:rsidRDefault="004827FE" w:rsidP="004827FE">
      <w:r>
        <w:t xml:space="preserve">Overall housebreaking crimes have decreased by 1,610 crimes (down 17.9%) on last year and decreased by </w:t>
      </w:r>
      <w:r w:rsidR="000E086D">
        <w:t xml:space="preserve">2,365 </w:t>
      </w:r>
      <w:r>
        <w:t>crimes (down 2</w:t>
      </w:r>
      <w:r w:rsidR="00D35364">
        <w:t>4.3</w:t>
      </w:r>
      <w:r>
        <w:t xml:space="preserve">%) compared to the five-year mean. When compared to the pre-COVID-19 year of 2019/20, there has been an overall decrease of </w:t>
      </w:r>
      <w:r w:rsidR="00D35364">
        <w:t>5,479</w:t>
      </w:r>
      <w:r>
        <w:t xml:space="preserve"> (down 4</w:t>
      </w:r>
      <w:r w:rsidR="00D35364">
        <w:t>2.6</w:t>
      </w:r>
      <w:r>
        <w:t>%) crimes.</w:t>
      </w:r>
    </w:p>
    <w:p w14:paraId="46EA91A7" w14:textId="34170E00" w:rsidR="006760E0" w:rsidRDefault="006760E0" w:rsidP="004827FE">
      <w:r>
        <w:t>All areas of housebreaking have decreased with dwelling housebreakings down</w:t>
      </w:r>
      <w:r w:rsidR="004E6957">
        <w:t xml:space="preserve"> 23.7% (1,135 </w:t>
      </w:r>
      <w:r w:rsidR="00782482">
        <w:t xml:space="preserve">fewer </w:t>
      </w:r>
      <w:r w:rsidR="004E6957">
        <w:t xml:space="preserve">crimes), non-dwelling housebreakings down 15.6% (282 </w:t>
      </w:r>
      <w:r w:rsidR="00782482">
        <w:t xml:space="preserve">fewer </w:t>
      </w:r>
      <w:r w:rsidR="004E6957">
        <w:t xml:space="preserve">crimes) and other housebreakings down 8.1% (193 </w:t>
      </w:r>
      <w:r w:rsidR="00782482">
        <w:t xml:space="preserve">fewer </w:t>
      </w:r>
      <w:r w:rsidR="004E6957">
        <w:t>crimes).</w:t>
      </w:r>
    </w:p>
    <w:p w14:paraId="46D73909" w14:textId="4D813B6C" w:rsidR="006760E0" w:rsidRPr="006760E0" w:rsidRDefault="004827FE" w:rsidP="004827FE">
      <w:r>
        <w:t xml:space="preserve">Detections have decreased </w:t>
      </w:r>
      <w:r w:rsidR="006760E0">
        <w:t>4.6</w:t>
      </w:r>
      <w:r>
        <w:t>% (</w:t>
      </w:r>
      <w:r w:rsidR="006760E0">
        <w:t>115</w:t>
      </w:r>
      <w:r>
        <w:t xml:space="preserve"> fewer detections) compared to the same period last year, leading to a 4.</w:t>
      </w:r>
      <w:r w:rsidR="006760E0">
        <w:t>5</w:t>
      </w:r>
      <w:r>
        <w:t xml:space="preserve"> percentage point increase in detection rate which now sits at 32.0%.</w:t>
      </w:r>
    </w:p>
    <w:p w14:paraId="7F59C8CF" w14:textId="481105B1" w:rsidR="0095021C" w:rsidRDefault="0095021C" w:rsidP="000603A2">
      <w:pPr>
        <w:pStyle w:val="Heading4"/>
      </w:pPr>
      <w:r>
        <w:t>Vehicle Crime</w:t>
      </w:r>
    </w:p>
    <w:p w14:paraId="6338F7F4" w14:textId="77777777" w:rsidR="000C66D5" w:rsidRDefault="00947393" w:rsidP="0095021C">
      <w:r w:rsidRPr="00947393">
        <w:t>Motor vehicle crime has decreased compared to the previous year (</w:t>
      </w:r>
      <w:r>
        <w:t>1,111</w:t>
      </w:r>
      <w:r w:rsidRPr="00947393">
        <w:t xml:space="preserve"> fewer, down </w:t>
      </w:r>
      <w:r>
        <w:t>9.8</w:t>
      </w:r>
      <w:r w:rsidRPr="00947393">
        <w:t>%) and compared to the five-year mean (</w:t>
      </w:r>
      <w:r>
        <w:t>1,269</w:t>
      </w:r>
      <w:r w:rsidRPr="00947393">
        <w:t xml:space="preserve"> fewer, down </w:t>
      </w:r>
      <w:r>
        <w:t>11.0</w:t>
      </w:r>
      <w:r w:rsidRPr="00947393">
        <w:t xml:space="preserve">%). There has been a significant decrease in motor vehicle crime compared to the pre-COVID-19 period, with </w:t>
      </w:r>
      <w:r>
        <w:t>3,385</w:t>
      </w:r>
      <w:r w:rsidRPr="00947393">
        <w:t xml:space="preserve"> (down 2</w:t>
      </w:r>
      <w:r>
        <w:t>4.8</w:t>
      </w:r>
      <w:r w:rsidRPr="00947393">
        <w:t>%) fewer crimes.</w:t>
      </w:r>
    </w:p>
    <w:p w14:paraId="12EBF9F3" w14:textId="77777777" w:rsidR="000C66D5" w:rsidRDefault="00947393" w:rsidP="0095021C">
      <w:r w:rsidRPr="00947393">
        <w:t xml:space="preserve">The only crime under this grouping which has increased compared to the previous year is Attempt Theft of Motor Vehicle which has observed an increase of </w:t>
      </w:r>
      <w:r>
        <w:t>66</w:t>
      </w:r>
      <w:r w:rsidRPr="00947393">
        <w:t xml:space="preserve"> crimes (up 1</w:t>
      </w:r>
      <w:r>
        <w:t>3.6</w:t>
      </w:r>
      <w:r w:rsidRPr="00947393">
        <w:t xml:space="preserve">%). </w:t>
      </w:r>
    </w:p>
    <w:p w14:paraId="32799CEB" w14:textId="1B8D330B" w:rsidR="0095021C" w:rsidRPr="007D6815" w:rsidRDefault="00947393" w:rsidP="0095021C">
      <w:r w:rsidRPr="00947393">
        <w:t xml:space="preserve">Detections for motor vehicle crimes have slightly </w:t>
      </w:r>
      <w:r w:rsidR="00FD2639">
        <w:t>de</w:t>
      </w:r>
      <w:r w:rsidRPr="00947393">
        <w:t xml:space="preserve">creased by </w:t>
      </w:r>
      <w:r w:rsidR="00FD2639">
        <w:t>1.7</w:t>
      </w:r>
      <w:r w:rsidRPr="00947393">
        <w:t xml:space="preserve">% with the detection rate up </w:t>
      </w:r>
      <w:r w:rsidR="00FD2639">
        <w:t>2.7</w:t>
      </w:r>
      <w:r w:rsidRPr="00947393">
        <w:t xml:space="preserve"> percentage points on last year.</w:t>
      </w:r>
    </w:p>
    <w:p w14:paraId="7E85B69D" w14:textId="700D978A" w:rsidR="0095021C" w:rsidRDefault="0095021C" w:rsidP="000603A2">
      <w:pPr>
        <w:pStyle w:val="Heading4"/>
      </w:pPr>
      <w:r w:rsidRPr="001136E9">
        <w:t>Fraud</w:t>
      </w:r>
    </w:p>
    <w:p w14:paraId="00E29407" w14:textId="77777777" w:rsidR="00EF6752" w:rsidRDefault="00EF6752" w:rsidP="0095021C">
      <w:r>
        <w:rPr>
          <w:noProof/>
        </w:rPr>
        <w:drawing>
          <wp:inline distT="0" distB="0" distL="0" distR="0" wp14:anchorId="7B533A8C" wp14:editId="36FAE80F">
            <wp:extent cx="6188710" cy="668020"/>
            <wp:effectExtent l="0" t="0" r="2540" b="0"/>
            <wp:docPr id="1131734306" name="Picture 1" descr="Fraud YTD Comparison Table&#10;This table shows 16,243 fraud crimes PYTD compared to 15,253 YTD (down 6.1% on last year). The six month sparkline shows a high of 1,366 crimes in October, 1,279 crimes in November; 1,285 crimes in December; 1,337 crimes in January; a low of 1,238 crimes in February and 1,317 crimes in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34306" name="Picture 1" descr="Fraud YTD Comparison Table&#10;This table shows 16,243 fraud crimes PYTD compared to 15,253 YTD (down 6.1% on last year). The six month sparkline shows a high of 1,366 crimes in October, 1,279 crimes in November; 1,285 crimes in December; 1,337 crimes in January; a low of 1,238 crimes in February and 1,317 crimes in March.&#10;"/>
                    <pic:cNvPicPr/>
                  </pic:nvPicPr>
                  <pic:blipFill>
                    <a:blip r:embed="rId67"/>
                    <a:stretch>
                      <a:fillRect/>
                    </a:stretch>
                  </pic:blipFill>
                  <pic:spPr>
                    <a:xfrm>
                      <a:off x="0" y="0"/>
                      <a:ext cx="6188710" cy="668020"/>
                    </a:xfrm>
                    <a:prstGeom prst="rect">
                      <a:avLst/>
                    </a:prstGeom>
                  </pic:spPr>
                </pic:pic>
              </a:graphicData>
            </a:graphic>
          </wp:inline>
        </w:drawing>
      </w:r>
    </w:p>
    <w:p w14:paraId="46637587" w14:textId="77777777" w:rsidR="00EF6752" w:rsidRDefault="00EF6752" w:rsidP="0095021C">
      <w:r>
        <w:rPr>
          <w:noProof/>
        </w:rPr>
        <w:lastRenderedPageBreak/>
        <w:drawing>
          <wp:inline distT="0" distB="0" distL="0" distR="0" wp14:anchorId="3F6CB41C" wp14:editId="0A7F90CE">
            <wp:extent cx="6188710" cy="668020"/>
            <wp:effectExtent l="0" t="0" r="2540" b="0"/>
            <wp:docPr id="1646043988" name="Picture 1" descr="Fraud Five-Year Comparison Table&#10;This table shows the five-year mean for fraud crimes is 14,552.2 compared to 15,253 YTD (up 4.8% on five-year mean). The five-year sparkline shows a low of 13,879 crimes in 2020/21; 15,528 crimes in 2021/22; a high of 16,258 crimes in 2022/23; 16,243 crimes in 2023/24 and 15,253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43988" name="Picture 1" descr="Fraud Five-Year Comparison Table&#10;This table shows the five-year mean for fraud crimes is 14,552.2 compared to 15,253 YTD (up 4.8% on five-year mean). The five-year sparkline shows a low of 13,879 crimes in 2020/21; 15,528 crimes in 2021/22; a high of 16,258 crimes in 2022/23; 16,243 crimes in 2023/24 and 15,253 crimes in 2024/25 YTD.&#10;"/>
                    <pic:cNvPicPr/>
                  </pic:nvPicPr>
                  <pic:blipFill>
                    <a:blip r:embed="rId68"/>
                    <a:stretch>
                      <a:fillRect/>
                    </a:stretch>
                  </pic:blipFill>
                  <pic:spPr>
                    <a:xfrm>
                      <a:off x="0" y="0"/>
                      <a:ext cx="6188710" cy="668020"/>
                    </a:xfrm>
                    <a:prstGeom prst="rect">
                      <a:avLst/>
                    </a:prstGeom>
                  </pic:spPr>
                </pic:pic>
              </a:graphicData>
            </a:graphic>
          </wp:inline>
        </w:drawing>
      </w:r>
    </w:p>
    <w:p w14:paraId="4827EB3F" w14:textId="77777777" w:rsidR="00EF6752" w:rsidRDefault="00EF6752" w:rsidP="0095021C">
      <w:r>
        <w:rPr>
          <w:noProof/>
        </w:rPr>
        <w:drawing>
          <wp:inline distT="0" distB="0" distL="0" distR="0" wp14:anchorId="791D13DC" wp14:editId="49A1AEDB">
            <wp:extent cx="6188710" cy="669290"/>
            <wp:effectExtent l="0" t="0" r="2540" b="0"/>
            <wp:docPr id="354239782" name="Picture 1" descr="Fraud Detection Rate Comparison Table&#10;This table shows the detection rate for fraud crimes was 16.7% in PYTD compared to 19.2% in YTD (up 2.5% points on last year). The five-year detection rate sparkline shows a high of 24.3% in 2020/21; 17.3% in 2021/22; a low of 16.5% in 2022/23; 16.7% in 2023/24 and 19.2%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39782" name="Picture 1" descr="Fraud Detection Rate Comparison Table&#10;This table shows the detection rate for fraud crimes was 16.7% in PYTD compared to 19.2% in YTD (up 2.5% points on last year). The five-year detection rate sparkline shows a high of 24.3% in 2020/21; 17.3% in 2021/22; a low of 16.5% in 2022/23; 16.7% in 2023/24 and 19.2% in 2024/25 YTD.&#10;"/>
                    <pic:cNvPicPr/>
                  </pic:nvPicPr>
                  <pic:blipFill>
                    <a:blip r:embed="rId69"/>
                    <a:stretch>
                      <a:fillRect/>
                    </a:stretch>
                  </pic:blipFill>
                  <pic:spPr>
                    <a:xfrm>
                      <a:off x="0" y="0"/>
                      <a:ext cx="6188710" cy="669290"/>
                    </a:xfrm>
                    <a:prstGeom prst="rect">
                      <a:avLst/>
                    </a:prstGeom>
                  </pic:spPr>
                </pic:pic>
              </a:graphicData>
            </a:graphic>
          </wp:inline>
        </w:drawing>
      </w:r>
    </w:p>
    <w:p w14:paraId="0D3CAAE9" w14:textId="77777777" w:rsidR="000C66D5" w:rsidRDefault="0032581A" w:rsidP="0095021C">
      <w:r w:rsidRPr="0032581A">
        <w:t xml:space="preserve">The decrease in recorded fraud crimes has continued this quarter and are now down </w:t>
      </w:r>
      <w:r>
        <w:t>6.1</w:t>
      </w:r>
      <w:r w:rsidRPr="0032581A">
        <w:t>% on the same period last year (</w:t>
      </w:r>
      <w:r>
        <w:t>99</w:t>
      </w:r>
      <w:r w:rsidRPr="0032581A">
        <w:t xml:space="preserve">0 fewer crimes). Compared to the five-year mean there remains an increase of </w:t>
      </w:r>
      <w:r>
        <w:t>4.8</w:t>
      </w:r>
      <w:r w:rsidRPr="0032581A">
        <w:t>% and the current total is 4</w:t>
      </w:r>
      <w:r>
        <w:t>0.5</w:t>
      </w:r>
      <w:r w:rsidRPr="0032581A">
        <w:t>% higher than the most recent pre-COVID-19 year (</w:t>
      </w:r>
      <w:r>
        <w:t>4,400</w:t>
      </w:r>
      <w:r w:rsidRPr="0032581A">
        <w:t xml:space="preserve"> more crimes).</w:t>
      </w:r>
    </w:p>
    <w:p w14:paraId="23E84B8E" w14:textId="4FC2FA97" w:rsidR="0095021C" w:rsidRDefault="0032581A" w:rsidP="0095021C">
      <w:r w:rsidRPr="0032581A">
        <w:t>The detection rate for fraud has seen a 2.</w:t>
      </w:r>
      <w:r>
        <w:t>5</w:t>
      </w:r>
      <w:r w:rsidRPr="0032581A">
        <w:t xml:space="preserve"> percentage point increase compared to the same period last year, </w:t>
      </w:r>
      <w:r w:rsidR="003756F3" w:rsidRPr="0032581A">
        <w:t>however,</w:t>
      </w:r>
      <w:r w:rsidRPr="0032581A">
        <w:t xml:space="preserve"> remains 1.</w:t>
      </w:r>
      <w:r>
        <w:t>1</w:t>
      </w:r>
      <w:r w:rsidRPr="0032581A">
        <w:t xml:space="preserve"> percentage points below the five-year mean detection rate.</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0C66D5" w:rsidRPr="0003495F" w14:paraId="707C7A8A" w14:textId="77777777" w:rsidTr="00270D60">
        <w:trPr>
          <w:trHeight w:val="680"/>
          <w:tblHeader/>
        </w:trPr>
        <w:tc>
          <w:tcPr>
            <w:tcW w:w="9862" w:type="dxa"/>
            <w:shd w:val="clear" w:color="auto" w:fill="FFE599" w:themeFill="accent4" w:themeFillTint="66"/>
            <w:vAlign w:val="center"/>
            <w:hideMark/>
          </w:tcPr>
          <w:p w14:paraId="7C66028B" w14:textId="56661E1D" w:rsidR="000C66D5" w:rsidRPr="00D87D1B" w:rsidRDefault="000C66D5" w:rsidP="00270D60">
            <w:pPr>
              <w:pStyle w:val="TableHeaderLeft"/>
              <w:rPr>
                <w:color w:val="000000" w:themeColor="text1"/>
              </w:rPr>
            </w:pPr>
            <w:bookmarkStart w:id="42" w:name="CyberFraud"/>
            <w:bookmarkEnd w:id="42"/>
            <w:r w:rsidRPr="00D87D1B">
              <w:rPr>
                <w:color w:val="000000" w:themeColor="text1"/>
              </w:rPr>
              <w:t xml:space="preserve">Proactive/Preventative Policing – </w:t>
            </w:r>
            <w:r>
              <w:t xml:space="preserve">  </w:t>
            </w:r>
            <w:r w:rsidRPr="000C66D5">
              <w:t>Cyber &amp; Fraud Unit</w:t>
            </w:r>
          </w:p>
        </w:tc>
      </w:tr>
      <w:tr w:rsidR="000C66D5" w:rsidRPr="0003495F" w14:paraId="6E69055B" w14:textId="77777777" w:rsidTr="00270D60">
        <w:trPr>
          <w:trHeight w:val="680"/>
        </w:trPr>
        <w:tc>
          <w:tcPr>
            <w:tcW w:w="9862" w:type="dxa"/>
            <w:shd w:val="clear" w:color="auto" w:fill="FFF2CC" w:themeFill="accent4" w:themeFillTint="33"/>
            <w:vAlign w:val="center"/>
            <w:hideMark/>
          </w:tcPr>
          <w:p w14:paraId="47D0F298" w14:textId="76F6A8BE" w:rsidR="000C66D5" w:rsidRDefault="000C66D5" w:rsidP="000C66D5">
            <w:pPr>
              <w:pStyle w:val="TableBodyLeft"/>
            </w:pPr>
            <w:r>
              <w:t>A new Cyber and Fraud Unit (CAFU) has gone live within Specialist Crime Division (SCD) bringing together existing departments including, Cybercrime Investigations and Digital Forensics, Serious and Organised Crime Financial Investigation, Cyber Harm Prevention, and Policing in a Digital World Programme.</w:t>
            </w:r>
          </w:p>
          <w:p w14:paraId="35F79014" w14:textId="57406EC1" w:rsidR="000C66D5" w:rsidRDefault="000C66D5" w:rsidP="000C66D5">
            <w:pPr>
              <w:pStyle w:val="TableBodyLeft"/>
            </w:pPr>
            <w:r>
              <w:t>Established as part of the Chief Constable's three-year business plan, it has been introduced to develop our capability and enhance our response to Cyber and Fraud in Scotland.</w:t>
            </w:r>
          </w:p>
          <w:p w14:paraId="68D92B8F" w14:textId="5C4B8177" w:rsidR="000C66D5" w:rsidRPr="0071236A" w:rsidRDefault="000C66D5" w:rsidP="000C66D5">
            <w:pPr>
              <w:pStyle w:val="TableBodyLeft"/>
            </w:pPr>
            <w:r>
              <w:t>The CAFU was referenced under the Fraud Strategy and Operating Model Project, led by our Policing in a Digital World Programme (PDWP). This project includes implementation of a revised Cyber and Fraud Target Operating Model (TOM) which will be phased out over the coming years, bringing us more aligned with wider UK Law Enforcement through a 4 P's approach (Pursue, Prevent, Protect and Prepare)</w:t>
            </w:r>
            <w:r w:rsidRPr="002F47D2">
              <w:t>.</w:t>
            </w:r>
          </w:p>
        </w:tc>
      </w:tr>
    </w:tbl>
    <w:p w14:paraId="49207330" w14:textId="77777777" w:rsidR="0095021C" w:rsidRPr="001675D8" w:rsidRDefault="0095021C" w:rsidP="000603A2">
      <w:pPr>
        <w:pStyle w:val="Heading4"/>
        <w:rPr>
          <w:lang w:eastAsia="en-GB"/>
        </w:rPr>
      </w:pPr>
      <w:r w:rsidRPr="001675D8">
        <w:rPr>
          <w:lang w:eastAsia="en-GB"/>
        </w:rPr>
        <w:t>Cybercrime</w:t>
      </w:r>
      <w:r>
        <w:rPr>
          <w:lang w:eastAsia="en-GB"/>
        </w:rPr>
        <w:t xml:space="preserve"> (Strategic Outcome 2)</w:t>
      </w:r>
    </w:p>
    <w:p w14:paraId="35E74B32" w14:textId="0F81B1C9" w:rsidR="00596BB4" w:rsidRDefault="00596BB4" w:rsidP="00F72625">
      <w:bookmarkStart w:id="43" w:name="_Hlk196306938"/>
      <w:r w:rsidRPr="00596BB4">
        <w:t>We recognise that cybercrime continues to be a significant global issue and the threat of becoming a victim of cybercrime remains ever present.</w:t>
      </w:r>
      <w:r>
        <w:t xml:space="preserve"> </w:t>
      </w:r>
      <w:r w:rsidRPr="00596BB4">
        <w:t>Many crimes now have a cyber footprint</w:t>
      </w:r>
      <w:r>
        <w:t xml:space="preserve"> and despite the</w:t>
      </w:r>
      <w:r w:rsidRPr="00596BB4">
        <w:t xml:space="preserve"> efficiencies</w:t>
      </w:r>
      <w:r>
        <w:t xml:space="preserve"> the internet has brought</w:t>
      </w:r>
      <w:r w:rsidRPr="00596BB4">
        <w:t xml:space="preserve"> to the ways we live and work, </w:t>
      </w:r>
      <w:r>
        <w:t>there are also</w:t>
      </w:r>
      <w:r w:rsidRPr="00596BB4">
        <w:t xml:space="preserve"> risks, like exposure of inappropriate content to young people, cyberbullying and scams</w:t>
      </w:r>
      <w:r>
        <w:t>.</w:t>
      </w:r>
    </w:p>
    <w:p w14:paraId="5B9838D0" w14:textId="5DE5D0A2" w:rsidR="007F37CD" w:rsidRDefault="007F37CD" w:rsidP="00F72625">
      <w:r>
        <w:t>In September 2024, Chief Constable Farrell outlined ‘Our 2030 Vision’ which focused on the four key areas of: Safer Communities</w:t>
      </w:r>
      <w:bookmarkEnd w:id="43"/>
      <w:r w:rsidR="00F72625">
        <w:t xml:space="preserve">; </w:t>
      </w:r>
      <w:r>
        <w:t>Less Crime</w:t>
      </w:r>
      <w:r w:rsidR="00F72625">
        <w:t xml:space="preserve">; </w:t>
      </w:r>
      <w:r>
        <w:t>Supported Victims</w:t>
      </w:r>
      <w:r w:rsidR="00F72625">
        <w:t xml:space="preserve">; and </w:t>
      </w:r>
      <w:r>
        <w:t>A Thriving Workforce.</w:t>
      </w:r>
    </w:p>
    <w:p w14:paraId="6B4EFF3E" w14:textId="5481AD9E" w:rsidR="00F72625" w:rsidRDefault="007F37CD" w:rsidP="007F37CD">
      <w:r>
        <w:lastRenderedPageBreak/>
        <w:t>Within these publications the ambition was set to “establish a cyber and fraud specialist division to enhance our response in Scotland” and “develop our capability through cyber and online training for the workforce, ensuring support and guidance for officers and staff.”</w:t>
      </w:r>
    </w:p>
    <w:p w14:paraId="79C87BE5" w14:textId="0DEE6D47" w:rsidR="007F37CD" w:rsidRDefault="007F37CD" w:rsidP="007F37CD">
      <w:r>
        <w:t>This approach is necessary to ensure that a future target operating model is scalable and fit for purpose, by giving our staff the resources and tools to provide improved services to the public of Scotland while also supporting greater involvement with partners in mitigating the threat of cyber and fraud.</w:t>
      </w:r>
    </w:p>
    <w:p w14:paraId="47D157FE" w14:textId="77777777" w:rsidR="00F72625" w:rsidRDefault="007F37CD" w:rsidP="0095021C">
      <w:r>
        <w:t xml:space="preserve">ACC </w:t>
      </w:r>
      <w:r w:rsidR="00F72625">
        <w:t>Organised Crime, Counter Terrorism and Intelligence</w:t>
      </w:r>
      <w:r>
        <w:t xml:space="preserve">, through the Policing in a Digital World Programme (PDWP) will support the delivery of key milestones set out within the </w:t>
      </w:r>
      <w:r w:rsidR="00F72625">
        <w:t>three-y</w:t>
      </w:r>
      <w:r>
        <w:t>ear Business plan through workstreams to better prevent, protect, prepare and pursue fraud and cybercrime.</w:t>
      </w:r>
    </w:p>
    <w:p w14:paraId="3E51BCE0" w14:textId="2814FA41" w:rsidR="00995009" w:rsidRDefault="007F37CD" w:rsidP="0095021C">
      <w:r>
        <w:t>These activities include, the establishment of a cyber and fraud specialist division, delivery of Police Cyber Alarm (PCA), enhancing Police Scotland’s existing digital forensic capability and obtain internationally recognised accreditation and to develop cyber and online training for the workforce. Above all, create efficiencies and keep pace with technological developments.</w:t>
      </w:r>
    </w:p>
    <w:p w14:paraId="7622315F" w14:textId="77777777" w:rsidR="0095021C" w:rsidRPr="007F37CD" w:rsidRDefault="00863048" w:rsidP="000603A2">
      <w:pPr>
        <w:pStyle w:val="Heading4"/>
      </w:pPr>
      <w:r w:rsidRPr="007F37CD">
        <w:t>Training</w:t>
      </w:r>
    </w:p>
    <w:p w14:paraId="54C23F98" w14:textId="5972C458" w:rsidR="00F72625" w:rsidRDefault="007F37CD" w:rsidP="007F37CD">
      <w:r w:rsidRPr="007F37CD">
        <w:t>The Cyber and Digital Training Team have been delivering Cyber Kiosk Operator, Digital Forensics Courts Skills and Device Examination courses across the country, training over 1</w:t>
      </w:r>
      <w:r w:rsidR="00BE23CD">
        <w:t>,</w:t>
      </w:r>
      <w:r w:rsidRPr="007F37CD">
        <w:t>000 officers and staff over the previous 12 months.</w:t>
      </w:r>
    </w:p>
    <w:p w14:paraId="535290C8" w14:textId="3A57EF38" w:rsidR="00F72625" w:rsidRDefault="007F37CD" w:rsidP="007F37CD">
      <w:r w:rsidRPr="007F37CD">
        <w:t>Two Moodle online training packages (Open Source / Communications data) have been launched and available to officers 24/7 reaching over 1</w:t>
      </w:r>
      <w:r w:rsidR="00BE23CD">
        <w:t>,</w:t>
      </w:r>
      <w:r w:rsidRPr="007F37CD">
        <w:t>200 officers and staff.</w:t>
      </w:r>
    </w:p>
    <w:p w14:paraId="688EB692" w14:textId="3873F389" w:rsidR="007F37CD" w:rsidRDefault="007F37CD" w:rsidP="007F37CD">
      <w:r w:rsidRPr="007F37CD">
        <w:t>Bitesize Cyber learning for all front-line officers has also been rolled out on a phased basis across West, North and East policing command areas.</w:t>
      </w:r>
    </w:p>
    <w:p w14:paraId="131E337B" w14:textId="6F90615B" w:rsidR="007F37CD" w:rsidRPr="007F37CD" w:rsidRDefault="007F37CD" w:rsidP="007F37CD">
      <w:r w:rsidRPr="007F37CD">
        <w:t xml:space="preserve">Full membership of the Abertay </w:t>
      </w:r>
      <w:proofErr w:type="spellStart"/>
      <w:r w:rsidRPr="007F37CD">
        <w:t>CyberQuarter</w:t>
      </w:r>
      <w:proofErr w:type="spellEnd"/>
      <w:r w:rsidR="00BE23CD">
        <w:t>,</w:t>
      </w:r>
      <w:r w:rsidRPr="007F37CD">
        <w:t xml:space="preserve"> a cybersecurity research and development centre housed within Abertay University</w:t>
      </w:r>
      <w:r w:rsidR="00BE23CD">
        <w:t>,</w:t>
      </w:r>
      <w:r w:rsidRPr="007F37CD">
        <w:t xml:space="preserve"> has now been secured.</w:t>
      </w:r>
    </w:p>
    <w:p w14:paraId="33C8C139" w14:textId="726094A1" w:rsidR="007F37CD" w:rsidRDefault="005A51E5" w:rsidP="000603A2">
      <w:pPr>
        <w:pStyle w:val="Heading4"/>
      </w:pPr>
      <w:r>
        <w:t>Fraud and Cyber Crime Reporting and Analysis Service</w:t>
      </w:r>
      <w:r w:rsidRPr="002C2E01">
        <w:t xml:space="preserve"> </w:t>
      </w:r>
      <w:r>
        <w:t>(</w:t>
      </w:r>
      <w:r w:rsidR="007F37CD" w:rsidRPr="002C2E01">
        <w:t>FCCRAS</w:t>
      </w:r>
      <w:r>
        <w:t>)</w:t>
      </w:r>
    </w:p>
    <w:p w14:paraId="18256330" w14:textId="0EE2FF55" w:rsidR="007F37CD" w:rsidRDefault="007F37CD" w:rsidP="007F37CD">
      <w:r>
        <w:t>Work continues in the development of a Full Business Case that will seek approval for Police Scotland to align to the rest of the UK by joining the Fraud and Cyber Crime Reporting and Analysis Service (FCCRAS) which is led by City of London Police as National Police Chief Council Lead (NPCC) for Cyber and Fraud.</w:t>
      </w:r>
    </w:p>
    <w:p w14:paraId="6D5AF35D" w14:textId="356A1EBF" w:rsidR="007F37CD" w:rsidRDefault="007F37CD" w:rsidP="007F37CD">
      <w:r>
        <w:t>Significant benefits are expected for victims, Police Scotland and the wider UK law enforcement arena because of this work which directly aligns to the 2030 Vision and the Three-Year Business Plan.</w:t>
      </w:r>
    </w:p>
    <w:p w14:paraId="369084B7" w14:textId="28133E50" w:rsidR="0095021C" w:rsidRDefault="007F37CD" w:rsidP="00D14DF2">
      <w:r>
        <w:t>Engagement is ongoing with various key internal and external stakeholders to gather all relevant information and approvals required while articulating these benefits. These stakeholders include Scottish Crime Recording Board, Scottish Police Authority and City of London Police.</w:t>
      </w:r>
    </w:p>
    <w:p w14:paraId="2F7D55F5" w14:textId="4B376795" w:rsidR="00BE4120" w:rsidRDefault="00BE4120" w:rsidP="00F22131">
      <w:bookmarkStart w:id="44" w:name="_Police_Direct_Measures"/>
      <w:bookmarkEnd w:id="22"/>
      <w:bookmarkEnd w:id="23"/>
      <w:bookmarkEnd w:id="24"/>
      <w:bookmarkEnd w:id="25"/>
      <w:bookmarkEnd w:id="26"/>
      <w:bookmarkEnd w:id="44"/>
      <w:r>
        <w:br w:type="page"/>
      </w:r>
    </w:p>
    <w:p w14:paraId="5F9C2CBF" w14:textId="77777777" w:rsidR="00F22131" w:rsidRDefault="00F22131" w:rsidP="00BE4120">
      <w:pPr>
        <w:pStyle w:val="Heading3"/>
      </w:pPr>
      <w:bookmarkStart w:id="45" w:name="_Toc199839168"/>
      <w:r>
        <w:lastRenderedPageBreak/>
        <w:t xml:space="preserve">Vision 2030: </w:t>
      </w:r>
      <w:r w:rsidR="00BE4120">
        <w:t>Support</w:t>
      </w:r>
      <w:r w:rsidR="00752630">
        <w:t>ed</w:t>
      </w:r>
      <w:r w:rsidR="00BE4120">
        <w:t xml:space="preserve"> Victims</w:t>
      </w:r>
      <w:bookmarkEnd w:id="45"/>
    </w:p>
    <w:p w14:paraId="722C8A00" w14:textId="37585127" w:rsidR="0061596D" w:rsidRDefault="0061596D" w:rsidP="000603A2">
      <w:pPr>
        <w:pStyle w:val="Heading4"/>
      </w:pPr>
      <w:bookmarkStart w:id="46" w:name="_Hlk140089786"/>
      <w:r>
        <w:t>Call Handling (Strategic Outcome 2)</w:t>
      </w:r>
    </w:p>
    <w:bookmarkEnd w:id="46"/>
    <w:p w14:paraId="774EABCE" w14:textId="05D878F9" w:rsidR="00F1561D" w:rsidRDefault="00F1561D" w:rsidP="00F1561D">
      <w:r>
        <w:rPr>
          <w:noProof/>
        </w:rPr>
        <w:drawing>
          <wp:inline distT="0" distB="0" distL="0" distR="0" wp14:anchorId="39938AAA" wp14:editId="46C5A905">
            <wp:extent cx="6188710" cy="1764030"/>
            <wp:effectExtent l="0" t="0" r="2540" b="7620"/>
            <wp:docPr id="271883587" name="Picture 1" descr="Call Handling YTD 999/101 calls Comparison Table&#10;The first row shows 814,980 calls to 999 PYTD compared to 743,216 YTD (down 8.8% on last year).&#10;The second row shows 1,376,079 calls to 101 PYTD compared to 1,323,059 YTD (down 3.9% on last year).&#10;The third row shows 2,191,059 calls to 999/101 combined PYTD compared to 2,066,275 YTD (down 5.7% on last year).&#10;The fourth row shows 609,349 of these calls PYTD resulted in no incident/crime compared to 533,746 YTD (down 12.4%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83587" name="Picture 1" descr="Call Handling YTD 999/101 calls Comparison Table&#10;The first row shows 814,980 calls to 999 PYTD compared to 743,216 YTD (down 8.8% on last year).&#10;The second row shows 1,376,079 calls to 101 PYTD compared to 1,323,059 YTD (down 3.9% on last year).&#10;The third row shows 2,191,059 calls to 999/101 combined PYTD compared to 2,066,275 YTD (down 5.7% on last year).&#10;The fourth row shows 609,349 of these calls PYTD resulted in no incident/crime compared to 533,746 YTD (down 12.4% on last year).&#10;"/>
                    <pic:cNvPicPr/>
                  </pic:nvPicPr>
                  <pic:blipFill>
                    <a:blip r:embed="rId70"/>
                    <a:stretch>
                      <a:fillRect/>
                    </a:stretch>
                  </pic:blipFill>
                  <pic:spPr>
                    <a:xfrm>
                      <a:off x="0" y="0"/>
                      <a:ext cx="6188710" cy="1764030"/>
                    </a:xfrm>
                    <a:prstGeom prst="rect">
                      <a:avLst/>
                    </a:prstGeom>
                  </pic:spPr>
                </pic:pic>
              </a:graphicData>
            </a:graphic>
          </wp:inline>
        </w:drawing>
      </w:r>
    </w:p>
    <w:p w14:paraId="61E864F9" w14:textId="77777777" w:rsidR="00F1561D" w:rsidRDefault="00F1561D" w:rsidP="00F1561D">
      <w:r>
        <w:rPr>
          <w:noProof/>
        </w:rPr>
        <w:drawing>
          <wp:inline distT="0" distB="0" distL="0" distR="0" wp14:anchorId="3D4C6D1B" wp14:editId="02243C52">
            <wp:extent cx="6188710" cy="731520"/>
            <wp:effectExtent l="0" t="0" r="2540" b="0"/>
            <wp:docPr id="810202299" name="Picture 1" descr="Call Handling YTD % Comparison Table&#10;This table shows 38.5% of calls resulted in no incident/crime in PYTD compared to 25.8% YTD (down 12.7% points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2299" name="Picture 1" descr="Call Handling YTD % Comparison Table&#10;This table shows 38.5% of calls resulted in no incident/crime in PYTD compared to 25.8% YTD (down 12.7% points from last year).&#10;"/>
                    <pic:cNvPicPr/>
                  </pic:nvPicPr>
                  <pic:blipFill>
                    <a:blip r:embed="rId71"/>
                    <a:stretch>
                      <a:fillRect/>
                    </a:stretch>
                  </pic:blipFill>
                  <pic:spPr>
                    <a:xfrm>
                      <a:off x="0" y="0"/>
                      <a:ext cx="6188710" cy="731520"/>
                    </a:xfrm>
                    <a:prstGeom prst="rect">
                      <a:avLst/>
                    </a:prstGeom>
                  </pic:spPr>
                </pic:pic>
              </a:graphicData>
            </a:graphic>
          </wp:inline>
        </w:drawing>
      </w:r>
    </w:p>
    <w:p w14:paraId="37A7428E" w14:textId="5CA58B99" w:rsidR="00F1561D" w:rsidRDefault="00F1561D" w:rsidP="00F1561D">
      <w:r>
        <w:rPr>
          <w:noProof/>
        </w:rPr>
        <w:drawing>
          <wp:inline distT="0" distB="0" distL="0" distR="0" wp14:anchorId="4D419AD7" wp14:editId="25814B0D">
            <wp:extent cx="6188710" cy="1080135"/>
            <wp:effectExtent l="0" t="0" r="2540" b="5715"/>
            <wp:docPr id="944501729" name="Picture 1" descr="Call Handling YTD Answer Time Comparison Table&#10;The first row shows an average of nine seconds to answer 999 calls PYTD compared to eight seconds YTD (down one second on last year).&#10;The second row shows an average of five minutes 33 seconds to answer 101 calls PYTD compared to four minutes seven seconds YTD (down one minute 26 second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1729" name="Picture 1" descr="Call Handling YTD Answer Time Comparison Table&#10;The first row shows an average of nine seconds to answer 999 calls PYTD compared to eight seconds YTD (down one second on last year).&#10;The second row shows an average of five minutes 33 seconds to answer 101 calls PYTD compared to four minutes seven seconds YTD (down one minute 26 seconds on last year).&#10;"/>
                    <pic:cNvPicPr/>
                  </pic:nvPicPr>
                  <pic:blipFill>
                    <a:blip r:embed="rId72"/>
                    <a:stretch>
                      <a:fillRect/>
                    </a:stretch>
                  </pic:blipFill>
                  <pic:spPr>
                    <a:xfrm>
                      <a:off x="0" y="0"/>
                      <a:ext cx="6188710" cy="1080135"/>
                    </a:xfrm>
                    <a:prstGeom prst="rect">
                      <a:avLst/>
                    </a:prstGeom>
                  </pic:spPr>
                </pic:pic>
              </a:graphicData>
            </a:graphic>
          </wp:inline>
        </w:drawing>
      </w:r>
    </w:p>
    <w:p w14:paraId="533D5992" w14:textId="31BCFAC9" w:rsidR="00054E6C" w:rsidRDefault="001E5700" w:rsidP="00F1561D">
      <w:r>
        <w:rPr>
          <w:noProof/>
        </w:rPr>
        <w:drawing>
          <wp:inline distT="0" distB="0" distL="0" distR="0" wp14:anchorId="631FD834" wp14:editId="7F11888D">
            <wp:extent cx="6188710" cy="3121660"/>
            <wp:effectExtent l="0" t="0" r="2540" b="2540"/>
            <wp:docPr id="1468498340" name="Picture 1" descr="Call Handling YTD Incident Demand Comparison Table&#10;The first row shows 1,581,710 total incidents raised PYTD compared to 1,532,529 YTD (down 3.1% on last year).&#10;The second row shows 177,778 immediate incidents PYTD compared to 180,367 YTD (up 1.5% on last year).&#10;The third row shows 594,214 prompt incidents PYTD compared to 585,912 YTD (down 1.4% on last year).&#10;The fourth row shows 187,674 standard incidents PYTD compared to 182,992 YTD (down 2.5% on last year).&#10;The fifth row shows 594,608 other resolution incidents PYTD compared to 563,659 YTD (down 5.2% on last year).&#10;The sixth row shows the percentage of incidents that led to a crime was 26.94% PYTD compared to 27.70% YTD (up 0.76% points on last year).&#10;The seventh row shows the percentage of incidents requiring police response was 97.45% PYTD compared to 97.50% YTD (up 0.05% points from last year).&#10;The eighth row shows 3,350 external force incidents PYTD compared to 3,640 YTD (up 8.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98340" name="Picture 1" descr="Call Handling YTD Incident Demand Comparison Table&#10;The first row shows 1,581,710 total incidents raised PYTD compared to 1,532,529 YTD (down 3.1% on last year).&#10;The second row shows 177,778 immediate incidents PYTD compared to 180,367 YTD (up 1.5% on last year).&#10;The third row shows 594,214 prompt incidents PYTD compared to 585,912 YTD (down 1.4% on last year).&#10;The fourth row shows 187,674 standard incidents PYTD compared to 182,992 YTD (down 2.5% on last year).&#10;The fifth row shows 594,608 other resolution incidents PYTD compared to 563,659 YTD (down 5.2% on last year).&#10;The sixth row shows the percentage of incidents that led to a crime was 26.94% PYTD compared to 27.70% YTD (up 0.76% points on last year).&#10;The seventh row shows the percentage of incidents requiring police response was 97.45% PYTD compared to 97.50% YTD (up 0.05% points from last year).&#10;The eighth row shows 3,350 external force incidents PYTD compared to 3,640 YTD (up 8.7% on last year).&#10;"/>
                    <pic:cNvPicPr/>
                  </pic:nvPicPr>
                  <pic:blipFill>
                    <a:blip r:embed="rId73"/>
                    <a:stretch>
                      <a:fillRect/>
                    </a:stretch>
                  </pic:blipFill>
                  <pic:spPr>
                    <a:xfrm>
                      <a:off x="0" y="0"/>
                      <a:ext cx="6188710" cy="3121660"/>
                    </a:xfrm>
                    <a:prstGeom prst="rect">
                      <a:avLst/>
                    </a:prstGeom>
                  </pic:spPr>
                </pic:pic>
              </a:graphicData>
            </a:graphic>
          </wp:inline>
        </w:drawing>
      </w:r>
    </w:p>
    <w:p w14:paraId="24563CB2" w14:textId="4E041BC7" w:rsidR="00E07583" w:rsidRPr="00F1561D" w:rsidRDefault="00E07583" w:rsidP="00F1561D">
      <w:r w:rsidRPr="00465819">
        <w:t xml:space="preserve">During 2024/25 Police Scotland received a total of 2,066,275 calls, a decrease of 5.7% when compared to the previous </w:t>
      </w:r>
      <w:r w:rsidR="008A124B">
        <w:t>reporting</w:t>
      </w:r>
      <w:r w:rsidRPr="00465819">
        <w:t xml:space="preserve"> year.</w:t>
      </w:r>
    </w:p>
    <w:p w14:paraId="1B634997" w14:textId="0A07411F" w:rsidR="00E07583" w:rsidRPr="00465819" w:rsidRDefault="00E07583" w:rsidP="00F1561D">
      <w:r w:rsidRPr="00465819">
        <w:lastRenderedPageBreak/>
        <w:t>Of these calls, those routed via 999 decreased by 8.8% when compared to the same period last year (down from 814,980 to 743,216). The volume of 101 calls received decreased by 3.</w:t>
      </w:r>
      <w:r w:rsidR="00D6742F">
        <w:t>9</w:t>
      </w:r>
      <w:r w:rsidRPr="00465819">
        <w:t>% (down from 1,376,079 to 1,323,059).</w:t>
      </w:r>
    </w:p>
    <w:p w14:paraId="4B0ADFED" w14:textId="7E234296" w:rsidR="00E07583" w:rsidRPr="00465819" w:rsidRDefault="00E07583" w:rsidP="00F1561D">
      <w:r w:rsidRPr="00392A74">
        <w:t>The handling of 999 calls remains our highest priority. Police Scotland aims to answer 90% of 999 calls within 10 seconds, and to have a mean answering time of under 10 seconds for all 999 calls.</w:t>
      </w:r>
      <w:r w:rsidRPr="00465819">
        <w:t xml:space="preserve"> During the </w:t>
      </w:r>
      <w:r w:rsidR="00054E6C">
        <w:t>reporting</w:t>
      </w:r>
      <w:r w:rsidRPr="00465819">
        <w:t xml:space="preserve"> year Police Scotland achieved an average </w:t>
      </w:r>
      <w:r>
        <w:t xml:space="preserve">speed of </w:t>
      </w:r>
      <w:r w:rsidRPr="00465819">
        <w:t xml:space="preserve">answer of </w:t>
      </w:r>
      <w:r w:rsidR="00054E6C">
        <w:t>eight</w:t>
      </w:r>
      <w:r w:rsidRPr="00465819">
        <w:t xml:space="preserve"> seconds which is </w:t>
      </w:r>
      <w:r w:rsidR="00054E6C">
        <w:t>one</w:t>
      </w:r>
      <w:r w:rsidRPr="00465819">
        <w:t xml:space="preserve"> second quicker than the same period last year.</w:t>
      </w:r>
    </w:p>
    <w:p w14:paraId="7B3D582B" w14:textId="189E1BA6" w:rsidR="00E07583" w:rsidRPr="00040C71" w:rsidRDefault="00E07583" w:rsidP="00F1561D">
      <w:r w:rsidRPr="00040C71">
        <w:t>Of note, Police Scotland experienced a significant increase in 999 calls during 2023 which continued until November. Several factors contributed to this increase including extreme weather (both good and inclement), various large-scale events, changes to legislation relating to XL Bully dogs and, most significantly, an update to the Android operating system that caused mobile telephones using the operating system to inadvertently call 999.</w:t>
      </w:r>
    </w:p>
    <w:p w14:paraId="7B6C57FD" w14:textId="77777777" w:rsidR="00E07583" w:rsidRPr="00465819" w:rsidRDefault="00E07583" w:rsidP="00F1561D">
      <w:r w:rsidRPr="00040C71">
        <w:t>This resulted in thousands of accidental and dropped 999 calls.</w:t>
      </w:r>
      <w:r>
        <w:t xml:space="preserve"> </w:t>
      </w:r>
      <w:r w:rsidRPr="00040C71">
        <w:t>Additional contacts were subsequently generated as members of the public sought advice and guidance regarding this issue. As such comparisons to 2023/24 are based on what was a historically high level of demand in 2023 for Police Scotland and all UK Forces.</w:t>
      </w:r>
    </w:p>
    <w:p w14:paraId="560DD882" w14:textId="2879026D" w:rsidR="00E07583" w:rsidRPr="00465819" w:rsidRDefault="00E07583" w:rsidP="008C3EA2">
      <w:r w:rsidRPr="00392A74">
        <w:t xml:space="preserve">Over the course of the year, factors driving demand included recurring events such as </w:t>
      </w:r>
      <w:r w:rsidR="00EC729D">
        <w:t>Operation Moonbeam (Guy Fa</w:t>
      </w:r>
      <w:r w:rsidRPr="00392A74">
        <w:t>wkes</w:t>
      </w:r>
      <w:r w:rsidR="00EC729D">
        <w:t xml:space="preserve"> night)</w:t>
      </w:r>
      <w:r w:rsidRPr="00392A74">
        <w:t xml:space="preserve">, </w:t>
      </w:r>
      <w:r w:rsidR="00EC729D">
        <w:t xml:space="preserve">the </w:t>
      </w:r>
      <w:r w:rsidRPr="00392A74">
        <w:t>festive period</w:t>
      </w:r>
      <w:r w:rsidR="00EC729D">
        <w:t xml:space="preserve"> and</w:t>
      </w:r>
      <w:r w:rsidRPr="00392A74">
        <w:t xml:space="preserve"> Hogmanay along with a range of other pre-p</w:t>
      </w:r>
      <w:r>
        <w:t>l</w:t>
      </w:r>
      <w:r w:rsidRPr="00392A74">
        <w:t>anned and spontaneous events.</w:t>
      </w:r>
      <w:r w:rsidR="00E173B1">
        <w:t xml:space="preserve"> </w:t>
      </w:r>
      <w:r w:rsidR="008C3EA2">
        <w:t xml:space="preserve">Police Scotland call demand fluctuates with seasonality. </w:t>
      </w:r>
      <w:r w:rsidRPr="00465819">
        <w:t xml:space="preserve">During </w:t>
      </w:r>
      <w:r w:rsidR="008C3EA2">
        <w:t>the summer months</w:t>
      </w:r>
      <w:r w:rsidRPr="00465819">
        <w:t>, extended periods of warm sunny weather with lighter evenings caused increases in call volume</w:t>
      </w:r>
      <w:r w:rsidR="008C3EA2">
        <w:t>s along with the</w:t>
      </w:r>
      <w:r>
        <w:t xml:space="preserve"> u</w:t>
      </w:r>
      <w:r w:rsidRPr="00465819">
        <w:t xml:space="preserve">sual inclement </w:t>
      </w:r>
      <w:r>
        <w:t xml:space="preserve">winter </w:t>
      </w:r>
      <w:r w:rsidRPr="00465819">
        <w:t>weather experienced in October, November</w:t>
      </w:r>
      <w:r w:rsidR="008C3EA2">
        <w:t xml:space="preserve"> and</w:t>
      </w:r>
      <w:r w:rsidR="00CD0C04">
        <w:t xml:space="preserve"> </w:t>
      </w:r>
      <w:r w:rsidRPr="00465819">
        <w:t>December</w:t>
      </w:r>
      <w:r w:rsidR="008C3EA2">
        <w:t>.</w:t>
      </w:r>
    </w:p>
    <w:p w14:paraId="29EE86BE" w14:textId="49778216" w:rsidR="00F0640A" w:rsidRDefault="00E07583" w:rsidP="00F1561D">
      <w:r w:rsidRPr="00465819">
        <w:t xml:space="preserve">Positively, the average answer time for 101 calls decreased by </w:t>
      </w:r>
      <w:r w:rsidR="00786B40">
        <w:t>one</w:t>
      </w:r>
      <w:r w:rsidRPr="00465819">
        <w:t xml:space="preserve"> minute 26 seconds to </w:t>
      </w:r>
      <w:r w:rsidR="00786B40">
        <w:t>four</w:t>
      </w:r>
      <w:r w:rsidRPr="00465819">
        <w:t xml:space="preserve"> minutes </w:t>
      </w:r>
      <w:r w:rsidR="00786B40">
        <w:t>seven</w:t>
      </w:r>
      <w:r w:rsidRPr="00465819">
        <w:t xml:space="preserve"> seconds when compared to 2023/2024.</w:t>
      </w:r>
    </w:p>
    <w:p w14:paraId="18A66613" w14:textId="77777777" w:rsidR="00F0640A" w:rsidRDefault="00E07583" w:rsidP="00F1561D">
      <w:r w:rsidRPr="00465819">
        <w:t>It is important to note that the same Service Advisors handle all 999/101 calls and ContactUs emails.</w:t>
      </w:r>
      <w:r>
        <w:t xml:space="preserve"> </w:t>
      </w:r>
      <w:r w:rsidRPr="00465819">
        <w:t>When there is a surge in 999 calls, we will re-prioritise Service Advisors from 101 calls and emails as we aim to answer the</w:t>
      </w:r>
      <w:r>
        <w:t xml:space="preserve"> </w:t>
      </w:r>
      <w:r w:rsidRPr="00465819">
        <w:t xml:space="preserve">999 calls </w:t>
      </w:r>
      <w:r>
        <w:t xml:space="preserve">in </w:t>
      </w:r>
      <w:r w:rsidRPr="00465819">
        <w:t xml:space="preserve">under 10 seconds. </w:t>
      </w:r>
    </w:p>
    <w:p w14:paraId="6C37DE39" w14:textId="3EB3F40D" w:rsidR="00E07583" w:rsidRPr="00465819" w:rsidRDefault="00E07583" w:rsidP="00F1561D">
      <w:r w:rsidRPr="00465819">
        <w:t xml:space="preserve">Therefore, there is a direct link between </w:t>
      </w:r>
      <w:r>
        <w:t xml:space="preserve">the </w:t>
      </w:r>
      <w:r w:rsidRPr="00465819">
        <w:t>increase in 999 volumes and the average speed of answer for 101 non-emergency calls.</w:t>
      </w:r>
    </w:p>
    <w:p w14:paraId="3655193C" w14:textId="77777777" w:rsidR="00E07583" w:rsidRPr="00465819" w:rsidRDefault="00E07583" w:rsidP="00F1561D">
      <w:r w:rsidRPr="00465819">
        <w:t>Our call volumes and trends continue to be monitored closely to ensure that we are prepared for any unexpected changes in demand and maintain average speed of answer times within targets.</w:t>
      </w:r>
    </w:p>
    <w:p w14:paraId="0B474692" w14:textId="77777777" w:rsidR="0061596D" w:rsidRDefault="0061596D" w:rsidP="000603A2">
      <w:pPr>
        <w:pStyle w:val="Heading4"/>
      </w:pPr>
      <w:r w:rsidRPr="00F92EF3">
        <w:t>Service Demand – Additional Contact Methods</w:t>
      </w:r>
    </w:p>
    <w:p w14:paraId="54CF3687" w14:textId="77777777" w:rsidR="00E07583" w:rsidRPr="00465819" w:rsidRDefault="00E07583" w:rsidP="00F0640A">
      <w:r w:rsidRPr="00465819">
        <w:t xml:space="preserve">C3 Division handles additional contacts such as incoming calls from other partner agencies and alarm calls. There were 119,423 of these types of contact </w:t>
      </w:r>
      <w:r>
        <w:t>during the</w:t>
      </w:r>
      <w:r w:rsidRPr="00465819">
        <w:t xml:space="preserve"> reporting period. There was a slight decrease of 0.7% in emergency service partner calls and a decrease of 13% in total alarms calls when compared to 2023/24.</w:t>
      </w:r>
    </w:p>
    <w:p w14:paraId="2C6BC4DE" w14:textId="77777777" w:rsidR="00E07583" w:rsidRPr="00465819" w:rsidRDefault="00E07583" w:rsidP="00F0640A">
      <w:r w:rsidRPr="00465819">
        <w:t xml:space="preserve">Emergency service partner calls are received via dedicated lines from Scottish Fire and Rescue, Scottish Ambulance Service, Mountain Rescue, Coast Guard, Mental Health </w:t>
      </w:r>
      <w:r w:rsidRPr="00465819">
        <w:lastRenderedPageBreak/>
        <w:t>Pathway (NHS 24), OmniCrash and Oil Industry Agency. The reason for such calls varies and each is dealt with by a Service Advisor in the most appropriate manner.</w:t>
      </w:r>
    </w:p>
    <w:p w14:paraId="3D6C3ABC" w14:textId="2C5741BF" w:rsidR="00E07583" w:rsidRPr="00465819" w:rsidRDefault="00E07583" w:rsidP="00F0640A">
      <w:r w:rsidRPr="00465819">
        <w:t xml:space="preserve">A total of 46,695 calls were received in response to Media Appeals (Option 1 on 101). The percentage of these calls to 101 remained consistent at 2.8% for the reporting period which is just 0.2% lower than the previous </w:t>
      </w:r>
      <w:r w:rsidR="008A124B">
        <w:t>reporting</w:t>
      </w:r>
      <w:r w:rsidRPr="00465819">
        <w:t xml:space="preserve"> year.</w:t>
      </w:r>
    </w:p>
    <w:p w14:paraId="7C162013" w14:textId="294B5F67" w:rsidR="00E07583" w:rsidRPr="00465819" w:rsidRDefault="00E07583" w:rsidP="00F0640A">
      <w:r w:rsidRPr="00465819">
        <w:t xml:space="preserve">A total of 245,879 calls were received for Incident Updates (Option 3 on 101). The percentage of these calls to 101 remained consistent at 15.2% for the </w:t>
      </w:r>
      <w:r w:rsidR="008A124B">
        <w:t>reporting</w:t>
      </w:r>
      <w:r w:rsidRPr="00465819">
        <w:t xml:space="preserve"> year which is the same as last year.</w:t>
      </w:r>
    </w:p>
    <w:p w14:paraId="77D97AAD" w14:textId="42A6A817" w:rsidR="00E07583" w:rsidRPr="00465819" w:rsidRDefault="00E07583" w:rsidP="00F0640A">
      <w:r w:rsidRPr="00465819">
        <w:t>Efforts continue to signpost callers to more appropriate methods of contact, including ContactUs and the online reporting facilities via the force website.</w:t>
      </w:r>
    </w:p>
    <w:p w14:paraId="6BE941D9" w14:textId="12521207" w:rsidR="00E07583" w:rsidRPr="00465819" w:rsidRDefault="00E07583" w:rsidP="00F0640A">
      <w:r w:rsidRPr="00465819">
        <w:t>ContactUs emails and online reports, for some crime types, can be completed online. Each one of these reports is assessed by a Service Advisor using the Threat</w:t>
      </w:r>
      <w:r>
        <w:t>,</w:t>
      </w:r>
      <w:r w:rsidRPr="00465819">
        <w:t xml:space="preserve"> Harm</w:t>
      </w:r>
      <w:r>
        <w:t>,</w:t>
      </w:r>
      <w:r w:rsidRPr="00465819">
        <w:t xml:space="preserve"> Risk</w:t>
      </w:r>
      <w:r>
        <w:t>,</w:t>
      </w:r>
      <w:r w:rsidRPr="00465819">
        <w:t xml:space="preserve"> Investigation</w:t>
      </w:r>
      <w:r>
        <w:t>,</w:t>
      </w:r>
      <w:r w:rsidRPr="00465819">
        <w:t xml:space="preserve"> Vulnerability and Engagement (THRIVE) model.</w:t>
      </w:r>
    </w:p>
    <w:p w14:paraId="2AF4FF54" w14:textId="4FDB890E" w:rsidR="00E07583" w:rsidRPr="00465819" w:rsidRDefault="00E07583" w:rsidP="00F0640A">
      <w:r w:rsidRPr="00B55B5E">
        <w:t>In contrast to the reduction of call volume, the total use of Contact</w:t>
      </w:r>
      <w:r>
        <w:t>U</w:t>
      </w:r>
      <w:r w:rsidRPr="00B55B5E">
        <w:t xml:space="preserve">s increased this </w:t>
      </w:r>
      <w:r w:rsidR="008A124B">
        <w:t>reporting</w:t>
      </w:r>
      <w:r w:rsidRPr="00B55B5E">
        <w:t xml:space="preserve"> year by 4.1% (up from 193,155 to 201,935)</w:t>
      </w:r>
      <w:r>
        <w:t>.</w:t>
      </w:r>
    </w:p>
    <w:p w14:paraId="19D9AD41" w14:textId="1DA2AA15" w:rsidR="00E07583" w:rsidRDefault="00E07583" w:rsidP="00F0640A">
      <w:r>
        <w:t xml:space="preserve">When compared with the previous year, total contacts handled by C3 Division Service Centre reduced </w:t>
      </w:r>
      <w:r w:rsidRPr="00B55B5E">
        <w:t>by 4.6%, from 2.8 million to 2.6 million.</w:t>
      </w:r>
    </w:p>
    <w:p w14:paraId="7054B009" w14:textId="44234201" w:rsidR="00E07583" w:rsidRDefault="00E07583" w:rsidP="000603A2">
      <w:pPr>
        <w:pStyle w:val="Heading4"/>
      </w:pPr>
      <w:r>
        <w:t>C3 Governance &amp; Improvement</w:t>
      </w:r>
    </w:p>
    <w:p w14:paraId="2A6450B5" w14:textId="77777777" w:rsidR="00E07583" w:rsidRPr="00465819" w:rsidRDefault="00E07583" w:rsidP="000603A2">
      <w:pPr>
        <w:pStyle w:val="Heading4"/>
      </w:pPr>
      <w:r w:rsidRPr="00465819">
        <w:t>Mental Health Pathway</w:t>
      </w:r>
    </w:p>
    <w:p w14:paraId="24815A81" w14:textId="77777777" w:rsidR="00F0640A" w:rsidRDefault="00E07583" w:rsidP="00477DB0">
      <w:r w:rsidRPr="00465819">
        <w:t>Contact, Command and Control (C3) personnel continue to utilise the Mental Health Pathway (MHP), to better assist those suffering from mental health concerns and distress, ensuring they receive the appropriate care from a dedicated NHS team, providing the right care at the right time leading to positive outcomes.</w:t>
      </w:r>
    </w:p>
    <w:p w14:paraId="6578F150" w14:textId="44F9215A" w:rsidR="00E07583" w:rsidRPr="00465819" w:rsidRDefault="00E07583" w:rsidP="00477DB0">
      <w:r w:rsidRPr="00465819">
        <w:t xml:space="preserve">This has enabled C3 Division to prioritise resource deployment to high harm areas of Policing, to the benefit of </w:t>
      </w:r>
      <w:r>
        <w:t xml:space="preserve">victims and </w:t>
      </w:r>
      <w:r w:rsidRPr="00465819">
        <w:t>our communities.</w:t>
      </w:r>
    </w:p>
    <w:p w14:paraId="04716410" w14:textId="6B37EB23" w:rsidR="000A3B87" w:rsidRDefault="00E07583" w:rsidP="00477DB0">
      <w:r w:rsidRPr="00465819">
        <w:t>The Quality Assurance Unit (QAU) have continued targeted analysis and review of MHP calls, to ensure its application remains consistent and provide real time learning and feedback to members of staff.</w:t>
      </w:r>
      <w:r w:rsidR="000A3B87">
        <w:t xml:space="preserve"> </w:t>
      </w:r>
      <w:r w:rsidRPr="00465819">
        <w:t>In the last quarter a total of 1</w:t>
      </w:r>
      <w:r w:rsidR="000A3B87">
        <w:t>,</w:t>
      </w:r>
      <w:r w:rsidRPr="00465819">
        <w:t>339 referrals were made to the MHP by Police Scotland.</w:t>
      </w:r>
    </w:p>
    <w:p w14:paraId="2EECE7E5" w14:textId="0FD94A0A" w:rsidR="000A3B87" w:rsidRDefault="00E07583" w:rsidP="00477DB0">
      <w:r w:rsidRPr="00465819">
        <w:t xml:space="preserve">A total of 120 referrals were reviewed </w:t>
      </w:r>
      <w:r>
        <w:t xml:space="preserve">by the QAU </w:t>
      </w:r>
      <w:r w:rsidRPr="00465819">
        <w:t>from which staff across C3 demonstrated consistent good practice, proactively identifying mental health concerns using their communication skill</w:t>
      </w:r>
      <w:r>
        <w:t>s</w:t>
      </w:r>
      <w:r w:rsidRPr="00465819">
        <w:t>, with good adherence to set processes and procedures.</w:t>
      </w:r>
    </w:p>
    <w:p w14:paraId="6BCE87CA" w14:textId="7BEC2FA6" w:rsidR="00E07583" w:rsidRPr="00465819" w:rsidRDefault="00E07583" w:rsidP="00477DB0">
      <w:r w:rsidRPr="00465819">
        <w:t>This continues to lead to improved outcomes for those members of the community who require specialist care and support at first point of contact whilst better utilising the available resources of Police Scotland to help victims of criminality.</w:t>
      </w:r>
    </w:p>
    <w:p w14:paraId="25E3097E" w14:textId="7BF23C95" w:rsidR="00BE4120" w:rsidRDefault="00BE4120" w:rsidP="000603A2">
      <w:pPr>
        <w:pStyle w:val="Heading4"/>
      </w:pPr>
      <w:r>
        <w:br w:type="page"/>
      </w:r>
    </w:p>
    <w:p w14:paraId="1BFB1894" w14:textId="77777777" w:rsidR="00F22131" w:rsidRDefault="00F22131" w:rsidP="00BE4120">
      <w:pPr>
        <w:pStyle w:val="Heading3"/>
      </w:pPr>
      <w:bookmarkStart w:id="47" w:name="_Toc199839169"/>
      <w:r>
        <w:lastRenderedPageBreak/>
        <w:t xml:space="preserve">Vision 2030: </w:t>
      </w:r>
      <w:r w:rsidR="00BE4120">
        <w:t>Thriving Workforce</w:t>
      </w:r>
      <w:bookmarkEnd w:id="47"/>
    </w:p>
    <w:p w14:paraId="2C9B6C1F" w14:textId="77777777" w:rsidR="00F15817" w:rsidRDefault="00752630" w:rsidP="000603A2">
      <w:pPr>
        <w:pStyle w:val="Heading4"/>
      </w:pPr>
      <w:r>
        <w:t>Complaints about the Police (Strategic Outcome 3)</w:t>
      </w:r>
    </w:p>
    <w:p w14:paraId="72498144" w14:textId="4C1C107A" w:rsidR="00F15817" w:rsidRDefault="00F15817" w:rsidP="00F15817">
      <w:r>
        <w:rPr>
          <w:noProof/>
        </w:rPr>
        <w:drawing>
          <wp:inline distT="0" distB="0" distL="0" distR="0" wp14:anchorId="6BB1057D" wp14:editId="7D469CC9">
            <wp:extent cx="6188710" cy="1724660"/>
            <wp:effectExtent l="0" t="0" r="2540" b="8890"/>
            <wp:docPr id="1632631952" name="Picture 1" descr="Professional Standards YTD Comparison Table&#10;The first row shows 7,290 complaints from members of the public PYTD compared to 6,637 YTD (down 9.0% on last year). The six month sparkline shows a high of 601 complaints in October; 508 complaints in November; 460 complaints in December; 405 complaints in January; 468 complaints in February; and a low of 382 complaints in March.&#10;The second row shows 12,193 allegations from members of the public PYTD compared to 11,099 YTD (down 9.0% on last year). The six month sparkline shows a high of 951 allegations in October; 827 allegations in November; 714 allegations in December; 727 allegations in January; 843 allegations in February; and a low of 691 allegations in March.&#10;The third row shows 155 PIRC complaint handling reviews (CHRs) PYTD compared to 129 YTD (down 16.8% on last year). &#10;The fourth row shows 805 allegations considered by PIRC (CHRs) PYTD compared to 533 YTD (down 33.8% on last year).&#10;The fifth row shows 358 on duty assault allegations referred to PIRC PYTD compared to 347 YTD (down 3.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1952" name="Picture 1" descr="Professional Standards YTD Comparison Table&#10;The first row shows 7,290 complaints from members of the public PYTD compared to 6,637 YTD (down 9.0% on last year). The six month sparkline shows a high of 601 complaints in October; 508 complaints in November; 460 complaints in December; 405 complaints in January; 468 complaints in February; and a low of 382 complaints in March.&#10;The second row shows 12,193 allegations from members of the public PYTD compared to 11,099 YTD (down 9.0% on last year). The six month sparkline shows a high of 951 allegations in October; 827 allegations in November; 714 allegations in December; 727 allegations in January; 843 allegations in February; and a low of 691 allegations in March.&#10;The third row shows 155 PIRC complaint handling reviews (CHRs) PYTD compared to 129 YTD (down 16.8% on last year). &#10;The fourth row shows 805 allegations considered by PIRC (CHRs) PYTD compared to 533 YTD (down 33.8% on last year).&#10;The fifth row shows 358 on duty assault allegations referred to PIRC PYTD compared to 347 YTD (down 3.1% on last year).&#10;"/>
                    <pic:cNvPicPr/>
                  </pic:nvPicPr>
                  <pic:blipFill>
                    <a:blip r:embed="rId74"/>
                    <a:stretch>
                      <a:fillRect/>
                    </a:stretch>
                  </pic:blipFill>
                  <pic:spPr>
                    <a:xfrm>
                      <a:off x="0" y="0"/>
                      <a:ext cx="6188710" cy="1724660"/>
                    </a:xfrm>
                    <a:prstGeom prst="rect">
                      <a:avLst/>
                    </a:prstGeom>
                  </pic:spPr>
                </pic:pic>
              </a:graphicData>
            </a:graphic>
          </wp:inline>
        </w:drawing>
      </w:r>
    </w:p>
    <w:p w14:paraId="08F10152" w14:textId="41C05179" w:rsidR="00F15817" w:rsidRDefault="00F15817" w:rsidP="00F15817">
      <w:r>
        <w:t>The total number of complaints from members of the public are down 7.0% (653 fewer complaints) on last year whilst allegations are down 9.0% (1,094 fewer allegations) on the same period. The six month sparklines show that the most complaints and allegations were received in October 2024 (601 complaints and 951 allegations respectively).</w:t>
      </w:r>
    </w:p>
    <w:p w14:paraId="20CC64C2" w14:textId="2770A475" w:rsidR="00F15817" w:rsidRDefault="00F15817" w:rsidP="00F15817">
      <w:r>
        <w:t>The Professional Standards Department (PSD) has resolved 3,293 complaints (49.6%) by Frontline Resolution (FLR) compared with 51.7% in the same period last year. This includes early resolution and subsequent resolution by PSD / specialist officers.</w:t>
      </w:r>
    </w:p>
    <w:p w14:paraId="5C422245" w14:textId="05C003ED" w:rsidR="00F15817" w:rsidRDefault="00EC7BCD" w:rsidP="00F15817">
      <w:r>
        <w:t>The Police Investigations and Review Commissioner (</w:t>
      </w:r>
      <w:r w:rsidR="00F15817">
        <w:t>PIRC</w:t>
      </w:r>
      <w:r>
        <w:t>)</w:t>
      </w:r>
      <w:r w:rsidR="00F15817">
        <w:t xml:space="preserve"> submitted </w:t>
      </w:r>
      <w:r>
        <w:t>12</w:t>
      </w:r>
      <w:r w:rsidR="00F15817">
        <w:t>9 Complaint Handling Reviews (CHRs) to Police Scotland for consideration during this period. This notionally equates to 1.</w:t>
      </w:r>
      <w:r>
        <w:t>9</w:t>
      </w:r>
      <w:r w:rsidR="00F15817">
        <w:t>% of all complaints.</w:t>
      </w:r>
    </w:p>
    <w:p w14:paraId="702988F4" w14:textId="6EA2C372" w:rsidR="00F15817" w:rsidRDefault="00F15817" w:rsidP="00F15817">
      <w:r>
        <w:t xml:space="preserve">There were </w:t>
      </w:r>
      <w:r w:rsidR="00EC7BCD">
        <w:t>347</w:t>
      </w:r>
      <w:r>
        <w:t xml:space="preserve"> allegations of On Duty Assault referrals made to PIRC during this period (</w:t>
      </w:r>
      <w:r w:rsidR="00EC7BCD">
        <w:t>down 3.1</w:t>
      </w:r>
      <w:r>
        <w:t xml:space="preserve">% on last year). Of those, </w:t>
      </w:r>
      <w:r w:rsidR="00EC7BCD">
        <w:t>13</w:t>
      </w:r>
      <w:r>
        <w:t>6 are subject to PIRC investigation (</w:t>
      </w:r>
      <w:r w:rsidR="00EC7BCD">
        <w:t>39.2</w:t>
      </w:r>
      <w:r>
        <w:t>%)</w:t>
      </w:r>
      <w:r w:rsidR="00EC7BCD">
        <w:t xml:space="preserve"> with 24</w:t>
      </w:r>
      <w:r>
        <w:t xml:space="preserve"> referrals awaiting a decision from PIRC regarding possible investigation. The remaining 18</w:t>
      </w:r>
      <w:r w:rsidR="00EC7BCD">
        <w:t>7</w:t>
      </w:r>
      <w:r>
        <w:t xml:space="preserve"> cases have been marked as no investigation by PIRC.</w:t>
      </w:r>
    </w:p>
    <w:p w14:paraId="0477FB52" w14:textId="4099BD2D" w:rsidR="00F15817" w:rsidRDefault="00F15817" w:rsidP="00F15817">
      <w:r>
        <w:rPr>
          <w:noProof/>
        </w:rPr>
        <w:drawing>
          <wp:inline distT="0" distB="0" distL="0" distR="0" wp14:anchorId="64FB3280" wp14:editId="2DA1B9D8">
            <wp:extent cx="6188710" cy="1052830"/>
            <wp:effectExtent l="0" t="0" r="2540" b="0"/>
            <wp:docPr id="1015039612" name="Picture 1" descr="Professional Standards Five-Year Comparison Table&#10;The first row shows the five-year mean for complaints from members of the public was 6,810.2 complaints compared to 6,637 YTD (down 2.5% on five-year mean).&#10;The second row shows the five-year mean for allegations from members of the public was 12,333.8 allegations compared to 11,099 YTD (down 10.0%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9612" name="Picture 1" descr="Professional Standards Five-Year Comparison Table&#10;The first row shows the five-year mean for complaints from members of the public was 6,810.2 complaints compared to 6,637 YTD (down 2.5% on five-year mean).&#10;The second row shows the five-year mean for allegations from members of the public was 12,333.8 allegations compared to 11,099 YTD (down 10.0% on five-year mean).&#10;"/>
                    <pic:cNvPicPr/>
                  </pic:nvPicPr>
                  <pic:blipFill>
                    <a:blip r:embed="rId75"/>
                    <a:stretch>
                      <a:fillRect/>
                    </a:stretch>
                  </pic:blipFill>
                  <pic:spPr>
                    <a:xfrm>
                      <a:off x="0" y="0"/>
                      <a:ext cx="6188710" cy="1052830"/>
                    </a:xfrm>
                    <a:prstGeom prst="rect">
                      <a:avLst/>
                    </a:prstGeom>
                  </pic:spPr>
                </pic:pic>
              </a:graphicData>
            </a:graphic>
          </wp:inline>
        </w:drawing>
      </w:r>
    </w:p>
    <w:p w14:paraId="09F123E0" w14:textId="386CE5DC" w:rsidR="00F15817" w:rsidRDefault="00F15817" w:rsidP="00F15817">
      <w:r w:rsidRPr="002D165C">
        <w:t xml:space="preserve">The total number of complaints from members of the public are down </w:t>
      </w:r>
      <w:r w:rsidR="00EC7BCD">
        <w:t>2.5</w:t>
      </w:r>
      <w:r w:rsidRPr="002D165C">
        <w:t>% (</w:t>
      </w:r>
      <w:r w:rsidR="00EC7BCD">
        <w:t>173</w:t>
      </w:r>
      <w:r w:rsidRPr="002D165C">
        <w:t xml:space="preserve"> fewer complaints) on the five-year mean whilst the total number of allegations are down </w:t>
      </w:r>
      <w:r>
        <w:t>10.</w:t>
      </w:r>
      <w:r w:rsidR="00EC7BCD">
        <w:t>0</w:t>
      </w:r>
      <w:r w:rsidRPr="002D165C">
        <w:t>% (</w:t>
      </w:r>
      <w:r>
        <w:t>1,</w:t>
      </w:r>
      <w:r w:rsidR="00EC7BCD">
        <w:t xml:space="preserve">234 </w:t>
      </w:r>
      <w:r w:rsidRPr="002D165C">
        <w:t>fewer allegations) compared to the same period</w:t>
      </w:r>
      <w:r>
        <w:t>.</w:t>
      </w:r>
    </w:p>
    <w:p w14:paraId="02FA0CDD" w14:textId="7649C9A2" w:rsidR="00F15817" w:rsidRDefault="00F15817" w:rsidP="00F15817">
      <w:r>
        <w:rPr>
          <w:noProof/>
        </w:rPr>
        <w:drawing>
          <wp:inline distT="0" distB="0" distL="0" distR="0" wp14:anchorId="07C93042" wp14:editId="4378702C">
            <wp:extent cx="6188710" cy="1046480"/>
            <wp:effectExtent l="0" t="0" r="2540" b="1270"/>
            <wp:docPr id="731864184" name="Picture 1" descr="Professional Standards % Comparison Table&#10;The first row shows 15.1% of closed allegations were upheld PYTD compared to 15.9% YTD (up 0.8% points on last year); &#10;The second row shows 59.1% of reviewed allegations were handled to a reasonable standard PYTD compared to 62.3% YTD (up 3.2%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64184" name="Picture 1" descr="Professional Standards % Comparison Table&#10;The first row shows 15.1% of closed allegations were upheld PYTD compared to 15.9% YTD (up 0.8% points on last year); &#10;The second row shows 59.1% of reviewed allegations were handled to a reasonable standard PYTD compared to 62.3% YTD (up 3.2% points on last year).&#10;"/>
                    <pic:cNvPicPr/>
                  </pic:nvPicPr>
                  <pic:blipFill>
                    <a:blip r:embed="rId76"/>
                    <a:stretch>
                      <a:fillRect/>
                    </a:stretch>
                  </pic:blipFill>
                  <pic:spPr>
                    <a:xfrm>
                      <a:off x="0" y="0"/>
                      <a:ext cx="6188710" cy="1046480"/>
                    </a:xfrm>
                    <a:prstGeom prst="rect">
                      <a:avLst/>
                    </a:prstGeom>
                  </pic:spPr>
                </pic:pic>
              </a:graphicData>
            </a:graphic>
          </wp:inline>
        </w:drawing>
      </w:r>
    </w:p>
    <w:p w14:paraId="4DCC2E82" w14:textId="3FB5BDF3" w:rsidR="00F15817" w:rsidRDefault="00F15817" w:rsidP="00F15817">
      <w:r>
        <w:lastRenderedPageBreak/>
        <w:t xml:space="preserve">There were </w:t>
      </w:r>
      <w:r w:rsidR="00EC7BCD">
        <w:t>3,375</w:t>
      </w:r>
      <w:r>
        <w:t xml:space="preserve"> allegations attached to completed complaint investigations (criminal and non-criminal) with 1</w:t>
      </w:r>
      <w:r w:rsidR="00EC7BCD">
        <w:t>5</w:t>
      </w:r>
      <w:r>
        <w:t>.</w:t>
      </w:r>
      <w:r w:rsidR="00EC7BCD">
        <w:t>9</w:t>
      </w:r>
      <w:r>
        <w:t>% of these being upheld.</w:t>
      </w:r>
    </w:p>
    <w:p w14:paraId="2D212239" w14:textId="1A0F31F0" w:rsidR="00F15817" w:rsidRDefault="00F15817" w:rsidP="00F15817">
      <w:r>
        <w:t xml:space="preserve">The </w:t>
      </w:r>
      <w:r w:rsidR="00F54860">
        <w:t>12</w:t>
      </w:r>
      <w:r>
        <w:t xml:space="preserve">9 CHRs received from PIRC considered </w:t>
      </w:r>
      <w:r w:rsidR="00F54860">
        <w:t>533</w:t>
      </w:r>
      <w:r>
        <w:t xml:space="preserve"> allegations, with </w:t>
      </w:r>
      <w:r w:rsidR="00F54860">
        <w:t>33</w:t>
      </w:r>
      <w:r>
        <w:t>2 (62</w:t>
      </w:r>
      <w:r w:rsidR="00F54860">
        <w:t>.3</w:t>
      </w:r>
      <w:r>
        <w:t xml:space="preserve">%) assessed to have been handled to a reasonable standard. This is an increase of </w:t>
      </w:r>
      <w:r w:rsidR="00F54860">
        <w:t>3.2</w:t>
      </w:r>
      <w:r>
        <w:t xml:space="preserve"> percentage points from the same period in 2023/24. These CHRs included 1</w:t>
      </w:r>
      <w:r w:rsidR="00F54860">
        <w:t>76</w:t>
      </w:r>
      <w:r>
        <w:t xml:space="preserve"> recommendations.</w:t>
      </w:r>
    </w:p>
    <w:p w14:paraId="6B2AABE3" w14:textId="77777777" w:rsidR="00F15817" w:rsidRPr="000B22B9" w:rsidRDefault="00F15817" w:rsidP="000603A2">
      <w:pPr>
        <w:pStyle w:val="Heading4"/>
      </w:pPr>
      <w:r w:rsidRPr="000B22B9">
        <w:t>C3 Complaints and Allegations</w:t>
      </w:r>
      <w:r>
        <w:t xml:space="preserve"> (Strategic Outcome 2)</w:t>
      </w:r>
    </w:p>
    <w:p w14:paraId="5F1112BB" w14:textId="4495AD84" w:rsidR="00F15817" w:rsidRDefault="00F15817" w:rsidP="00F15817">
      <w:r>
        <w:rPr>
          <w:noProof/>
        </w:rPr>
        <w:drawing>
          <wp:inline distT="0" distB="0" distL="0" distR="0" wp14:anchorId="3D2E8CB3" wp14:editId="134C882C">
            <wp:extent cx="6188710" cy="2051685"/>
            <wp:effectExtent l="0" t="0" r="2540" b="5715"/>
            <wp:docPr id="185439101" name="Picture 1" descr="C3 Complaints YTD Comparison Table&#10;The first row shows 302 total complaints received PYTD compared to 289 YTD (down 4.3% on last year).&#10;The second row shows 246 on duty allegations PYTD compared to 281 YTD (up 14.2% on last year).&#10;The third row shows 182 quality of service allegations PYTD compared to 106 YTD (down 41.8% on last year).&#10;The fourth row shows 77 total allegations closed PYTD compared to 36 YTD (down 53.2% on last year).&#10;The fifth row shows 23.4% of total allegations upheld PYTD compared to 13.9% YTD (down 9.5%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9101" name="Picture 1" descr="C3 Complaints YTD Comparison Table&#10;The first row shows 302 total complaints received PYTD compared to 289 YTD (down 4.3% on last year).&#10;The second row shows 246 on duty allegations PYTD compared to 281 YTD (up 14.2% on last year).&#10;The third row shows 182 quality of service allegations PYTD compared to 106 YTD (down 41.8% on last year).&#10;The fourth row shows 77 total allegations closed PYTD compared to 36 YTD (down 53.2% on last year).&#10;The fifth row shows 23.4% of total allegations upheld PYTD compared to 13.9% YTD (down 9.5% points on last year).&#10;"/>
                    <pic:cNvPicPr/>
                  </pic:nvPicPr>
                  <pic:blipFill>
                    <a:blip r:embed="rId77"/>
                    <a:stretch>
                      <a:fillRect/>
                    </a:stretch>
                  </pic:blipFill>
                  <pic:spPr>
                    <a:xfrm>
                      <a:off x="0" y="0"/>
                      <a:ext cx="6188710" cy="2051685"/>
                    </a:xfrm>
                    <a:prstGeom prst="rect">
                      <a:avLst/>
                    </a:prstGeom>
                  </pic:spPr>
                </pic:pic>
              </a:graphicData>
            </a:graphic>
          </wp:inline>
        </w:drawing>
      </w:r>
    </w:p>
    <w:p w14:paraId="307758C4" w14:textId="77777777" w:rsidR="00FD34C1" w:rsidRDefault="00FD34C1" w:rsidP="00FD34C1">
      <w:pPr>
        <w:rPr>
          <w:noProof/>
        </w:rPr>
      </w:pPr>
      <w:r>
        <w:rPr>
          <w:noProof/>
        </w:rPr>
        <w:t>In total, 72.3% of complaint cases received YTD for C3 Division were Frontline Resolved by the PSD National Complaints Assessment and Resolution Unit (NCARU). This rate rises to 73.4%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6D95122B" w14:textId="77777777" w:rsidR="00FD34C1" w:rsidRDefault="00FD34C1" w:rsidP="00FD34C1">
      <w:pPr>
        <w:rPr>
          <w:noProof/>
        </w:rPr>
      </w:pPr>
      <w:r>
        <w:rPr>
          <w:noProof/>
        </w:rPr>
        <w:t>The volume of complaints against C3 Division has decreased by 4.3% YTD, with a total of 289 received compared to 302 received PYTD. Decreases are visible in the North (down 5.9%, 48 cases) and West (down 8.5%, 140 cases). However, an increase was registered in the East (up 3.1%, 101 cases).</w:t>
      </w:r>
    </w:p>
    <w:p w14:paraId="0AE6F9F4" w14:textId="77777777" w:rsidR="00FD34C1" w:rsidRDefault="00FD34C1" w:rsidP="00FD34C1">
      <w:pPr>
        <w:rPr>
          <w:noProof/>
        </w:rPr>
      </w:pPr>
      <w:r>
        <w:rPr>
          <w:noProof/>
        </w:rPr>
        <w:t xml:space="preserve">Incivility (205) remains the most common allegation type. This volume represents a 10.8% increase from the same period in 2023/24, accounting for an additional 20 allegations. </w:t>
      </w:r>
    </w:p>
    <w:p w14:paraId="5A0FC2B5" w14:textId="77777777" w:rsidR="00FD34C1" w:rsidRDefault="00FD34C1" w:rsidP="00FD34C1">
      <w:pPr>
        <w:rPr>
          <w:noProof/>
        </w:rPr>
      </w:pPr>
      <w:r>
        <w:rPr>
          <w:noProof/>
        </w:rPr>
        <w:t>Irregularity in Procedure has also increased in this period, with 68 allegations received YTD, which represents a 33.3% increase (an additional 17 allegations). Although this is linked to increases across multiple allegation sub-types, the highest volume of increase amongst those relates to ‘Provide insufficient explanation regarding police procedures’ (up seven allegations).</w:t>
      </w:r>
    </w:p>
    <w:p w14:paraId="04392202" w14:textId="29AD7505" w:rsidR="00F15817" w:rsidRPr="00116BB9" w:rsidRDefault="00FD34C1" w:rsidP="00FD34C1">
      <w:pPr>
        <w:rPr>
          <w:rFonts w:eastAsiaTheme="majorEastAsia" w:cstheme="majorBidi"/>
          <w:b/>
          <w:sz w:val="28"/>
        </w:rPr>
      </w:pPr>
      <w:r>
        <w:rPr>
          <w:noProof/>
        </w:rPr>
        <w:t>Also of note is a reduction in Service Delivery allegations (down 59.1%), accounting for 68 less allegations compared to the same period in 2023/24. This reduction is assessed to be a key influence in the overall decrease in complaints received against C3 nationally.</w:t>
      </w:r>
    </w:p>
    <w:p w14:paraId="3BFF54D4" w14:textId="31290DC1" w:rsidR="00F15817" w:rsidRDefault="00F15817" w:rsidP="00F15817">
      <w:r>
        <w:rPr>
          <w:noProof/>
        </w:rPr>
        <w:lastRenderedPageBreak/>
        <w:drawing>
          <wp:inline distT="0" distB="0" distL="0" distR="0" wp14:anchorId="0F01719E" wp14:editId="3070CFEA">
            <wp:extent cx="6188710" cy="3394075"/>
            <wp:effectExtent l="0" t="0" r="2540" b="0"/>
            <wp:docPr id="1460145418" name="Picture 1" descr="PIRC Referrals YTD Comparison Table&#10;The first row shows 92 Armed Policing referrals to PIRC PYTD compared to 116 YTD (up 26.1%).&#10;The second row shows 20 crown directed inference of criminality referrals to PIRC PYTD compared to 10 YTD (down 50.0%).&#10;The third row shows 10 death following police contact referrals to PIRC PYTD compared to 11 YTD (up 10.0%).&#10;The fourth row shows 1 death in police custody referrals to PIRC PYTD compared to 1 YTD (no change).&#10;The fifth row shows zero Other – Serious Incident referrals to PIRC PYTD compared to zero YTD (no change).&#10;The sixth row shows 29 serious injury following police contact referrals to PIRC PYTD compared to 54 YTD (up 86.2%).&#10;The seventh row shows 63 serious injury in police custody referrals to PIRC PYTD compared to 56 YTD (down 11.1%).&#10;The eighth row shows 85 STO taser discharged referrals to PIRC PYTD compared to 94 YTD (up 10.6%).&#10;The ninth rows shows 300 total referrals to PIRC PYTD compared to 342 YTD (up 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45418" name="Picture 1" descr="PIRC Referrals YTD Comparison Table&#10;The first row shows 92 Armed Policing referrals to PIRC PYTD compared to 116 YTD (up 26.1%).&#10;The second row shows 20 crown directed inference of criminality referrals to PIRC PYTD compared to 10 YTD (down 50.0%).&#10;The third row shows 10 death following police contact referrals to PIRC PYTD compared to 11 YTD (up 10.0%).&#10;The fourth row shows 1 death in police custody referrals to PIRC PYTD compared to 1 YTD (no change).&#10;The fifth row shows zero Other – Serious Incident referrals to PIRC PYTD compared to zero YTD (no change).&#10;The sixth row shows 29 serious injury following police contact referrals to PIRC PYTD compared to 54 YTD (up 86.2%).&#10;The seventh row shows 63 serious injury in police custody referrals to PIRC PYTD compared to 56 YTD (down 11.1%).&#10;The eighth row shows 85 STO taser discharged referrals to PIRC PYTD compared to 94 YTD (up 10.6%).&#10;The ninth rows shows 300 total referrals to PIRC PYTD compared to 342 YTD (up 14.0%).&#10;"/>
                    <pic:cNvPicPr/>
                  </pic:nvPicPr>
                  <pic:blipFill>
                    <a:blip r:embed="rId78"/>
                    <a:stretch>
                      <a:fillRect/>
                    </a:stretch>
                  </pic:blipFill>
                  <pic:spPr>
                    <a:xfrm>
                      <a:off x="0" y="0"/>
                      <a:ext cx="6188710" cy="3394075"/>
                    </a:xfrm>
                    <a:prstGeom prst="rect">
                      <a:avLst/>
                    </a:prstGeom>
                  </pic:spPr>
                </pic:pic>
              </a:graphicData>
            </a:graphic>
          </wp:inline>
        </w:drawing>
      </w:r>
    </w:p>
    <w:p w14:paraId="4D6613F2" w14:textId="46133C59" w:rsidR="00F15817" w:rsidRDefault="00F15817" w:rsidP="00F15817">
      <w:r>
        <w:t xml:space="preserve">Statutory referrals to PIRC facilitate independent and transparent scrutiny in relation to serious incidents involving the police. Police Scotland made </w:t>
      </w:r>
      <w:r w:rsidR="00F54860">
        <w:t>34</w:t>
      </w:r>
      <w:r>
        <w:t>2 referrals (up 1</w:t>
      </w:r>
      <w:r w:rsidR="00F54860">
        <w:t>4</w:t>
      </w:r>
      <w:r>
        <w:t xml:space="preserve">.0%, </w:t>
      </w:r>
      <w:r w:rsidR="00F54860">
        <w:t>42</w:t>
      </w:r>
      <w:r>
        <w:t xml:space="preserve"> more referrals on PYTD) to PIRC resulting in </w:t>
      </w:r>
      <w:r w:rsidR="00F54860">
        <w:t>2</w:t>
      </w:r>
      <w:r>
        <w:t>8 investigations (</w:t>
      </w:r>
      <w:r w:rsidR="00F54860">
        <w:t>8.2</w:t>
      </w:r>
      <w:r>
        <w:t>%). The percentage resulting in an investigation is however down 6.</w:t>
      </w:r>
      <w:r w:rsidR="00F54860">
        <w:t>8</w:t>
      </w:r>
      <w:r>
        <w:t xml:space="preserve"> percentage points on last year.</w:t>
      </w:r>
    </w:p>
    <w:p w14:paraId="6017F6F7" w14:textId="1EF892F5" w:rsidR="00F15817" w:rsidRDefault="00F15817" w:rsidP="00F15817">
      <w:r>
        <w:t>Referrals have increased compared to the PYTD for armed policing (up 2</w:t>
      </w:r>
      <w:r w:rsidR="00F54860">
        <w:t>4</w:t>
      </w:r>
      <w:r>
        <w:t xml:space="preserve"> referrals), death </w:t>
      </w:r>
      <w:r w:rsidR="00F54860">
        <w:t>following</w:t>
      </w:r>
      <w:r>
        <w:t xml:space="preserve"> police c</w:t>
      </w:r>
      <w:r w:rsidR="00F54860">
        <w:t>ontact</w:t>
      </w:r>
      <w:r>
        <w:t xml:space="preserve"> (up one referral), serious injury following police contact (up </w:t>
      </w:r>
      <w:r w:rsidR="00F54860">
        <w:t>25</w:t>
      </w:r>
      <w:r>
        <w:t xml:space="preserve"> referrals) and </w:t>
      </w:r>
      <w:r w:rsidR="00F54860">
        <w:t>STO taser discharged</w:t>
      </w:r>
      <w:r>
        <w:t xml:space="preserve"> (up </w:t>
      </w:r>
      <w:r w:rsidR="00F54860">
        <w:t>nine</w:t>
      </w:r>
      <w:r>
        <w:t xml:space="preserve"> referrals).</w:t>
      </w:r>
    </w:p>
    <w:p w14:paraId="126A4996" w14:textId="370467CC" w:rsidR="00F15817" w:rsidRDefault="00F15817" w:rsidP="00F15817">
      <w:r>
        <w:rPr>
          <w:noProof/>
        </w:rPr>
        <w:drawing>
          <wp:inline distT="0" distB="0" distL="0" distR="0" wp14:anchorId="3F0ECF62" wp14:editId="061D7C25">
            <wp:extent cx="6188710" cy="1721485"/>
            <wp:effectExtent l="0" t="0" r="2540" b="0"/>
            <wp:docPr id="2062549686" name="Picture 1" descr="PSD Investigations YTD Comparison Table&#10;The first row shows 70 PSD misconduct/gross misconduct investigations PYTD compared to 125 YTD (up 78.6%).&#10;The second row shows 294 PSD misconduct no investigation PYTD compared to 231 YTD (down 21.4%).&#10;The third row shows 101 PSD no misconduct PYTD compared to 61 YTD (down 39.6%).&#10;The fourth row shows 465 total PSD preliminary conduct assessments PYTD compared to 417 YTD (down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49686" name="Picture 1" descr="PSD Investigations YTD Comparison Table&#10;The first row shows 70 PSD misconduct/gross misconduct investigations PYTD compared to 125 YTD (up 78.6%).&#10;The second row shows 294 PSD misconduct no investigation PYTD compared to 231 YTD (down 21.4%).&#10;The third row shows 101 PSD no misconduct PYTD compared to 61 YTD (down 39.6%).&#10;The fourth row shows 465 total PSD preliminary conduct assessments PYTD compared to 417 YTD (down 10.3%).&#10;"/>
                    <pic:cNvPicPr/>
                  </pic:nvPicPr>
                  <pic:blipFill>
                    <a:blip r:embed="rId79"/>
                    <a:stretch>
                      <a:fillRect/>
                    </a:stretch>
                  </pic:blipFill>
                  <pic:spPr>
                    <a:xfrm>
                      <a:off x="0" y="0"/>
                      <a:ext cx="6188710" cy="1721485"/>
                    </a:xfrm>
                    <a:prstGeom prst="rect">
                      <a:avLst/>
                    </a:prstGeom>
                  </pic:spPr>
                </pic:pic>
              </a:graphicData>
            </a:graphic>
          </wp:inline>
        </w:drawing>
      </w:r>
    </w:p>
    <w:p w14:paraId="1295A988" w14:textId="1823B244" w:rsidR="00F15817" w:rsidRPr="00116AA2" w:rsidRDefault="00F15817" w:rsidP="00F15817">
      <w:pPr>
        <w:rPr>
          <w:b/>
        </w:rPr>
      </w:pPr>
      <w:r w:rsidRPr="00B744EC">
        <w:t xml:space="preserve">There were </w:t>
      </w:r>
      <w:r w:rsidR="00F54860">
        <w:t>417</w:t>
      </w:r>
      <w:r w:rsidRPr="00B744EC">
        <w:t xml:space="preserve"> preliminary conduct assessments undertaken YTD which is down </w:t>
      </w:r>
      <w:r>
        <w:t>1</w:t>
      </w:r>
      <w:r w:rsidR="00F54860">
        <w:t>0.</w:t>
      </w:r>
      <w:r>
        <w:t>3</w:t>
      </w:r>
      <w:r w:rsidRPr="00B744EC">
        <w:t>% (</w:t>
      </w:r>
      <w:r>
        <w:t>4</w:t>
      </w:r>
      <w:r w:rsidR="00F54860">
        <w:t>8</w:t>
      </w:r>
      <w:r w:rsidRPr="00B744EC">
        <w:t xml:space="preserve"> fewer assessments) on the same period last year. </w:t>
      </w:r>
      <w:r>
        <w:t>1</w:t>
      </w:r>
      <w:r w:rsidR="00F54860">
        <w:t>25</w:t>
      </w:r>
      <w:r w:rsidRPr="00B744EC">
        <w:t xml:space="preserve"> assessments have required a misconduct/gross misconduct investigation, this is up </w:t>
      </w:r>
      <w:r w:rsidR="00F54860">
        <w:t>55</w:t>
      </w:r>
      <w:r w:rsidRPr="00B744EC">
        <w:t xml:space="preserve"> investigations (</w:t>
      </w:r>
      <w:r>
        <w:t>7</w:t>
      </w:r>
      <w:r w:rsidR="00F54860">
        <w:t>8.6</w:t>
      </w:r>
      <w:r w:rsidRPr="00B744EC">
        <w:t>%) compared to last year. The remaining assessments resulted in either misconduct – no investigation (</w:t>
      </w:r>
      <w:r w:rsidR="00F54860">
        <w:t>23</w:t>
      </w:r>
      <w:r w:rsidRPr="00B744EC">
        <w:t>1) or no misconduct (</w:t>
      </w:r>
      <w:r w:rsidR="00F54860">
        <w:t>61</w:t>
      </w:r>
      <w:r w:rsidRPr="00B744EC">
        <w:t>).</w:t>
      </w:r>
    </w:p>
    <w:p w14:paraId="12957610" w14:textId="77777777" w:rsidR="00F15817" w:rsidRDefault="00F15817" w:rsidP="000603A2">
      <w:pPr>
        <w:pStyle w:val="Heading4"/>
      </w:pPr>
      <w:r w:rsidRPr="00797A7A">
        <w:t>PSD Disseminated Learning during this Quarter</w:t>
      </w:r>
    </w:p>
    <w:p w14:paraId="20D5A205" w14:textId="7325B2AF" w:rsidR="00F54860" w:rsidRDefault="00F15817" w:rsidP="00F54860">
      <w:r w:rsidRPr="00116AA2">
        <w:t>P</w:t>
      </w:r>
      <w:r w:rsidR="00F54860">
        <w:t xml:space="preserve">SD is committed to promoting a culture of organisational and individual learning. Learning from CHRs and other sources are disseminated through bulletins, individual feedback and </w:t>
      </w:r>
      <w:r w:rsidR="00F54860">
        <w:lastRenderedPageBreak/>
        <w:t>used to inform training packages. This learning can therefore influence and improve our service.</w:t>
      </w:r>
    </w:p>
    <w:p w14:paraId="3EB55F6D" w14:textId="77777777" w:rsidR="00F54860" w:rsidRDefault="00F54860" w:rsidP="00F54860">
      <w:r>
        <w:t>In the last quarter, PSD has disseminated learning from a variety of incidents.  The following learning outcome was of particular note:</w:t>
      </w:r>
    </w:p>
    <w:p w14:paraId="5F6332AC" w14:textId="7E728E07" w:rsidR="00F15817" w:rsidRPr="0061535A" w:rsidRDefault="00F54860" w:rsidP="00477DB0">
      <w:pPr>
        <w:pStyle w:val="Bullets"/>
        <w:rPr>
          <w:rFonts w:eastAsiaTheme="majorEastAsia" w:cstheme="majorBidi"/>
          <w:b/>
          <w:sz w:val="28"/>
        </w:rPr>
      </w:pPr>
      <w:r>
        <w:t>It was observed that an account from (a subject officer) to inform the complaint enquiry was an example of a thorough and detailed response to a complaint. Each attachment and its relevance are clearly identified which we found beneficial when carrying out this review. This learning should be shared with (subject officer), (investigating officer) and all complaint handling staff as an example of good practice</w:t>
      </w:r>
      <w:r w:rsidR="00F15817">
        <w:t>.</w:t>
      </w:r>
    </w:p>
    <w:p w14:paraId="3391AF4D" w14:textId="6DF2BF3F" w:rsidR="00752630" w:rsidRDefault="00752630" w:rsidP="000603A2">
      <w:pPr>
        <w:pStyle w:val="Heading4"/>
      </w:pPr>
      <w:r w:rsidRPr="000F0BB8">
        <w:t>Assaults on Police Officers and Police Staff</w:t>
      </w:r>
      <w:r>
        <w:t xml:space="preserve"> (Strategic Outcome 4)</w:t>
      </w:r>
    </w:p>
    <w:p w14:paraId="5FC4593B" w14:textId="0621D9A9" w:rsidR="00EF6752" w:rsidRDefault="00D80348" w:rsidP="00BF7C38">
      <w:r>
        <w:rPr>
          <w:noProof/>
        </w:rPr>
        <w:drawing>
          <wp:inline distT="0" distB="0" distL="0" distR="0" wp14:anchorId="5BA7E5E9" wp14:editId="734D5ADB">
            <wp:extent cx="6188710" cy="1182370"/>
            <wp:effectExtent l="0" t="0" r="2540" b="0"/>
            <wp:docPr id="1971066751" name="Picture 1" descr="Assaults on Police Officers/Police Staff YTD Comparison Table&#10;The first row shows 6,734 assaults of emergency workers (police officer/staff) offences PYTD compared to 7,159 YTD (up 6.3% on last year). The six month sparkline shows a low of 468 assaults in October; 579 assaults in November; 566 assaults in December; 565 assaults in January; 523 assaults in February; and a high of 650 assaults in March.&#10;The second row shows 33 assault RIDDORS PYTD compared to 49 YTD (up 48.5% on last year).&#10;The third row shows 2.0 assault RIDDORS per 1k employment PYTD compared to 3.2 YTD (up 60.0%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66751" name="Picture 1" descr="Assaults on Police Officers/Police Staff YTD Comparison Table&#10;The first row shows 6,734 assaults of emergency workers (police officer/staff) offences PYTD compared to 7,159 YTD (up 6.3% on last year). The six month sparkline shows a low of 468 assaults in October; 579 assaults in November; 566 assaults in December; 565 assaults in January; 523 assaults in February; and a high of 650 assaults in March.&#10;The second row shows 33 assault RIDDORS PYTD compared to 49 YTD (up 48.5% on last year).&#10;The third row shows 2.0 assault RIDDORS per 1k employment PYTD compared to 3.2 YTD (up 60.0% on last year).&#10;"/>
                    <pic:cNvPicPr/>
                  </pic:nvPicPr>
                  <pic:blipFill>
                    <a:blip r:embed="rId80"/>
                    <a:stretch>
                      <a:fillRect/>
                    </a:stretch>
                  </pic:blipFill>
                  <pic:spPr>
                    <a:xfrm>
                      <a:off x="0" y="0"/>
                      <a:ext cx="6188710" cy="1182370"/>
                    </a:xfrm>
                    <a:prstGeom prst="rect">
                      <a:avLst/>
                    </a:prstGeom>
                  </pic:spPr>
                </pic:pic>
              </a:graphicData>
            </a:graphic>
          </wp:inline>
        </w:drawing>
      </w:r>
    </w:p>
    <w:p w14:paraId="1DF41152" w14:textId="0B06AD13" w:rsidR="00EF6752" w:rsidRDefault="00105303" w:rsidP="00BF7C38">
      <w:r>
        <w:rPr>
          <w:noProof/>
        </w:rPr>
        <w:drawing>
          <wp:inline distT="0" distB="0" distL="0" distR="0" wp14:anchorId="1A2A5F63" wp14:editId="29899DFD">
            <wp:extent cx="6188710" cy="902970"/>
            <wp:effectExtent l="0" t="0" r="2540" b="0"/>
            <wp:docPr id="1641551333" name="Picture 1" descr="Assaults on Police Officers/Police Staff Five-Year Comparison Table&#10;The first row shows the five-year mean for assaults of emergency workers (police officer/staff) offences was 6,926.6 compared to 7,159 YTD (up 3.4% on five-year mean). The five-year sparkline shows a high of 7,298 assaults in 2020/21; 7,099 assaults in 2021/22; a low of 6,658 assaults in 2022/23; 6,734 assaults in 2023/24; and 7,159 assaults in 2024/25 YTD.&#10;The second row shows the five-year mean for number of assault RIDDORS is 31.2 PYTD compared to 49 YTD (up 57.1%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1333" name="Picture 1" descr="Assaults on Police Officers/Police Staff Five-Year Comparison Table&#10;The first row shows the five-year mean for assaults of emergency workers (police officer/staff) offences was 6,926.6 compared to 7,159 YTD (up 3.4% on five-year mean). The five-year sparkline shows a high of 7,298 assaults in 2020/21; 7,099 assaults in 2021/22; a low of 6,658 assaults in 2022/23; 6,734 assaults in 2023/24; and 7,159 assaults in 2024/25 YTD.&#10;The second row shows the five-year mean for number of assault RIDDORS is 31.2 PYTD compared to 49 YTD (up 57.1% on five-year mean).&#10;"/>
                    <pic:cNvPicPr/>
                  </pic:nvPicPr>
                  <pic:blipFill>
                    <a:blip r:embed="rId81"/>
                    <a:stretch>
                      <a:fillRect/>
                    </a:stretch>
                  </pic:blipFill>
                  <pic:spPr>
                    <a:xfrm>
                      <a:off x="0" y="0"/>
                      <a:ext cx="6188710" cy="902970"/>
                    </a:xfrm>
                    <a:prstGeom prst="rect">
                      <a:avLst/>
                    </a:prstGeom>
                  </pic:spPr>
                </pic:pic>
              </a:graphicData>
            </a:graphic>
          </wp:inline>
        </w:drawing>
      </w:r>
    </w:p>
    <w:p w14:paraId="48B94335" w14:textId="0FDC6842" w:rsidR="00EF6752" w:rsidRDefault="00105303" w:rsidP="00BF7C38">
      <w:r>
        <w:rPr>
          <w:noProof/>
        </w:rPr>
        <w:drawing>
          <wp:inline distT="0" distB="0" distL="0" distR="0" wp14:anchorId="159860E1" wp14:editId="5475130C">
            <wp:extent cx="6188710" cy="618490"/>
            <wp:effectExtent l="0" t="0" r="2540" b="0"/>
            <wp:docPr id="1834437069" name="Picture 1" descr="Assaults on Police Officers/Police Staff YTD % Comparison Table&#10;This table shows 25.3% of assaults leading to injury PYTD compared to 24.8% YTD (down 0.5%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37069" name="Picture 1" descr="Assaults on Police Officers/Police Staff YTD % Comparison Table&#10;This table shows 25.3% of assaults leading to injury PYTD compared to 24.8% YTD (down 0.5% points on last year).&#10;"/>
                    <pic:cNvPicPr/>
                  </pic:nvPicPr>
                  <pic:blipFill>
                    <a:blip r:embed="rId82"/>
                    <a:stretch>
                      <a:fillRect/>
                    </a:stretch>
                  </pic:blipFill>
                  <pic:spPr>
                    <a:xfrm>
                      <a:off x="0" y="0"/>
                      <a:ext cx="6188710" cy="618490"/>
                    </a:xfrm>
                    <a:prstGeom prst="rect">
                      <a:avLst/>
                    </a:prstGeom>
                  </pic:spPr>
                </pic:pic>
              </a:graphicData>
            </a:graphic>
          </wp:inline>
        </w:drawing>
      </w:r>
    </w:p>
    <w:p w14:paraId="53C00C5C" w14:textId="58CC0EAF" w:rsidR="00EF6752" w:rsidRDefault="00105303" w:rsidP="00BF7C38">
      <w:r>
        <w:rPr>
          <w:noProof/>
        </w:rPr>
        <w:drawing>
          <wp:inline distT="0" distB="0" distL="0" distR="0" wp14:anchorId="275C2C0A" wp14:editId="10DEB64D">
            <wp:extent cx="6188710" cy="623570"/>
            <wp:effectExtent l="0" t="0" r="2540" b="5080"/>
            <wp:docPr id="107533686" name="Picture 1" descr="Assaults on Police Officers/Police Staff Five-Year % Comparison Table&#10;This table shows the five-year mean for assaults leading to injury was 30.6% compared to 24.8% YTD (down 5.8% points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686" name="Picture 1" descr="Assaults on Police Officers/Police Staff Five-Year % Comparison Table&#10;This table shows the five-year mean for assaults leading to injury was 30.6% compared to 24.8% YTD (down 5.8% points on five-year mean).&#10;"/>
                    <pic:cNvPicPr/>
                  </pic:nvPicPr>
                  <pic:blipFill>
                    <a:blip r:embed="rId83"/>
                    <a:stretch>
                      <a:fillRect/>
                    </a:stretch>
                  </pic:blipFill>
                  <pic:spPr>
                    <a:xfrm>
                      <a:off x="0" y="0"/>
                      <a:ext cx="6188710" cy="623570"/>
                    </a:xfrm>
                    <a:prstGeom prst="rect">
                      <a:avLst/>
                    </a:prstGeom>
                  </pic:spPr>
                </pic:pic>
              </a:graphicData>
            </a:graphic>
          </wp:inline>
        </w:drawing>
      </w:r>
    </w:p>
    <w:p w14:paraId="7F9EB8A1" w14:textId="354CD79B" w:rsidR="007F5C6F" w:rsidRDefault="0016319C" w:rsidP="0016319C">
      <w:r>
        <w:t>In 2024/25</w:t>
      </w:r>
      <w:r w:rsidR="007F5C6F">
        <w:t>, a total of</w:t>
      </w:r>
      <w:r>
        <w:t xml:space="preserve"> 7,159 assaults against officers/staff have been recorded. This is an average of 20 assaults on officers/staff per day, just under one every hour.</w:t>
      </w:r>
      <w:r w:rsidR="00477DB0">
        <w:t xml:space="preserve"> </w:t>
      </w:r>
      <w:r>
        <w:t xml:space="preserve">Assaults against officers/staff have increased </w:t>
      </w:r>
      <w:r w:rsidR="0085232D">
        <w:t>from the previous year</w:t>
      </w:r>
      <w:r>
        <w:t xml:space="preserve"> </w:t>
      </w:r>
      <w:r w:rsidR="0085232D">
        <w:t>(</w:t>
      </w:r>
      <w:r w:rsidR="000A3B87">
        <w:t xml:space="preserve">up </w:t>
      </w:r>
      <w:r>
        <w:t>6.3%</w:t>
      </w:r>
      <w:r w:rsidR="0085232D">
        <w:t>, 425</w:t>
      </w:r>
      <w:r w:rsidR="000A3B87">
        <w:t xml:space="preserve"> more</w:t>
      </w:r>
      <w:r>
        <w:t>)</w:t>
      </w:r>
      <w:r w:rsidR="0085232D">
        <w:t xml:space="preserve"> and five</w:t>
      </w:r>
      <w:r w:rsidR="008A124B">
        <w:t>-</w:t>
      </w:r>
      <w:r w:rsidR="0085232D">
        <w:t>year mean (</w:t>
      </w:r>
      <w:r w:rsidR="00105303">
        <w:t xml:space="preserve">up </w:t>
      </w:r>
      <w:r w:rsidR="0085232D">
        <w:t>3.4%, 232.4</w:t>
      </w:r>
      <w:r w:rsidR="00105303">
        <w:t xml:space="preserve"> more</w:t>
      </w:r>
      <w:r w:rsidR="0085232D">
        <w:t>)</w:t>
      </w:r>
      <w:r w:rsidR="007F71F3">
        <w:t>, h</w:t>
      </w:r>
      <w:r w:rsidR="0085232D">
        <w:t>owever, no month has been above the monthly control limits.</w:t>
      </w:r>
    </w:p>
    <w:p w14:paraId="622D2D18" w14:textId="124830A3" w:rsidR="0085232D" w:rsidRDefault="0085232D" w:rsidP="0016319C">
      <w:r>
        <w:t>Therefore, it is assessed this increase is part of expected variation in data, but it is notable that seven months have been on or above the centre control line.</w:t>
      </w:r>
      <w:r w:rsidR="00C2548A">
        <w:t xml:space="preserve"> However, Police Scotland continue to try and reduce assaults and injuries of officers/staff and </w:t>
      </w:r>
      <w:r w:rsidR="00C2548A" w:rsidRPr="00C2548A">
        <w:t>the</w:t>
      </w:r>
      <w:r w:rsidR="00C2548A">
        <w:t xml:space="preserve"> Operational Safety Training </w:t>
      </w:r>
      <w:r w:rsidR="00C2548A" w:rsidRPr="00C2548A">
        <w:t xml:space="preserve">department </w:t>
      </w:r>
      <w:r w:rsidR="00C2548A">
        <w:t xml:space="preserve">have </w:t>
      </w:r>
      <w:r w:rsidR="00C2548A" w:rsidRPr="00C2548A">
        <w:t>deliver</w:t>
      </w:r>
      <w:r w:rsidR="00C2548A">
        <w:t>ed</w:t>
      </w:r>
      <w:r w:rsidR="00C2548A" w:rsidRPr="00C2548A">
        <w:t xml:space="preserve"> a pilot to test if additional training dosage would make </w:t>
      </w:r>
      <w:r w:rsidR="00C2548A">
        <w:t>officers/staff</w:t>
      </w:r>
      <w:r w:rsidR="00C2548A" w:rsidRPr="00C2548A">
        <w:t xml:space="preserve"> safer.</w:t>
      </w:r>
      <w:r w:rsidR="00C2548A">
        <w:t xml:space="preserve"> The Analysis and Performance Unit are conducting a review of the</w:t>
      </w:r>
      <w:r w:rsidR="00271F5E">
        <w:t xml:space="preserve"> effectiveness of the</w:t>
      </w:r>
      <w:r w:rsidR="00C2548A">
        <w:t xml:space="preserve"> pilot with results expect</w:t>
      </w:r>
      <w:r w:rsidR="00CD0C04">
        <w:t>ed</w:t>
      </w:r>
      <w:r w:rsidR="00C2548A">
        <w:t xml:space="preserve"> in Q</w:t>
      </w:r>
      <w:r w:rsidR="00CD0C04">
        <w:t xml:space="preserve">uarter </w:t>
      </w:r>
      <w:r w:rsidR="00C2548A">
        <w:t>1 of 2025/26.</w:t>
      </w:r>
    </w:p>
    <w:p w14:paraId="687EA7A8" w14:textId="206A8D61" w:rsidR="0085232D" w:rsidRDefault="0085232D" w:rsidP="0016319C">
      <w:r>
        <w:rPr>
          <w:noProof/>
        </w:rPr>
        <w:lastRenderedPageBreak/>
        <w:drawing>
          <wp:inline distT="0" distB="0" distL="0" distR="0" wp14:anchorId="386CD999" wp14:editId="78855FD9">
            <wp:extent cx="6188710" cy="1752600"/>
            <wp:effectExtent l="0" t="0" r="2540" b="0"/>
            <wp:docPr id="803975954" name="Picture 1" descr="XMR Control Chart&#10;This line graphs ranges from 400 assaults to 700 assaults and shows the number of assaults per month from 2020 through to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5954" name="Picture 1" descr="XMR Control Chart&#10;This line graphs ranges from 400 assaults to 700 assaults and shows the number of assaults per month from 2020 through to 2025.&#10;"/>
                    <pic:cNvPicPr/>
                  </pic:nvPicPr>
                  <pic:blipFill>
                    <a:blip r:embed="rId84"/>
                    <a:stretch>
                      <a:fillRect/>
                    </a:stretch>
                  </pic:blipFill>
                  <pic:spPr>
                    <a:xfrm>
                      <a:off x="0" y="0"/>
                      <a:ext cx="6188710" cy="1752600"/>
                    </a:xfrm>
                    <a:prstGeom prst="rect">
                      <a:avLst/>
                    </a:prstGeom>
                  </pic:spPr>
                </pic:pic>
              </a:graphicData>
            </a:graphic>
          </wp:inline>
        </w:drawing>
      </w:r>
    </w:p>
    <w:p w14:paraId="33896A32" w14:textId="64AA00D3" w:rsidR="0039682B" w:rsidRDefault="0016319C" w:rsidP="0016319C">
      <w:r>
        <w:t>Despite the increases in assaults</w:t>
      </w:r>
      <w:r w:rsidR="0039682B">
        <w:t xml:space="preserve"> the injury rate</w:t>
      </w:r>
      <w:r>
        <w:t xml:space="preserve"> </w:t>
      </w:r>
      <w:r w:rsidR="0039682B">
        <w:t>for 2024/25 (24.8%)</w:t>
      </w:r>
      <w:r>
        <w:t xml:space="preserve"> has</w:t>
      </w:r>
      <w:r w:rsidR="0039682B">
        <w:t xml:space="preserve"> fallen compared to the previous year (</w:t>
      </w:r>
      <w:r w:rsidR="00105303">
        <w:t xml:space="preserve">down </w:t>
      </w:r>
      <w:r w:rsidR="0039682B">
        <w:t xml:space="preserve">0.5 percentage points) and </w:t>
      </w:r>
      <w:r w:rsidR="00105303">
        <w:t xml:space="preserve">the </w:t>
      </w:r>
      <w:r w:rsidR="0039682B">
        <w:t>five</w:t>
      </w:r>
      <w:r w:rsidR="00105303">
        <w:t>-</w:t>
      </w:r>
      <w:r w:rsidR="0039682B">
        <w:t>year mean (</w:t>
      </w:r>
      <w:r w:rsidR="00105303">
        <w:t xml:space="preserve">down </w:t>
      </w:r>
      <w:r w:rsidR="0039682B">
        <w:t>5.8 percentage points).</w:t>
      </w:r>
      <w:r>
        <w:t xml:space="preserve"> </w:t>
      </w:r>
    </w:p>
    <w:p w14:paraId="63962C88" w14:textId="04DBDC7D" w:rsidR="0016319C" w:rsidRPr="001C02F9" w:rsidRDefault="0016319C" w:rsidP="0016319C">
      <w:r>
        <w:t xml:space="preserve">Additionally, </w:t>
      </w:r>
      <w:r w:rsidR="0039682B">
        <w:t xml:space="preserve">the repeat injury rate for assaults on officers/staff in 2024/25 (7.5%) has remained the same as the previous year. </w:t>
      </w:r>
    </w:p>
    <w:p w14:paraId="64028E37" w14:textId="3E186C32" w:rsidR="00752630" w:rsidRDefault="00752630" w:rsidP="000603A2">
      <w:pPr>
        <w:pStyle w:val="Heading4"/>
      </w:pPr>
      <w:r>
        <w:t>People and Development (Strategic Outcome 4)</w:t>
      </w:r>
    </w:p>
    <w:p w14:paraId="4397F834" w14:textId="10ECB62E" w:rsidR="00D97613" w:rsidRDefault="00D97613" w:rsidP="000603A2">
      <w:pPr>
        <w:pStyle w:val="Heading4"/>
      </w:pPr>
      <w:r w:rsidRPr="00CD0C04">
        <w:t xml:space="preserve">Absence </w:t>
      </w:r>
      <w:r w:rsidR="004C779B">
        <w:rPr>
          <w:noProof/>
        </w:rPr>
        <w:drawing>
          <wp:inline distT="0" distB="0" distL="0" distR="0" wp14:anchorId="5D2DBFB1" wp14:editId="16730840">
            <wp:extent cx="6188710" cy="3194050"/>
            <wp:effectExtent l="0" t="0" r="2540" b="6350"/>
            <wp:docPr id="1177250855" name="Picture 1" descr="Police Officer WDL% PQ Comparison Visualisation&#10;This visualisation shows the WDL percentages (dark blue), LTA WDL percentages (orange) and STA WDL percentages (light blue) from quarter 1 2022 to quarter 3 2024 for police officers. &#10;The WDL percentages were 7.4% in Q1 2022; 6.7% in Q2 2022; 7.5% in Q3 2022; 6.4% in Q4 2022; 5.6% in Q1 2023; 6.4% in Q2 2023; 7.2% in Q3 2023; 6.6% in Q4 2023; 6.4% in Q1 2024; 6.5% in Q2 2024; 7.3% in Q3 2024; and 6.8% in Q4 2024.&#10;The LTA WDL percentages were 4.1% in Q1 2022; 4.3% in Q2 2022; 4.3% in Q3 2022; 3.7% in Q4 2022; 3.7% in Q1 2023; 4.3% in Q2 2023; 4.4% in Q3 2023; 3.8% in Q4 2023; 4.2% in Q1 2024; 4.4% in Q2 2024; 4.6% in Q3 2024; and 4.3% in Q4 2024. &#10;The STA WDL percentages were 3.3% in Q1 2022; 2.4% in Q2 2022; 3.2% in Q3 2022; 2.7% in Q4 2022; 1.9% in Q1 2023; 2.1% in Q2 2023; 2.8% in Q3 2023; 2.7% in Q4 2023; 2.2% in Q1 2024; 2.1% in Q2 2024; 2.7% in Q3 2024; and 2.5% in Q4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50855" name="Picture 1" descr="Police Officer WDL% PQ Comparison Visualisation&#10;This visualisation shows the WDL percentages (dark blue), LTA WDL percentages (orange) and STA WDL percentages (light blue) from quarter 1 2022 to quarter 3 2024 for police officers. &#10;The WDL percentages were 7.4% in Q1 2022; 6.7% in Q2 2022; 7.5% in Q3 2022; 6.4% in Q4 2022; 5.6% in Q1 2023; 6.4% in Q2 2023; 7.2% in Q3 2023; 6.6% in Q4 2023; 6.4% in Q1 2024; 6.5% in Q2 2024; 7.3% in Q3 2024; and 6.8% in Q4 2024.&#10;The LTA WDL percentages were 4.1% in Q1 2022; 4.3% in Q2 2022; 4.3% in Q3 2022; 3.7% in Q4 2022; 3.7% in Q1 2023; 4.3% in Q2 2023; 4.4% in Q3 2023; 3.8% in Q4 2023; 4.2% in Q1 2024; 4.4% in Q2 2024; 4.6% in Q3 2024; and 4.3% in Q4 2024. &#10;The STA WDL percentages were 3.3% in Q1 2022; 2.4% in Q2 2022; 3.2% in Q3 2022; 2.7% in Q4 2022; 1.9% in Q1 2023; 2.1% in Q2 2023; 2.8% in Q3 2023; 2.7% in Q4 2023; 2.2% in Q1 2024; 2.1% in Q2 2024; 2.7% in Q3 2024; and 2.5% in Q4 2024.&#10;"/>
                    <pic:cNvPicPr/>
                  </pic:nvPicPr>
                  <pic:blipFill>
                    <a:blip r:embed="rId85"/>
                    <a:stretch>
                      <a:fillRect/>
                    </a:stretch>
                  </pic:blipFill>
                  <pic:spPr>
                    <a:xfrm>
                      <a:off x="0" y="0"/>
                      <a:ext cx="6188710" cy="3194050"/>
                    </a:xfrm>
                    <a:prstGeom prst="rect">
                      <a:avLst/>
                    </a:prstGeom>
                  </pic:spPr>
                </pic:pic>
              </a:graphicData>
            </a:graphic>
          </wp:inline>
        </w:drawing>
      </w:r>
    </w:p>
    <w:p w14:paraId="0046BEA3" w14:textId="77777777" w:rsidR="004C779B" w:rsidRPr="004C779B" w:rsidRDefault="004C779B" w:rsidP="004C779B">
      <w:pPr>
        <w:spacing w:before="0" w:after="0"/>
      </w:pPr>
    </w:p>
    <w:p w14:paraId="2246BA84" w14:textId="4E2C7116" w:rsidR="00D97613" w:rsidRPr="004C779B" w:rsidRDefault="004C779B" w:rsidP="00434C64">
      <w:r>
        <w:rPr>
          <w:noProof/>
        </w:rPr>
        <w:lastRenderedPageBreak/>
        <w:drawing>
          <wp:inline distT="0" distB="0" distL="0" distR="0" wp14:anchorId="19FB4903" wp14:editId="2C312B7D">
            <wp:extent cx="6188710" cy="3211195"/>
            <wp:effectExtent l="0" t="0" r="2540" b="8255"/>
            <wp:docPr id="785093177" name="Picture 1" descr="Police Staff WDL% PQ Comparison Visualisation&#10;This visualisation shows the WDL percentages (dark blue), LTA WDL percentages (orange) and STA WDL percentages (light blue) from quarter 1 2022 to quarter 3 2024 for police staff. &#10;The WDL percentages were 7.5% in Q1 2022; 6.6% in Q2 2022; 7.1% in Q3 2022; 6.3% in Q4 2022; 6.0% in Q1 2023; 6.4% in Q2 2023; 7.4% in Q3 2023; 6.9% in Q4 2023; 6.8% in Q1 2024; 6.9% in Q2 2024; 7.5% in Q3 2024; and 7.4% in Q4 2024.&#10;The LTA WDL percentages were 4.5% in Q1 2022; 4.1% in Q2 2022; 4.0% in Q3 2022; 3.4% in Q4 2022; 3.8% in Q1 2023; 4.0% in Q2 2023; 4.7% in Q3 2023; 4.1% in Q4 2023; 4.4% in Q1 2024; 4.7% in Q2 2024; 4.8% in Q3 2024; and 4.6% in Q4 2024. &#10;The STA WDL percentages were 3.0% in Q1 2022; 2.5% in Q2 2022; 3.1% in Q3 2022; 2.9% in Q4 2022; 2.1% in Q1 2023; 2.4% in Q2 2023; 2.8% in Q3 2023; 2.8% in Q4 2023; 2.5% in Q1 2024; 2.2% in Q2 2024 2.7% in Q3 2024; and 2.8% in Q4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93177" name="Picture 1" descr="Police Staff WDL% PQ Comparison Visualisation&#10;This visualisation shows the WDL percentages (dark blue), LTA WDL percentages (orange) and STA WDL percentages (light blue) from quarter 1 2022 to quarter 3 2024 for police staff. &#10;The WDL percentages were 7.5% in Q1 2022; 6.6% in Q2 2022; 7.1% in Q3 2022; 6.3% in Q4 2022; 6.0% in Q1 2023; 6.4% in Q2 2023; 7.4% in Q3 2023; 6.9% in Q4 2023; 6.8% in Q1 2024; 6.9% in Q2 2024; 7.5% in Q3 2024; and 7.4% in Q4 2024.&#10;The LTA WDL percentages were 4.5% in Q1 2022; 4.1% in Q2 2022; 4.0% in Q3 2022; 3.4% in Q4 2022; 3.8% in Q1 2023; 4.0% in Q2 2023; 4.7% in Q3 2023; 4.1% in Q4 2023; 4.4% in Q1 2024; 4.7% in Q2 2024; 4.8% in Q3 2024; and 4.6% in Q4 2024. &#10;The STA WDL percentages were 3.0% in Q1 2022; 2.5% in Q2 2022; 3.1% in Q3 2022; 2.9% in Q4 2022; 2.1% in Q1 2023; 2.4% in Q2 2023; 2.8% in Q3 2023; 2.8% in Q4 2023; 2.5% in Q1 2024; 2.2% in Q2 2024 2.7% in Q3 2024; and 2.8% in Q4 2024.&#10;"/>
                    <pic:cNvPicPr/>
                  </pic:nvPicPr>
                  <pic:blipFill>
                    <a:blip r:embed="rId86"/>
                    <a:stretch>
                      <a:fillRect/>
                    </a:stretch>
                  </pic:blipFill>
                  <pic:spPr>
                    <a:xfrm>
                      <a:off x="0" y="0"/>
                      <a:ext cx="6188710" cy="3211195"/>
                    </a:xfrm>
                    <a:prstGeom prst="rect">
                      <a:avLst/>
                    </a:prstGeom>
                  </pic:spPr>
                </pic:pic>
              </a:graphicData>
            </a:graphic>
          </wp:inline>
        </w:drawing>
      </w:r>
    </w:p>
    <w:p w14:paraId="668A6655" w14:textId="455D491F" w:rsidR="00CB3402" w:rsidRDefault="00CB3402" w:rsidP="004C779B">
      <w:pPr>
        <w:spacing w:before="0" w:after="0"/>
      </w:pPr>
    </w:p>
    <w:p w14:paraId="3DBA2ACB" w14:textId="30A48B79" w:rsidR="004C779B" w:rsidRDefault="004C779B" w:rsidP="00CB3402">
      <w:r>
        <w:rPr>
          <w:noProof/>
        </w:rPr>
        <w:drawing>
          <wp:inline distT="0" distB="0" distL="0" distR="0" wp14:anchorId="33877ED8" wp14:editId="76E4373C">
            <wp:extent cx="6188710" cy="3197225"/>
            <wp:effectExtent l="0" t="0" r="2540" b="3175"/>
            <wp:docPr id="800732347" name="Picture 1" descr="Psychological Disorders WDL% - PQ Trend Visualisation&#10;This visualisation shows the psychological disorders WDL percentages for police officers (blue) and police staff (orange) from quarter 1 2022 to quarter 3 2024 for police staff. &#10;The psychological disorders WDL percentages for police officers were 1.6% in Q1 2022; 1.8% in Q2 2022; 1.9% in Q3 2022; 1.8% in Q4 2022; 1.7% in Q1 2023; 2.1% in Q2 2023; 2.1% in Q3 2023; 2.0% in Q4 2023; 2.2% in Q1 2024; 2.4% in Q2 2024; 2.5% in Q3 2024; and 2.3% in Q4 2024.&#10;The psychological disorders WDL percentages for police staff were 1.6% in Q1 2022; 1.6% in Q2 2022; 1.6% in Q3 2022; 1.6% in Q4 2022; 1.9% in Q1 2023; 2.2% in Q2 2023; 2.4% in Q3 2023; 1.9% in Q4 2023; 2.1% in Q1 2024; 2.1% in Q2 2024; 2.2% in Q3 2024; and 2.1% in Q4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32347" name="Picture 1" descr="Psychological Disorders WDL% - PQ Trend Visualisation&#10;This visualisation shows the psychological disorders WDL percentages for police officers (blue) and police staff (orange) from quarter 1 2022 to quarter 3 2024 for police staff. &#10;The psychological disorders WDL percentages for police officers were 1.6% in Q1 2022; 1.8% in Q2 2022; 1.9% in Q3 2022; 1.8% in Q4 2022; 1.7% in Q1 2023; 2.1% in Q2 2023; 2.1% in Q3 2023; 2.0% in Q4 2023; 2.2% in Q1 2024; 2.4% in Q2 2024; 2.5% in Q3 2024; and 2.3% in Q4 2024.&#10;The psychological disorders WDL percentages for police staff were 1.6% in Q1 2022; 1.6% in Q2 2022; 1.6% in Q3 2022; 1.6% in Q4 2022; 1.9% in Q1 2023; 2.2% in Q2 2023; 2.4% in Q3 2023; 1.9% in Q4 2023; 2.1% in Q1 2024; 2.1% in Q2 2024; 2.2% in Q3 2024; and 2.1% in Q4 2024.&#10;"/>
                    <pic:cNvPicPr/>
                  </pic:nvPicPr>
                  <pic:blipFill>
                    <a:blip r:embed="rId87"/>
                    <a:stretch>
                      <a:fillRect/>
                    </a:stretch>
                  </pic:blipFill>
                  <pic:spPr>
                    <a:xfrm>
                      <a:off x="0" y="0"/>
                      <a:ext cx="6188710" cy="3197225"/>
                    </a:xfrm>
                    <a:prstGeom prst="rect">
                      <a:avLst/>
                    </a:prstGeom>
                  </pic:spPr>
                </pic:pic>
              </a:graphicData>
            </a:graphic>
          </wp:inline>
        </w:drawing>
      </w:r>
    </w:p>
    <w:p w14:paraId="67A71A09" w14:textId="5FF8160C" w:rsidR="00CB3402" w:rsidRPr="00CB3402" w:rsidRDefault="00375D3F" w:rsidP="00CB3402">
      <w:r>
        <w:t>Q</w:t>
      </w:r>
      <w:r w:rsidR="00CB3402" w:rsidRPr="00CB3402">
        <w:t>uarter</w:t>
      </w:r>
      <w:r>
        <w:t xml:space="preserve"> 4</w:t>
      </w:r>
      <w:r w:rsidR="00CB3402" w:rsidRPr="00CB3402">
        <w:t xml:space="preserve"> records working days lost </w:t>
      </w:r>
      <w:r w:rsidR="004C779B">
        <w:t xml:space="preserve">are </w:t>
      </w:r>
      <w:r w:rsidR="00CB3402" w:rsidRPr="00CB3402">
        <w:t>sitting at 7% organisationally</w:t>
      </w:r>
      <w:r>
        <w:t xml:space="preserve"> (Officers and Staff)</w:t>
      </w:r>
      <w:r w:rsidR="00CB3402" w:rsidRPr="00CB3402">
        <w:t>, which is a 0.3% average decrease in working days lost (WDL) in comparison to last quarter. This decrease is recorded in both short- and long-term absences and largely due to a 0.2% reduction in the long-term psychological disorders absences this quarter.</w:t>
      </w:r>
    </w:p>
    <w:p w14:paraId="109EBCCA" w14:textId="17D7A47E" w:rsidR="00CB3402" w:rsidRPr="00CB3402" w:rsidRDefault="00CB3402" w:rsidP="00CB3402">
      <w:r w:rsidRPr="00CB3402">
        <w:t>In quarter four, the top three reasons for long term absences (LTAs), for both officers and staff, are psychological disorders, musculoskeletal and miscellaneous. Respiratory illnesses represent the top reason for short term absences.</w:t>
      </w:r>
    </w:p>
    <w:p w14:paraId="5D18914E" w14:textId="77777777" w:rsidR="00CB3402" w:rsidRPr="00CD0C04" w:rsidRDefault="00CB3402" w:rsidP="00CD0C04">
      <w:pPr>
        <w:pStyle w:val="Heading4"/>
      </w:pPr>
      <w:r w:rsidRPr="00CD0C04">
        <w:lastRenderedPageBreak/>
        <w:t>Supporting our workforce’s wellbeing</w:t>
      </w:r>
    </w:p>
    <w:p w14:paraId="0BD1EBBA" w14:textId="77777777" w:rsidR="00375D3F" w:rsidRDefault="00CB3402" w:rsidP="00CB3402">
      <w:r w:rsidRPr="00CB3402">
        <w:t>Our wellbeing and health &amp; safety teams continue provide a suite of offerings to keep our people healthy and prevent ill-health and injury.</w:t>
      </w:r>
    </w:p>
    <w:p w14:paraId="128B5539" w14:textId="4FBEC700" w:rsidR="00CB3402" w:rsidRPr="00CB3402" w:rsidRDefault="00CB3402" w:rsidP="00CB3402">
      <w:r w:rsidRPr="00CB3402">
        <w:t>We have invested almost £17 million over four years to support the health and wellbeing of our people. This investment has provided colleagues with an improved employee assistance programme (EAP) and new occupational health services.</w:t>
      </w:r>
    </w:p>
    <w:p w14:paraId="74BDF65C" w14:textId="77777777" w:rsidR="00CB3402" w:rsidRPr="00CB3402" w:rsidRDefault="00CB3402" w:rsidP="00CB3402">
      <w:r w:rsidRPr="00CB3402">
        <w:t>In 2024/25, our occupational health service:</w:t>
      </w:r>
    </w:p>
    <w:p w14:paraId="5D40D07A" w14:textId="77777777" w:rsidR="00CB3402" w:rsidRPr="0010279A" w:rsidRDefault="00CB3402" w:rsidP="004C779B">
      <w:pPr>
        <w:pStyle w:val="Bullets"/>
        <w:rPr>
          <w:rFonts w:cs="Arial"/>
        </w:rPr>
      </w:pPr>
      <w:r w:rsidRPr="004C779B">
        <w:t>received 5,833 referrals (for reports/reviews of complex cases/further medical evidence);</w:t>
      </w:r>
    </w:p>
    <w:p w14:paraId="1A8AC305" w14:textId="3B47CD9B" w:rsidR="00CB3402" w:rsidRPr="0010279A" w:rsidRDefault="00CB3402" w:rsidP="004C779B">
      <w:pPr>
        <w:pStyle w:val="Bullets"/>
        <w:rPr>
          <w:rFonts w:cs="Arial"/>
        </w:rPr>
      </w:pPr>
      <w:r w:rsidRPr="004C779B">
        <w:t>provided 3,018 ‘fit for task’ medicals (e.g. for work involving firearms, driving, diving, etc.)</w:t>
      </w:r>
    </w:p>
    <w:p w14:paraId="58686378" w14:textId="77777777" w:rsidR="00CB3402" w:rsidRPr="0010279A" w:rsidRDefault="00CB3402" w:rsidP="004C779B">
      <w:pPr>
        <w:pStyle w:val="Bullets"/>
        <w:rPr>
          <w:rFonts w:cs="Arial"/>
        </w:rPr>
      </w:pPr>
      <w:r w:rsidRPr="004C779B">
        <w:t>provided 1,450 assessments (night worker/hearing/psychological); and</w:t>
      </w:r>
    </w:p>
    <w:p w14:paraId="37BCC577" w14:textId="77777777" w:rsidR="00CB3402" w:rsidRPr="0010279A" w:rsidRDefault="00CB3402" w:rsidP="004C779B">
      <w:pPr>
        <w:pStyle w:val="Bullets"/>
        <w:rPr>
          <w:rFonts w:cs="Arial"/>
        </w:rPr>
      </w:pPr>
      <w:r w:rsidRPr="004C779B">
        <w:t>provided 1,418 recruitment medicals.</w:t>
      </w:r>
    </w:p>
    <w:p w14:paraId="7DFAE168" w14:textId="1E3B8B32" w:rsidR="00D97613" w:rsidRDefault="00CB3402" w:rsidP="00CB3402">
      <w:r w:rsidRPr="00CB3402">
        <w:t>Our EAP helpline received 1,956 calls and its online portal was accessed 4,427 times. The EAP provided counselling services for 1,104 people. Counselling interventions appear to have led to positive improvements, with 86% of individuals showing an improved global distress score (GDS) from the first of their sessions to the last.</w:t>
      </w:r>
    </w:p>
    <w:p w14:paraId="68550397" w14:textId="75646C2B" w:rsidR="00375D3F" w:rsidRPr="00CD0C04" w:rsidRDefault="00375D3F" w:rsidP="00CD0C04">
      <w:pPr>
        <w:pStyle w:val="Heading4"/>
      </w:pPr>
      <w:r w:rsidRPr="00CD0C04">
        <w:t>Grievance</w:t>
      </w:r>
      <w:r>
        <w:rPr>
          <w:bCs/>
        </w:rPr>
        <w:t>s</w:t>
      </w:r>
    </w:p>
    <w:p w14:paraId="46123032" w14:textId="51B8888F" w:rsidR="00375D3F" w:rsidRDefault="004C779B" w:rsidP="00CB3402">
      <w:r>
        <w:rPr>
          <w:noProof/>
        </w:rPr>
        <w:drawing>
          <wp:inline distT="0" distB="0" distL="0" distR="0" wp14:anchorId="2F5BC67E" wp14:editId="712F1C1A">
            <wp:extent cx="6188710" cy="3164205"/>
            <wp:effectExtent l="0" t="0" r="2540" b="0"/>
            <wp:docPr id="2553130" name="Picture 1" descr="Grievances Cases Opened Per Quarter Comparison Chart&#10;This bar chart shows the number of grievances cases opened per quarter by police officers (blue) and police staff (orange) in 2023/24 and 2024/25.&#10;In Q1 2023/24, there were 16 by police officers and 9 by police staff; in Q2 2023/24, there were 25 by police officers and 12 by police staff; in Q3 2023/24, there were 25 by police officers and 4 by police staff; in Q4 2023/24, there were 18 by police officers and 5 by police staff.  &#10;In Q1 2024/25, there were 25 by police officers and 6 by police staff; in Q2 2024/25, there were 30 by police officers and 7 by police staff; in Q3 2024/25, there were 21 by police officers and 7 by police staff; and in Q4 2024/25, there were 33 by police officers and 5 by police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130" name="Picture 1" descr="Grievances Cases Opened Per Quarter Comparison Chart&#10;This bar chart shows the number of grievances cases opened per quarter by police officers (blue) and police staff (orange) in 2023/24 and 2024/25.&#10;In Q1 2023/24, there were 16 by police officers and 9 by police staff; in Q2 2023/24, there were 25 by police officers and 12 by police staff; in Q3 2023/24, there were 25 by police officers and 4 by police staff; in Q4 2023/24, there were 18 by police officers and 5 by police staff.  &#10;In Q1 2024/25, there were 25 by police officers and 6 by police staff; in Q2 2024/25, there were 30 by police officers and 7 by police staff; in Q3 2024/25, there were 21 by police officers and 7 by police staff; and in Q4 2024/25, there were 33 by police officers and 5 by police staff.&#10;"/>
                    <pic:cNvPicPr/>
                  </pic:nvPicPr>
                  <pic:blipFill>
                    <a:blip r:embed="rId88"/>
                    <a:stretch>
                      <a:fillRect/>
                    </a:stretch>
                  </pic:blipFill>
                  <pic:spPr>
                    <a:xfrm>
                      <a:off x="0" y="0"/>
                      <a:ext cx="6188710" cy="3164205"/>
                    </a:xfrm>
                    <a:prstGeom prst="rect">
                      <a:avLst/>
                    </a:prstGeom>
                  </pic:spPr>
                </pic:pic>
              </a:graphicData>
            </a:graphic>
          </wp:inline>
        </w:drawing>
      </w:r>
    </w:p>
    <w:p w14:paraId="3F873DE0" w14:textId="55B29080" w:rsidR="00375D3F" w:rsidRPr="00375D3F" w:rsidRDefault="00375D3F" w:rsidP="00375D3F">
      <w:r>
        <w:t>In Quarter 4</w:t>
      </w:r>
      <w:r w:rsidRPr="00375D3F">
        <w:t xml:space="preserve">, 38 new grievance cases were reported, 33 of which were raised by police officers and </w:t>
      </w:r>
      <w:r w:rsidR="00C813B6">
        <w:t>five</w:t>
      </w:r>
      <w:r w:rsidRPr="00375D3F">
        <w:t xml:space="preserve"> by police staff. At the end of quarter four, we have 27 trained mediators and a caseload of 19 mediation referrals representing a 16% increase on the previous year. However, we recognise this quarter has the highest number of grievances raised within the last two years.</w:t>
      </w:r>
    </w:p>
    <w:p w14:paraId="19E6A0D9" w14:textId="77777777" w:rsidR="00375D3F" w:rsidRPr="00375D3F" w:rsidRDefault="00375D3F" w:rsidP="00375D3F">
      <w:r w:rsidRPr="00375D3F">
        <w:lastRenderedPageBreak/>
        <w:t>We continue to adopt and promote a number of interventions to improve grievance handling and outcomes for the organisation and our people, including the Creating a Positive Workplace initiative. Key changes in policy, procedure and approaches have been previously reported to members and we are taking additional steps to enhance their impact including:</w:t>
      </w:r>
    </w:p>
    <w:p w14:paraId="2AB923FE" w14:textId="07B60E57" w:rsidR="00375D3F" w:rsidRPr="00375D3F" w:rsidRDefault="00375D3F" w:rsidP="00375D3F">
      <w:r w:rsidRPr="00375D3F">
        <w:t>Mediation to be considered in the first instance – when a grievance is raised, individual(s) will be asked to consider mediation in the first instance with supporting contact and material to outline its benefits.</w:t>
      </w:r>
    </w:p>
    <w:p w14:paraId="1BA6A0F7" w14:textId="6E50E36A" w:rsidR="00375D3F" w:rsidRPr="00375D3F" w:rsidRDefault="00375D3F" w:rsidP="00375D3F">
      <w:r w:rsidRPr="00375D3F">
        <w:t>Creating a Positive Workplace / Resolving workplace issues sections within People Management Development Programme (PMDP) to be reviewed to enhance knowledge and understanding of our mediation facility. We will explore the introduction of an additional section focused on handling challenging conversations.</w:t>
      </w:r>
    </w:p>
    <w:p w14:paraId="6279E777" w14:textId="3031421C" w:rsidR="00375D3F" w:rsidRPr="00375D3F" w:rsidRDefault="00375D3F" w:rsidP="00375D3F">
      <w:r w:rsidRPr="00375D3F">
        <w:t>The Police Leadership Development Programme (PLDP) will be updated to mirror the PMDP in relation to grievance and mediation content.</w:t>
      </w:r>
    </w:p>
    <w:p w14:paraId="34481468" w14:textId="79B1A1DC" w:rsidR="00375D3F" w:rsidRDefault="00375D3F" w:rsidP="00375D3F">
      <w:r w:rsidRPr="00375D3F">
        <w:t>A standalone module on grievances and workplace issues will be included within the Senior Leaders PMDP which is currently in development. This module will include a mediation focus as well as a conflict resolution strategy and training on handling grievances and grievance appeals.</w:t>
      </w:r>
    </w:p>
    <w:p w14:paraId="487E0C26" w14:textId="77777777" w:rsidR="00752630" w:rsidRDefault="00752630" w:rsidP="000603A2">
      <w:pPr>
        <w:pStyle w:val="Heading4"/>
      </w:pPr>
      <w:r>
        <w:t>Finance (Strategic Outcome 5)</w:t>
      </w:r>
    </w:p>
    <w:p w14:paraId="26A4F13D" w14:textId="76F55C49" w:rsidR="00752630" w:rsidRDefault="00752630" w:rsidP="000603A2">
      <w:pPr>
        <w:pStyle w:val="Heading4"/>
      </w:pPr>
      <w:r>
        <w:t>Maintaining a Balanced B</w:t>
      </w:r>
      <w:r w:rsidRPr="009C6C23">
        <w:t>udget</w:t>
      </w:r>
      <w:r>
        <w:t>/Financial Sustainability</w:t>
      </w:r>
    </w:p>
    <w:p w14:paraId="0A9AC35F" w14:textId="77777777" w:rsidR="00E01AF8" w:rsidRDefault="00E01AF8" w:rsidP="00E01AF8">
      <w:r>
        <w:t>The 2024/25 balanced budget was approved by the Board at the Authority meeting held on 21 March 2024. The budget highlighted the key budgeting assumptions that were sensitive to change, and which could result in a material change to the overall financial position. The budget has been closely monitored, and a breakeven position has been reported consistently throughout the year.</w:t>
      </w:r>
    </w:p>
    <w:p w14:paraId="6E45D3CC" w14:textId="77777777" w:rsidR="00E01AF8" w:rsidRDefault="00E01AF8" w:rsidP="00E01AF8">
      <w:r>
        <w:t>The organisation reports core Revenue and Reform as two separate funding streams, however, this is actually one revenue allocation from Scottish Government. The overall net revenue position is a £0.2m underspend against budget, which is largely in line with the forecast breakeven position.</w:t>
      </w:r>
    </w:p>
    <w:p w14:paraId="07DB3379" w14:textId="77777777" w:rsidR="00E01AF8" w:rsidRDefault="00E01AF8" w:rsidP="00E01AF8">
      <w:r>
        <w:t>Following significant effort across the organisation, Capital is also showing a breakeven position in line with funding.</w:t>
      </w:r>
    </w:p>
    <w:p w14:paraId="7F524DE5" w14:textId="77777777" w:rsidR="00E01AF8" w:rsidRDefault="00E01AF8" w:rsidP="00E01AF8">
      <w:pPr>
        <w:pStyle w:val="Heading4"/>
      </w:pPr>
      <w:r>
        <w:t>Revenue</w:t>
      </w:r>
    </w:p>
    <w:p w14:paraId="13833917" w14:textId="77777777" w:rsidR="00E01AF8" w:rsidRDefault="00E01AF8" w:rsidP="00E01AF8">
      <w:r>
        <w:t>The provisional core Revenue Budget position for the year ended 31 March 2025 shows net expenditure of £1,399.2m against total funding of £1,396.9m, resulting in an overspend of £2.3m which is offset by an underspend in Revenue Reform of £2.5m, to leave an overall net underspend of £0.2m in Revenue.</w:t>
      </w:r>
    </w:p>
    <w:p w14:paraId="2C31D43D" w14:textId="77777777" w:rsidR="00E01AF8" w:rsidRDefault="00E01AF8" w:rsidP="00E01AF8">
      <w:r>
        <w:t xml:space="preserve">Police staff and officers’ numbers ran below budgeted establishment for the majority of the financial year, and when coupled with running a more efficient VRVER exercise than was originally planned, underspends in non-pay costs, over-recovery of income and other one-off benefits, this allowed the Authority to fund additional pay award costs and revenue </w:t>
      </w:r>
      <w:r>
        <w:lastRenderedPageBreak/>
        <w:t>investment bids to support modernisation of the workforce and additional police officer overtime.</w:t>
      </w:r>
    </w:p>
    <w:p w14:paraId="0EA7FA6F" w14:textId="77777777" w:rsidR="00E01AF8" w:rsidRDefault="00E01AF8" w:rsidP="00E01AF8">
      <w:pPr>
        <w:pStyle w:val="Heading4"/>
      </w:pPr>
      <w:r>
        <w:t>Capital</w:t>
      </w:r>
    </w:p>
    <w:p w14:paraId="5D3F38BB" w14:textId="77777777" w:rsidR="00E01AF8" w:rsidRDefault="00E01AF8" w:rsidP="00E01AF8">
      <w:r>
        <w:t>The full year provisional outturn capital spend is £76.5m against funding of £76.5m, resulting in a break-even position.</w:t>
      </w:r>
    </w:p>
    <w:p w14:paraId="5D7057EA" w14:textId="77777777" w:rsidR="00E01AF8" w:rsidRDefault="00E01AF8" w:rsidP="00E01AF8">
      <w:r>
        <w:t xml:space="preserve">With only 55% of available funding spent by the end of Quarter 3, Capital Investment Group (CIG) approved an overallocation of investment to be managed across financial years to mitigate the potential risk of slippage. </w:t>
      </w:r>
    </w:p>
    <w:p w14:paraId="39E9A11F" w14:textId="77777777" w:rsidR="00E01AF8" w:rsidRDefault="00E01AF8" w:rsidP="00E01AF8">
      <w:r>
        <w:t>These actions allowed effective management of capital position resulting in the Police Authority now delivering a balanced capital position in line with funding.</w:t>
      </w:r>
    </w:p>
    <w:p w14:paraId="52D6F86E" w14:textId="77777777" w:rsidR="00E01AF8" w:rsidRDefault="00E01AF8" w:rsidP="00E01AF8">
      <w:pPr>
        <w:pStyle w:val="Heading4"/>
      </w:pPr>
      <w:r>
        <w:t>Reform</w:t>
      </w:r>
    </w:p>
    <w:p w14:paraId="0379BB14" w14:textId="2FE65FAA" w:rsidR="00752630" w:rsidRPr="000737DA" w:rsidRDefault="00E01AF8" w:rsidP="007F5C6F">
      <w:r w:rsidRPr="00AE5101">
        <w:t>The full year provisional outturn Revenue Reform spend is £22.5m against funding of £25.0m.  This is in line with the Quarter 3 forecast where £2.5m of the reform budget was allocated to support overall pay award pressures</w:t>
      </w:r>
      <w:r>
        <w:t>.</w:t>
      </w:r>
      <w:bookmarkStart w:id="48" w:name="_Hlk140139969"/>
      <w:bookmarkStart w:id="49" w:name="_Hlk166674009"/>
    </w:p>
    <w:bookmarkEnd w:id="48"/>
    <w:bookmarkEnd w:id="49"/>
    <w:p w14:paraId="700AAF4D" w14:textId="77777777" w:rsidR="00752630" w:rsidRDefault="00752630" w:rsidP="000603A2">
      <w:pPr>
        <w:pStyle w:val="Heading4"/>
      </w:pPr>
      <w:r>
        <w:t>Environmental</w:t>
      </w:r>
    </w:p>
    <w:p w14:paraId="39B1A953" w14:textId="77777777" w:rsidR="00EF6752" w:rsidRDefault="00EF6752" w:rsidP="00FF3A39">
      <w:pPr>
        <w:rPr>
          <w:noProof/>
        </w:rPr>
      </w:pPr>
      <w:r>
        <w:rPr>
          <w:noProof/>
        </w:rPr>
        <w:drawing>
          <wp:inline distT="0" distB="0" distL="0" distR="0" wp14:anchorId="228858CA" wp14:editId="6BF5E570">
            <wp:extent cx="6188710" cy="1492885"/>
            <wp:effectExtent l="0" t="0" r="2540" b="0"/>
            <wp:docPr id="423674422" name="Picture 1" descr="Energy Consumption YTD (April to February) Comparison Table&#10;The first row shows 64,048,486 kWh of gas consumption PYTD compared to 61,901,797 kWh YTD (down 3.4% on last year).&#10;The second row shows 46,059,098 kWh of electricity consumption PYTD compared to 44,424,617 kWh YTD (down 3.5% on last year).&#10;The third row shows 264,150 m3 of water consumption PYTD compared to 245,890 m3 YTD (down 6.9%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74422" name="Picture 1" descr="Energy Consumption YTD (April to February) Comparison Table&#10;The first row shows 64,048,486 kWh of gas consumption PYTD compared to 61,901,797 kWh YTD (down 3.4% on last year).&#10;The second row shows 46,059,098 kWh of electricity consumption PYTD compared to 44,424,617 kWh YTD (down 3.5% on last year).&#10;The third row shows 264,150 m3 of water consumption PYTD compared to 245,890 m3 YTD (down 6.9% on last year).&#10;"/>
                    <pic:cNvPicPr/>
                  </pic:nvPicPr>
                  <pic:blipFill>
                    <a:blip r:embed="rId89"/>
                    <a:stretch>
                      <a:fillRect/>
                    </a:stretch>
                  </pic:blipFill>
                  <pic:spPr>
                    <a:xfrm>
                      <a:off x="0" y="0"/>
                      <a:ext cx="6188710" cy="1492885"/>
                    </a:xfrm>
                    <a:prstGeom prst="rect">
                      <a:avLst/>
                    </a:prstGeom>
                  </pic:spPr>
                </pic:pic>
              </a:graphicData>
            </a:graphic>
          </wp:inline>
        </w:drawing>
      </w:r>
    </w:p>
    <w:p w14:paraId="63F56FDC" w14:textId="77777777" w:rsidR="00E50D9C" w:rsidRDefault="00E50D9C" w:rsidP="00FF3A39">
      <w:pPr>
        <w:rPr>
          <w:noProof/>
        </w:rPr>
      </w:pPr>
      <w:r>
        <w:rPr>
          <w:noProof/>
        </w:rPr>
        <w:drawing>
          <wp:inline distT="0" distB="0" distL="0" distR="0" wp14:anchorId="5019F25D" wp14:editId="656FFF1A">
            <wp:extent cx="6188710" cy="1490980"/>
            <wp:effectExtent l="0" t="0" r="2540" b="0"/>
            <wp:docPr id="551012620" name="Picture 1" descr="Energy Consumption Five-Year (April to February) Comparison Table&#10;The first row shows the five-year mean for gas consumption is 70,035,889 kWh compared to 61,901,797 kWh YTD (down 11.6% on five-year mean).&#10;The second row shows the five-year mean for electricity consumption is 48,660,181 kWh compared to 44,424,617 kWh YTD (down 8.7% on five-year mean).&#10;The third row shows the five-year mean for water consumption is 298,170 m3 compared to 245,890 m3 YTD (down 17.5%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12620" name="Picture 1" descr="Energy Consumption Five-Year (April to February) Comparison Table&#10;The first row shows the five-year mean for gas consumption is 70,035,889 kWh compared to 61,901,797 kWh YTD (down 11.6% on five-year mean).&#10;The second row shows the five-year mean for electricity consumption is 48,660,181 kWh compared to 44,424,617 kWh YTD (down 8.7% on five-year mean).&#10;The third row shows the five-year mean for water consumption is 298,170 m3 compared to 245,890 m3 YTD (down 17.5% on five-year mean).&#10;"/>
                    <pic:cNvPicPr/>
                  </pic:nvPicPr>
                  <pic:blipFill>
                    <a:blip r:embed="rId90"/>
                    <a:stretch>
                      <a:fillRect/>
                    </a:stretch>
                  </pic:blipFill>
                  <pic:spPr>
                    <a:xfrm>
                      <a:off x="0" y="0"/>
                      <a:ext cx="6188710" cy="1490980"/>
                    </a:xfrm>
                    <a:prstGeom prst="rect">
                      <a:avLst/>
                    </a:prstGeom>
                  </pic:spPr>
                </pic:pic>
              </a:graphicData>
            </a:graphic>
          </wp:inline>
        </w:drawing>
      </w:r>
    </w:p>
    <w:p w14:paraId="212AB4A4" w14:textId="416F30DE" w:rsidR="00BA7563" w:rsidRDefault="00BA7563" w:rsidP="00BA7563">
      <w:pPr>
        <w:rPr>
          <w:noProof/>
        </w:rPr>
      </w:pPr>
      <w:r>
        <w:rPr>
          <w:noProof/>
        </w:rPr>
        <w:t xml:space="preserve">We can see a reduction to data against all utilities based on last year and the five-year </w:t>
      </w:r>
      <w:r w:rsidR="007F5C6F">
        <w:rPr>
          <w:noProof/>
        </w:rPr>
        <w:t>mean</w:t>
      </w:r>
      <w:r>
        <w:rPr>
          <w:noProof/>
        </w:rPr>
        <w:t>. Electricity continues to show a reduction based on last year and the average for the past five years. This points to a long-term reduction driven by previous and current Estate rationalisation and upgrade of electrical infrastructure and office equipment.</w:t>
      </w:r>
    </w:p>
    <w:p w14:paraId="7E60B76A" w14:textId="5BFEB73E" w:rsidR="00BA7563" w:rsidRDefault="00BA7563" w:rsidP="00BA7563">
      <w:pPr>
        <w:rPr>
          <w:noProof/>
        </w:rPr>
      </w:pPr>
      <w:r>
        <w:rPr>
          <w:noProof/>
        </w:rPr>
        <w:t xml:space="preserve">Gas consumption is now showing a reduction against the previous year as well </w:t>
      </w:r>
      <w:r w:rsidR="007F5C6F">
        <w:rPr>
          <w:noProof/>
        </w:rPr>
        <w:t xml:space="preserve">as </w:t>
      </w:r>
      <w:r>
        <w:rPr>
          <w:noProof/>
        </w:rPr>
        <w:t>the rolling average. This may be due to climatic differences for the winter season just ended. we continue to see a reduction in consumption against the five-year mean. This reflects the work done on reducing estate footprint and continuing improvement of heating and hot water infrastructure across the portfolio.</w:t>
      </w:r>
    </w:p>
    <w:p w14:paraId="5F69546B" w14:textId="219A79D2" w:rsidR="00BA7563" w:rsidRDefault="00BA7563" w:rsidP="00BA7563">
      <w:pPr>
        <w:rPr>
          <w:noProof/>
        </w:rPr>
      </w:pPr>
      <w:r>
        <w:rPr>
          <w:noProof/>
        </w:rPr>
        <w:lastRenderedPageBreak/>
        <w:t>We continue to see a reduction in water consumption across the two time periods. This is likely due in part to the same driver of estate rationalisation, infrastructure improvement and low occupancy levels within some buildings.</w:t>
      </w:r>
    </w:p>
    <w:p w14:paraId="7DE962E5" w14:textId="410724E8" w:rsidR="00BA7563" w:rsidRDefault="00BA7563" w:rsidP="00BA7563">
      <w:pPr>
        <w:rPr>
          <w:noProof/>
        </w:rPr>
      </w:pPr>
      <w:r>
        <w:rPr>
          <w:noProof/>
        </w:rPr>
        <w:t>In addition, our Net Zero Plan is now complete, and we will publish this as soon as possible.</w:t>
      </w:r>
    </w:p>
    <w:p w14:paraId="7B283EC5" w14:textId="17A05BAB" w:rsidR="00BA7563" w:rsidRDefault="00BA7563" w:rsidP="00BA7563">
      <w:pPr>
        <w:rPr>
          <w:noProof/>
        </w:rPr>
      </w:pPr>
      <w:r>
        <w:rPr>
          <w:noProof/>
        </w:rPr>
        <w:t>We will also be in position later in Quarter 4 to provide benchmarking information, as per the SPA Board request last year. This information will be provided in the form of a CIPFA generated report and will benchmark Police Scotland against a number of other forces in the UK.</w:t>
      </w:r>
    </w:p>
    <w:p w14:paraId="760ACE7C" w14:textId="14E175DC" w:rsidR="00BA7563" w:rsidRDefault="00BA7563" w:rsidP="00BA7563">
      <w:pPr>
        <w:rPr>
          <w:noProof/>
        </w:rPr>
      </w:pPr>
      <w:r>
        <w:rPr>
          <w:noProof/>
        </w:rPr>
        <w:t>In May, we will begin collation of our year end reporting for the Scottish Government and will present this to Police Scotland’s Senior Leadership Board (SLB) and the S</w:t>
      </w:r>
      <w:r w:rsidR="007F5C6F">
        <w:rPr>
          <w:noProof/>
        </w:rPr>
        <w:t xml:space="preserve">cottish </w:t>
      </w:r>
      <w:r>
        <w:rPr>
          <w:noProof/>
        </w:rPr>
        <w:t>P</w:t>
      </w:r>
      <w:r w:rsidR="007F5C6F">
        <w:rPr>
          <w:noProof/>
        </w:rPr>
        <w:t xml:space="preserve">olice </w:t>
      </w:r>
      <w:r>
        <w:rPr>
          <w:noProof/>
        </w:rPr>
        <w:t>A</w:t>
      </w:r>
      <w:r w:rsidR="007F5C6F">
        <w:rPr>
          <w:noProof/>
        </w:rPr>
        <w:t>uthority (SPA)</w:t>
      </w:r>
      <w:r>
        <w:rPr>
          <w:noProof/>
        </w:rPr>
        <w:t xml:space="preserve"> for sign off later in the year.</w:t>
      </w:r>
    </w:p>
    <w:p w14:paraId="438834BA" w14:textId="5144FCAA" w:rsidR="00752630" w:rsidRDefault="00BA7563" w:rsidP="005A5E55">
      <w:r>
        <w:rPr>
          <w:noProof/>
        </w:rPr>
        <w:t xml:space="preserve">In the coming months we will also begin preparation of our Waste Plan in response to the Circular Economy (Scotland) Act 2024. We will continue to work with all relevant </w:t>
      </w:r>
      <w:r w:rsidR="007F5C6F">
        <w:rPr>
          <w:noProof/>
        </w:rPr>
        <w:t>departmen</w:t>
      </w:r>
      <w:r>
        <w:rPr>
          <w:noProof/>
        </w:rPr>
        <w:t>ts to ensure that we continue to reduce our environmental impact where possible.</w:t>
      </w:r>
    </w:p>
    <w:p w14:paraId="5B5BA3B4" w14:textId="77777777" w:rsidR="00752630" w:rsidRPr="00561ABF" w:rsidRDefault="00752630" w:rsidP="000603A2">
      <w:pPr>
        <w:pStyle w:val="Heading4"/>
      </w:pPr>
      <w:r>
        <w:t>Fleet</w:t>
      </w:r>
    </w:p>
    <w:p w14:paraId="204BAEFF" w14:textId="77777777" w:rsidR="00EF6752" w:rsidRDefault="00EF6752" w:rsidP="00752630">
      <w:pPr>
        <w:rPr>
          <w:noProof/>
        </w:rPr>
      </w:pPr>
      <w:r>
        <w:rPr>
          <w:noProof/>
        </w:rPr>
        <w:drawing>
          <wp:inline distT="0" distB="0" distL="0" distR="0" wp14:anchorId="1173349F" wp14:editId="21B84744">
            <wp:extent cx="6188710" cy="1483360"/>
            <wp:effectExtent l="0" t="0" r="2540" b="2540"/>
            <wp:docPr id="42231304" name="Picture 1" descr="Fleet Quarterly Comparison Table&#10;The first row shows the percentage of Ultra-Low Emission Vehicles in our fleet was 32.0% in 2024/25 Q3 compared to 33.0% in 2024/25 Q4 (up 1.0% points from previous quarter).&#10;The second row shows the average age of fleet was 3.8 years in 2024/25 Q3 compared to 4.0 years in 2024/25 Q4 (up 5.3% on previous quarter).&#10;The third row shows the total mileage of electric vehicles (green miles) was 1,731,450 miles in 2024/25 Q3 compared to 1,715,960 miles in 2024/25 Q4 (down 0.9% on previous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1304" name="Picture 1" descr="Fleet Quarterly Comparison Table&#10;The first row shows the percentage of Ultra-Low Emission Vehicles in our fleet was 32.0% in 2024/25 Q3 compared to 33.0% in 2024/25 Q4 (up 1.0% points from previous quarter).&#10;The second row shows the average age of fleet was 3.8 years in 2024/25 Q3 compared to 4.0 years in 2024/25 Q4 (up 5.3% on previous quarter).&#10;The third row shows the total mileage of electric vehicles (green miles) was 1,731,450 miles in 2024/25 Q3 compared to 1,715,960 miles in 2024/25 Q4 (down 0.9% on previous quarter).&#10;"/>
                    <pic:cNvPicPr/>
                  </pic:nvPicPr>
                  <pic:blipFill>
                    <a:blip r:embed="rId91"/>
                    <a:stretch>
                      <a:fillRect/>
                    </a:stretch>
                  </pic:blipFill>
                  <pic:spPr>
                    <a:xfrm>
                      <a:off x="0" y="0"/>
                      <a:ext cx="6188710" cy="1483360"/>
                    </a:xfrm>
                    <a:prstGeom prst="rect">
                      <a:avLst/>
                    </a:prstGeom>
                  </pic:spPr>
                </pic:pic>
              </a:graphicData>
            </a:graphic>
          </wp:inline>
        </w:drawing>
      </w:r>
    </w:p>
    <w:p w14:paraId="4E259D67" w14:textId="7DFF28D0" w:rsidR="00BA7563" w:rsidRDefault="00BA7563" w:rsidP="00BA7563">
      <w:pPr>
        <w:rPr>
          <w:noProof/>
        </w:rPr>
      </w:pPr>
      <w:r>
        <w:rPr>
          <w:noProof/>
        </w:rPr>
        <w:t xml:space="preserve">In Quarter 4 2024/25, 1,189 ULEV vehicles make up 33% of Police Scotland’s overall fleet (this is up 1.0% from last quarter). 46% of the unmarked fleet are ULEV (ultra-low emission vehicles). </w:t>
      </w:r>
    </w:p>
    <w:p w14:paraId="14146358" w14:textId="6A874A01" w:rsidR="00BA7563" w:rsidRDefault="00BA7563" w:rsidP="00BA7563">
      <w:pPr>
        <w:rPr>
          <w:noProof/>
        </w:rPr>
      </w:pPr>
      <w:r>
        <w:rPr>
          <w:noProof/>
        </w:rPr>
        <w:t>The total mileage of electric vehicles (green miles) during Quarter 4 2024/25 is 1,715,960 (</w:t>
      </w:r>
      <w:r w:rsidR="00D446BC">
        <w:rPr>
          <w:noProof/>
        </w:rPr>
        <w:t xml:space="preserve">down </w:t>
      </w:r>
      <w:r>
        <w:rPr>
          <w:noProof/>
        </w:rPr>
        <w:t xml:space="preserve">0.9% from the previous quarter). </w:t>
      </w:r>
    </w:p>
    <w:p w14:paraId="78DBBB6A" w14:textId="517E8038" w:rsidR="00752630" w:rsidRDefault="00BA7563" w:rsidP="00E950E4">
      <w:pPr>
        <w:rPr>
          <w:noProof/>
        </w:rPr>
      </w:pPr>
      <w:r>
        <w:rPr>
          <w:noProof/>
        </w:rPr>
        <w:t xml:space="preserve">The current average Fleet age for Police Scotland fleet is </w:t>
      </w:r>
      <w:r w:rsidR="008A124B">
        <w:rPr>
          <w:noProof/>
        </w:rPr>
        <w:t>four</w:t>
      </w:r>
      <w:r>
        <w:rPr>
          <w:noProof/>
        </w:rPr>
        <w:t xml:space="preserve"> years. This fluctuates from one day to the next as it is a live figure taking on the day, considering vehicles awaiting to be replaced and sold. This will reduce as new vehicles are introduced to the fleet and if the level of capital investment on the fleet is maintained in future years.</w:t>
      </w:r>
    </w:p>
    <w:p w14:paraId="67AFA0E4" w14:textId="77777777" w:rsidR="001D65A2" w:rsidRDefault="001D65A2">
      <w:pPr>
        <w:spacing w:before="0" w:after="160" w:line="259" w:lineRule="auto"/>
        <w:rPr>
          <w:rFonts w:eastAsiaTheme="majorEastAsia" w:cstheme="majorBidi"/>
          <w:b/>
          <w:sz w:val="28"/>
        </w:rPr>
      </w:pPr>
      <w:r>
        <w:br w:type="page"/>
      </w:r>
    </w:p>
    <w:p w14:paraId="1202B809" w14:textId="223FDF2E" w:rsidR="001D65A2" w:rsidRDefault="001D65A2" w:rsidP="001D65A2">
      <w:pPr>
        <w:pStyle w:val="Heading3"/>
      </w:pPr>
      <w:bookmarkStart w:id="50" w:name="_Toc199839170"/>
      <w:r>
        <w:lastRenderedPageBreak/>
        <w:t>Appendix</w:t>
      </w:r>
      <w:bookmarkEnd w:id="50"/>
    </w:p>
    <w:p w14:paraId="506C5011" w14:textId="77777777" w:rsidR="004B203E" w:rsidRDefault="004B203E" w:rsidP="004B203E">
      <w:r>
        <w:t>Crime and incident data is included within this report, illustrated in bar charts with sparklines, to show trend data where appropriate.</w:t>
      </w:r>
    </w:p>
    <w:p w14:paraId="664888E5" w14:textId="1752465F" w:rsidR="004B203E" w:rsidRDefault="004B203E" w:rsidP="004B203E">
      <w:r w:rsidRPr="00991230">
        <w:t xml:space="preserve">The period with the highest volume of crimes/incidents is highlighted </w:t>
      </w:r>
      <w:r>
        <w:t xml:space="preserve">in </w:t>
      </w:r>
      <w:r w:rsidRPr="00991230">
        <w:t xml:space="preserve">red in the bar chart sparkline. The six-month sparklines cover the period </w:t>
      </w:r>
      <w:r w:rsidR="009B7DED">
        <w:t>October 2024</w:t>
      </w:r>
      <w:r>
        <w:t xml:space="preserve"> to </w:t>
      </w:r>
      <w:r w:rsidR="009B7DED">
        <w:t>March</w:t>
      </w:r>
      <w:r w:rsidRPr="00991230">
        <w:t xml:space="preserve"> 202</w:t>
      </w:r>
      <w:r w:rsidR="009B7DED">
        <w:t>5</w:t>
      </w:r>
      <w:r w:rsidRPr="00991230">
        <w:t xml:space="preserve"> whilst the five-year sparklines cover Quarter </w:t>
      </w:r>
      <w:r w:rsidR="009B7DED">
        <w:t>4</w:t>
      </w:r>
      <w:r w:rsidRPr="00991230">
        <w:t xml:space="preserve"> YTD from 2020/21 to 2024/25.</w:t>
      </w:r>
    </w:p>
    <w:p w14:paraId="07B8A88A" w14:textId="77777777" w:rsidR="004B203E" w:rsidRDefault="004B203E" w:rsidP="004B203E">
      <w:r w:rsidRPr="00BE4120">
        <w:t>All data is classed as Management Information and is not considered official statistics. All data is sourced from Police Scotland internal systems.</w:t>
      </w:r>
      <w:r>
        <w:t xml:space="preserve"> Disaggregated data is available in </w:t>
      </w:r>
      <w:hyperlink r:id="rId92" w:history="1">
        <w:r w:rsidRPr="00BA5CC0">
          <w:rPr>
            <w:rStyle w:val="Hyperlink"/>
          </w:rPr>
          <w:t>Police Scotland Management Information publication</w:t>
        </w:r>
      </w:hyperlink>
      <w:r>
        <w:t>.</w:t>
      </w:r>
    </w:p>
    <w:p w14:paraId="623D4C95" w14:textId="580C58F7" w:rsidR="000A5FB7" w:rsidRDefault="000A5FB7" w:rsidP="000603A2">
      <w:pPr>
        <w:pStyle w:val="Heading4"/>
        <w:rPr>
          <w:shd w:val="clear" w:color="auto" w:fill="FFF2CC" w:themeFill="accent4" w:themeFillTint="33"/>
        </w:rPr>
      </w:pPr>
      <w:r w:rsidRPr="00401B2C">
        <w:rPr>
          <w:shd w:val="clear" w:color="auto" w:fill="FFF2CC" w:themeFill="accent4" w:themeFillTint="33"/>
        </w:rPr>
        <w:t>Note</w:t>
      </w:r>
      <w:r>
        <w:rPr>
          <w:shd w:val="clear" w:color="auto" w:fill="FFF2CC" w:themeFill="accent4" w:themeFillTint="33"/>
        </w:rPr>
        <w:t>s</w:t>
      </w:r>
    </w:p>
    <w:p w14:paraId="223B24DD" w14:textId="77777777" w:rsidR="000A5FB7" w:rsidRPr="002D473E" w:rsidRDefault="000A5FB7" w:rsidP="002D473E">
      <w:pPr>
        <w:pStyle w:val="Bullets"/>
      </w:pPr>
      <w:r w:rsidRPr="002D473E">
        <w:t xml:space="preserve">Detection rate comparison used for </w:t>
      </w:r>
      <w:r w:rsidRPr="001B4F9F">
        <w:rPr>
          <w:rStyle w:val="Strong"/>
        </w:rPr>
        <w:t>Group 2 Sexual Crime</w:t>
      </w:r>
      <w:r w:rsidRPr="002D473E">
        <w:t>. Proportion comparison used for Group 2 Sexual Crime – Recent and Group 2 Sexual Crime – Non-Recent.</w:t>
      </w:r>
    </w:p>
    <w:p w14:paraId="560CCF44" w14:textId="77777777" w:rsidR="000A5FB7" w:rsidRPr="002D473E" w:rsidRDefault="000A5FB7" w:rsidP="002D473E">
      <w:pPr>
        <w:pStyle w:val="Bullets"/>
      </w:pPr>
      <w:r w:rsidRPr="002D473E">
        <w:t xml:space="preserve">Detection rate comparison used for </w:t>
      </w:r>
      <w:r w:rsidRPr="001B4F9F">
        <w:rPr>
          <w:rStyle w:val="Strong"/>
        </w:rPr>
        <w:t>Rape</w:t>
      </w:r>
      <w:r w:rsidRPr="002D473E">
        <w:t xml:space="preserve"> Crime. Proportion comparison used for Rape Crime – Recent and Rape Crime – Non-Recent.</w:t>
      </w:r>
    </w:p>
    <w:p w14:paraId="5CFAC4C6" w14:textId="1D1DFE6E" w:rsidR="000A5FB7" w:rsidRDefault="000A5FB7" w:rsidP="002D473E">
      <w:pPr>
        <w:pStyle w:val="Bullets"/>
      </w:pPr>
      <w:r w:rsidRPr="002D473E">
        <w:t xml:space="preserve">Recent crimes of </w:t>
      </w:r>
      <w:r w:rsidRPr="001B4F9F">
        <w:rPr>
          <w:rStyle w:val="Strong"/>
        </w:rPr>
        <w:t>Group 2/Rape</w:t>
      </w:r>
      <w:r w:rsidRPr="002D473E">
        <w:t xml:space="preserve"> are defined as being reported less than 365 days from the day committed. Non-Recent crimes of Group 2/Rape are therefore any reported 366 days or more from the day the crime was committed.</w:t>
      </w:r>
    </w:p>
    <w:p w14:paraId="5FE74718" w14:textId="1A6C7BBC" w:rsidR="001B4F9F" w:rsidRPr="001B4F9F" w:rsidRDefault="001B4F9F" w:rsidP="001B4F9F">
      <w:pPr>
        <w:pStyle w:val="Bullets"/>
      </w:pPr>
      <w:r w:rsidRPr="001B4F9F">
        <w:t xml:space="preserve">Police Scotland has moved to a new single national crime recording system (National Unifi), which is capable of recording </w:t>
      </w:r>
      <w:r w:rsidRPr="001B4F9F">
        <w:rPr>
          <w:rStyle w:val="Strong"/>
        </w:rPr>
        <w:t>domestic related crimes</w:t>
      </w:r>
      <w:r w:rsidRPr="001B4F9F">
        <w:t xml:space="preserve">. Previously, due to limitations in legacy crime recording systems, domestic crime was recorded and counted in the Vulnerable Person Database. From 01 April 2024, all crime data (including domestic abuse) now comes from the same system. Please refer to the </w:t>
      </w:r>
      <w:hyperlink r:id="rId93" w:history="1">
        <w:r w:rsidRPr="001B4F9F">
          <w:rPr>
            <w:rStyle w:val="Hyperlink"/>
          </w:rPr>
          <w:t>Quarter 1 SPA Performance Report</w:t>
        </w:r>
      </w:hyperlink>
      <w:r w:rsidRPr="001B4F9F">
        <w:t xml:space="preserve"> for an example of the differences in methodology.</w:t>
      </w:r>
    </w:p>
    <w:p w14:paraId="139B6F07" w14:textId="4FED81F9" w:rsidR="00A7257C" w:rsidRDefault="00A7257C" w:rsidP="002D473E">
      <w:pPr>
        <w:pStyle w:val="Bullets"/>
      </w:pPr>
      <w:r w:rsidRPr="00A7257C">
        <w:rPr>
          <w:rStyle w:val="Strong"/>
        </w:rPr>
        <w:t>DASA of a female</w:t>
      </w:r>
      <w:r>
        <w:t xml:space="preserve"> and </w:t>
      </w:r>
      <w:r w:rsidRPr="00A7257C">
        <w:rPr>
          <w:rStyle w:val="Strong"/>
        </w:rPr>
        <w:t>DASA of a male</w:t>
      </w:r>
      <w:r>
        <w:t xml:space="preserve"> crimes refers to crimes under the Domestic Abuse (Scotland) Act 2018. These crimes are a small part of the overall Domestic Abuse crimes.</w:t>
      </w:r>
    </w:p>
    <w:p w14:paraId="476A9033" w14:textId="4588290B" w:rsidR="001D5DFC" w:rsidRPr="002D473E" w:rsidRDefault="002D473E" w:rsidP="002D473E">
      <w:pPr>
        <w:pStyle w:val="Bullets"/>
      </w:pPr>
      <w:r>
        <w:t xml:space="preserve">Due </w:t>
      </w:r>
      <w:r w:rsidRPr="002D473E">
        <w:t xml:space="preserve">to changes in </w:t>
      </w:r>
      <w:r w:rsidRPr="001B4F9F">
        <w:rPr>
          <w:rStyle w:val="Strong"/>
        </w:rPr>
        <w:t>Hate Crime</w:t>
      </w:r>
      <w:r w:rsidRPr="002D473E">
        <w:t xml:space="preserve"> legislation introduced on 01 April 2024, direct comparisons to previous years should not be made and are for illustrative purposes only. </w:t>
      </w:r>
    </w:p>
    <w:p w14:paraId="2F4806A3" w14:textId="46A3F4D4" w:rsidR="001D65A2" w:rsidRPr="002D473E" w:rsidRDefault="001D5DFC" w:rsidP="002D473E">
      <w:pPr>
        <w:pStyle w:val="Bullets"/>
      </w:pPr>
      <w:r w:rsidRPr="002D473E">
        <w:t xml:space="preserve">The complete Quarter </w:t>
      </w:r>
      <w:r w:rsidR="009B7DED">
        <w:t>4</w:t>
      </w:r>
      <w:r w:rsidRPr="002D473E">
        <w:t xml:space="preserve"> </w:t>
      </w:r>
      <w:r w:rsidRPr="001B4F9F">
        <w:rPr>
          <w:rStyle w:val="Strong"/>
        </w:rPr>
        <w:t>utilities</w:t>
      </w:r>
      <w:r w:rsidR="001B4F9F">
        <w:rPr>
          <w:rStyle w:val="Strong"/>
        </w:rPr>
        <w:t xml:space="preserve"> (Gas, Electricity and Water)</w:t>
      </w:r>
      <w:r w:rsidRPr="002D473E">
        <w:t xml:space="preserve"> data is not yet available and so we have provided information based on April </w:t>
      </w:r>
      <w:r w:rsidR="009B7DED">
        <w:t xml:space="preserve">2024 </w:t>
      </w:r>
      <w:r w:rsidRPr="002D473E">
        <w:t xml:space="preserve">to </w:t>
      </w:r>
      <w:r w:rsidR="009B7DED">
        <w:t>February 2025</w:t>
      </w:r>
      <w:r w:rsidRPr="002D473E">
        <w:t xml:space="preserve"> of Financial Year 2024/25 with a comparison over the same time period </w:t>
      </w:r>
      <w:r w:rsidR="007A2C38">
        <w:t>in the</w:t>
      </w:r>
      <w:r w:rsidRPr="002D473E">
        <w:t xml:space="preserve"> previous year. Considering this, all figures provided should be taken as indicative, until the Quarter </w:t>
      </w:r>
      <w:r w:rsidR="009B7DED">
        <w:t>4</w:t>
      </w:r>
      <w:r w:rsidRPr="002D473E">
        <w:t xml:space="preserve"> data set is complete.</w:t>
      </w:r>
    </w:p>
    <w:sectPr w:rsidR="001D65A2" w:rsidRPr="002D473E" w:rsidSect="0009719F">
      <w:headerReference w:type="even" r:id="rId94"/>
      <w:headerReference w:type="default" r:id="rId95"/>
      <w:footerReference w:type="even" r:id="rId96"/>
      <w:footerReference w:type="default" r:id="rId97"/>
      <w:headerReference w:type="first" r:id="rId98"/>
      <w:footerReference w:type="first" r:id="rId99"/>
      <w:pgSz w:w="11906" w:h="16838"/>
      <w:pgMar w:top="1440" w:right="1080" w:bottom="1440" w:left="108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7746D" w14:textId="77777777" w:rsidR="00EC26A0" w:rsidRDefault="00EC26A0" w:rsidP="00773069">
      <w:pPr>
        <w:spacing w:line="240" w:lineRule="auto"/>
      </w:pPr>
      <w:r>
        <w:separator/>
      </w:r>
    </w:p>
  </w:endnote>
  <w:endnote w:type="continuationSeparator" w:id="0">
    <w:p w14:paraId="4B53DA61" w14:textId="77777777" w:rsidR="00EC26A0" w:rsidRDefault="00EC26A0" w:rsidP="00773069">
      <w:pPr>
        <w:spacing w:line="240" w:lineRule="auto"/>
      </w:pPr>
      <w:r>
        <w:continuationSeparator/>
      </w:r>
    </w:p>
  </w:endnote>
  <w:endnote w:type="continuationNotice" w:id="1">
    <w:p w14:paraId="35ED63EA"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87BF" w14:textId="5F54E51E" w:rsidR="00EC26A0" w:rsidRDefault="00EC26A0">
    <w:pPr>
      <w:pStyle w:val="Footer"/>
    </w:pPr>
  </w:p>
  <w:p w14:paraId="44955C97" w14:textId="31C941EB"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AF1223" w:rsidRPr="004F25EA">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6D77A3A6"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AF1223" w:rsidRPr="004F25EA">
      <w:rPr>
        <w:rFonts w:ascii="Times New Roman" w:hAnsi="Times New Roman" w:cs="Times New Roman"/>
        <w:b/>
        <w:color w:val="ED0000"/>
      </w:rPr>
      <w:t>OFFICIAL</w:t>
    </w:r>
    <w:r>
      <w:rPr>
        <w:rFonts w:ascii="Times New Roman" w:hAnsi="Times New Roman" w:cs="Times New Roman"/>
        <w:b/>
      </w:rPr>
      <w:fldChar w:fldCharType="end"/>
    </w: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107C" w14:textId="77214DBC"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AF1223" w:rsidRPr="004F25EA">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53B7A" w14:textId="77777777" w:rsidR="00EC26A0" w:rsidRDefault="00EC26A0" w:rsidP="00773069">
      <w:pPr>
        <w:spacing w:line="240" w:lineRule="auto"/>
      </w:pPr>
      <w:r>
        <w:separator/>
      </w:r>
    </w:p>
  </w:footnote>
  <w:footnote w:type="continuationSeparator" w:id="0">
    <w:p w14:paraId="559EBA54" w14:textId="77777777" w:rsidR="00EC26A0" w:rsidRDefault="00EC26A0" w:rsidP="00773069">
      <w:pPr>
        <w:spacing w:line="240" w:lineRule="auto"/>
      </w:pPr>
      <w:r>
        <w:continuationSeparator/>
      </w:r>
    </w:p>
  </w:footnote>
  <w:footnote w:type="continuationNotice" w:id="1">
    <w:p w14:paraId="684EF5B6"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7A20" w14:textId="54D9B411"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AF1223" w:rsidRPr="004F25EA">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800E" w14:textId="7E92FBBA"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AF1223" w:rsidRPr="004F25EA">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9511" w14:textId="21CE01A1"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AF1223" w:rsidRPr="004F25EA">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D9C8D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52B4A"/>
    <w:multiLevelType w:val="hybridMultilevel"/>
    <w:tmpl w:val="C7A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B25A2"/>
    <w:multiLevelType w:val="hybridMultilevel"/>
    <w:tmpl w:val="F7762F06"/>
    <w:lvl w:ilvl="0" w:tplc="1EA058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56836"/>
    <w:multiLevelType w:val="hybridMultilevel"/>
    <w:tmpl w:val="7F42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74DD4"/>
    <w:multiLevelType w:val="hybridMultilevel"/>
    <w:tmpl w:val="F02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D2835"/>
    <w:multiLevelType w:val="hybridMultilevel"/>
    <w:tmpl w:val="9166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96E85"/>
    <w:multiLevelType w:val="hybridMultilevel"/>
    <w:tmpl w:val="56EC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72A12"/>
    <w:multiLevelType w:val="hybridMultilevel"/>
    <w:tmpl w:val="79DE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2A58E9"/>
    <w:multiLevelType w:val="hybridMultilevel"/>
    <w:tmpl w:val="388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780F87"/>
    <w:multiLevelType w:val="hybridMultilevel"/>
    <w:tmpl w:val="CF66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43425"/>
    <w:multiLevelType w:val="hybridMultilevel"/>
    <w:tmpl w:val="52DA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CA473F"/>
    <w:multiLevelType w:val="hybridMultilevel"/>
    <w:tmpl w:val="078A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C37DE8"/>
    <w:multiLevelType w:val="hybridMultilevel"/>
    <w:tmpl w:val="F6FC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ED053E1"/>
    <w:multiLevelType w:val="hybridMultilevel"/>
    <w:tmpl w:val="71CC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14"/>
  </w:num>
  <w:num w:numId="4" w16cid:durableId="242882089">
    <w:abstractNumId w:val="3"/>
  </w:num>
  <w:num w:numId="5" w16cid:durableId="40789105">
    <w:abstractNumId w:val="5"/>
  </w:num>
  <w:num w:numId="6" w16cid:durableId="1546024587">
    <w:abstractNumId w:val="12"/>
  </w:num>
  <w:num w:numId="7" w16cid:durableId="2118282288">
    <w:abstractNumId w:val="8"/>
  </w:num>
  <w:num w:numId="8" w16cid:durableId="1008021336">
    <w:abstractNumId w:val="13"/>
  </w:num>
  <w:num w:numId="9" w16cid:durableId="1316687185">
    <w:abstractNumId w:val="2"/>
  </w:num>
  <w:num w:numId="10" w16cid:durableId="875585253">
    <w:abstractNumId w:val="9"/>
  </w:num>
  <w:num w:numId="11" w16cid:durableId="387077532">
    <w:abstractNumId w:val="15"/>
  </w:num>
  <w:num w:numId="12" w16cid:durableId="631132143">
    <w:abstractNumId w:val="11"/>
  </w:num>
  <w:num w:numId="13" w16cid:durableId="1847744428">
    <w:abstractNumId w:val="6"/>
  </w:num>
  <w:num w:numId="14" w16cid:durableId="812874527">
    <w:abstractNumId w:val="4"/>
  </w:num>
  <w:num w:numId="15" w16cid:durableId="1860193576">
    <w:abstractNumId w:val="10"/>
  </w:num>
  <w:num w:numId="16" w16cid:durableId="17973315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995"/>
    <w:rsid w:val="00000B92"/>
    <w:rsid w:val="00000D1D"/>
    <w:rsid w:val="00001363"/>
    <w:rsid w:val="00001D01"/>
    <w:rsid w:val="000021A4"/>
    <w:rsid w:val="00002480"/>
    <w:rsid w:val="00002CFD"/>
    <w:rsid w:val="00002D1F"/>
    <w:rsid w:val="000031FD"/>
    <w:rsid w:val="00003663"/>
    <w:rsid w:val="00003794"/>
    <w:rsid w:val="000049C4"/>
    <w:rsid w:val="00004A36"/>
    <w:rsid w:val="00005254"/>
    <w:rsid w:val="000058B1"/>
    <w:rsid w:val="00005A9A"/>
    <w:rsid w:val="00005C25"/>
    <w:rsid w:val="00005EA9"/>
    <w:rsid w:val="000069ED"/>
    <w:rsid w:val="00006F57"/>
    <w:rsid w:val="000075AF"/>
    <w:rsid w:val="0000774E"/>
    <w:rsid w:val="00007B54"/>
    <w:rsid w:val="00007BA6"/>
    <w:rsid w:val="0001051A"/>
    <w:rsid w:val="00010949"/>
    <w:rsid w:val="00010BBF"/>
    <w:rsid w:val="00010EB4"/>
    <w:rsid w:val="00011568"/>
    <w:rsid w:val="0001162F"/>
    <w:rsid w:val="000116FC"/>
    <w:rsid w:val="00012180"/>
    <w:rsid w:val="000122A6"/>
    <w:rsid w:val="000124FD"/>
    <w:rsid w:val="00012B8E"/>
    <w:rsid w:val="0001392C"/>
    <w:rsid w:val="00014015"/>
    <w:rsid w:val="000145F8"/>
    <w:rsid w:val="0001469C"/>
    <w:rsid w:val="00014AFA"/>
    <w:rsid w:val="00014C16"/>
    <w:rsid w:val="00015009"/>
    <w:rsid w:val="00015151"/>
    <w:rsid w:val="0001525D"/>
    <w:rsid w:val="00015295"/>
    <w:rsid w:val="000156F5"/>
    <w:rsid w:val="00015DA7"/>
    <w:rsid w:val="0001622A"/>
    <w:rsid w:val="00016A31"/>
    <w:rsid w:val="00016F9F"/>
    <w:rsid w:val="00016FFB"/>
    <w:rsid w:val="00017421"/>
    <w:rsid w:val="00017BF1"/>
    <w:rsid w:val="00017D9A"/>
    <w:rsid w:val="0002077D"/>
    <w:rsid w:val="00020856"/>
    <w:rsid w:val="00020A7B"/>
    <w:rsid w:val="00020C86"/>
    <w:rsid w:val="00020DA3"/>
    <w:rsid w:val="00020E71"/>
    <w:rsid w:val="00020EC4"/>
    <w:rsid w:val="0002121F"/>
    <w:rsid w:val="000217FC"/>
    <w:rsid w:val="00021861"/>
    <w:rsid w:val="00021AFB"/>
    <w:rsid w:val="00021C9D"/>
    <w:rsid w:val="00021FDB"/>
    <w:rsid w:val="00022EE8"/>
    <w:rsid w:val="00023217"/>
    <w:rsid w:val="00023489"/>
    <w:rsid w:val="00023F08"/>
    <w:rsid w:val="000242EC"/>
    <w:rsid w:val="00025180"/>
    <w:rsid w:val="00025440"/>
    <w:rsid w:val="00025B8F"/>
    <w:rsid w:val="00025C91"/>
    <w:rsid w:val="00026593"/>
    <w:rsid w:val="00026910"/>
    <w:rsid w:val="00026CDB"/>
    <w:rsid w:val="0002720A"/>
    <w:rsid w:val="00027A70"/>
    <w:rsid w:val="00027D2A"/>
    <w:rsid w:val="000305F5"/>
    <w:rsid w:val="0003065C"/>
    <w:rsid w:val="00030F06"/>
    <w:rsid w:val="00031157"/>
    <w:rsid w:val="00031365"/>
    <w:rsid w:val="000314EE"/>
    <w:rsid w:val="00031990"/>
    <w:rsid w:val="00031AC9"/>
    <w:rsid w:val="00031EB0"/>
    <w:rsid w:val="000327B5"/>
    <w:rsid w:val="00033425"/>
    <w:rsid w:val="00033697"/>
    <w:rsid w:val="00033883"/>
    <w:rsid w:val="00033ED3"/>
    <w:rsid w:val="000341FA"/>
    <w:rsid w:val="0003427E"/>
    <w:rsid w:val="0003440E"/>
    <w:rsid w:val="00034DE9"/>
    <w:rsid w:val="00034FA2"/>
    <w:rsid w:val="000355D0"/>
    <w:rsid w:val="00035B6D"/>
    <w:rsid w:val="00035D43"/>
    <w:rsid w:val="0003694F"/>
    <w:rsid w:val="00036FBA"/>
    <w:rsid w:val="000370AB"/>
    <w:rsid w:val="00037880"/>
    <w:rsid w:val="00037E49"/>
    <w:rsid w:val="00037F4A"/>
    <w:rsid w:val="00040164"/>
    <w:rsid w:val="0004070C"/>
    <w:rsid w:val="0004081E"/>
    <w:rsid w:val="00041549"/>
    <w:rsid w:val="00041C18"/>
    <w:rsid w:val="000426C7"/>
    <w:rsid w:val="000427A3"/>
    <w:rsid w:val="000435F0"/>
    <w:rsid w:val="000438F6"/>
    <w:rsid w:val="00043ABD"/>
    <w:rsid w:val="00043DDC"/>
    <w:rsid w:val="000445C1"/>
    <w:rsid w:val="00044760"/>
    <w:rsid w:val="00044892"/>
    <w:rsid w:val="000448A1"/>
    <w:rsid w:val="0004493F"/>
    <w:rsid w:val="000450F5"/>
    <w:rsid w:val="0004519E"/>
    <w:rsid w:val="000451AD"/>
    <w:rsid w:val="00046132"/>
    <w:rsid w:val="00046E6F"/>
    <w:rsid w:val="000470FF"/>
    <w:rsid w:val="000475A0"/>
    <w:rsid w:val="00047A00"/>
    <w:rsid w:val="00047A29"/>
    <w:rsid w:val="000502E9"/>
    <w:rsid w:val="00050663"/>
    <w:rsid w:val="000507A3"/>
    <w:rsid w:val="000511F8"/>
    <w:rsid w:val="000514B0"/>
    <w:rsid w:val="000516B6"/>
    <w:rsid w:val="00051B3C"/>
    <w:rsid w:val="00051BB6"/>
    <w:rsid w:val="00051FCC"/>
    <w:rsid w:val="0005213C"/>
    <w:rsid w:val="00052625"/>
    <w:rsid w:val="00052644"/>
    <w:rsid w:val="0005283B"/>
    <w:rsid w:val="00052F12"/>
    <w:rsid w:val="00052FF2"/>
    <w:rsid w:val="00053065"/>
    <w:rsid w:val="000533C6"/>
    <w:rsid w:val="00053675"/>
    <w:rsid w:val="00054919"/>
    <w:rsid w:val="00054E3C"/>
    <w:rsid w:val="00054E6C"/>
    <w:rsid w:val="00055090"/>
    <w:rsid w:val="0005533B"/>
    <w:rsid w:val="0005568B"/>
    <w:rsid w:val="000561D3"/>
    <w:rsid w:val="00056350"/>
    <w:rsid w:val="000566AB"/>
    <w:rsid w:val="0005670D"/>
    <w:rsid w:val="00056945"/>
    <w:rsid w:val="00056EC2"/>
    <w:rsid w:val="000573D5"/>
    <w:rsid w:val="0005777A"/>
    <w:rsid w:val="0005778A"/>
    <w:rsid w:val="00057962"/>
    <w:rsid w:val="00057F79"/>
    <w:rsid w:val="0006005B"/>
    <w:rsid w:val="00060115"/>
    <w:rsid w:val="000603A2"/>
    <w:rsid w:val="0006187B"/>
    <w:rsid w:val="00061A74"/>
    <w:rsid w:val="0006363A"/>
    <w:rsid w:val="00063D5D"/>
    <w:rsid w:val="00063E5D"/>
    <w:rsid w:val="00063F50"/>
    <w:rsid w:val="000644B8"/>
    <w:rsid w:val="000648A3"/>
    <w:rsid w:val="00064935"/>
    <w:rsid w:val="0006494C"/>
    <w:rsid w:val="0006528A"/>
    <w:rsid w:val="00065AA6"/>
    <w:rsid w:val="00066081"/>
    <w:rsid w:val="0006646F"/>
    <w:rsid w:val="000666AC"/>
    <w:rsid w:val="00070324"/>
    <w:rsid w:val="000703D1"/>
    <w:rsid w:val="000704B0"/>
    <w:rsid w:val="000708C8"/>
    <w:rsid w:val="00070C4C"/>
    <w:rsid w:val="0007197C"/>
    <w:rsid w:val="000737DA"/>
    <w:rsid w:val="0007391E"/>
    <w:rsid w:val="000741B6"/>
    <w:rsid w:val="000746F3"/>
    <w:rsid w:val="000749A4"/>
    <w:rsid w:val="00076185"/>
    <w:rsid w:val="0007655A"/>
    <w:rsid w:val="0007670A"/>
    <w:rsid w:val="00076F9A"/>
    <w:rsid w:val="000771A3"/>
    <w:rsid w:val="00077255"/>
    <w:rsid w:val="000772D8"/>
    <w:rsid w:val="000777EE"/>
    <w:rsid w:val="000779CC"/>
    <w:rsid w:val="000801BE"/>
    <w:rsid w:val="0008068B"/>
    <w:rsid w:val="0008083F"/>
    <w:rsid w:val="000808AE"/>
    <w:rsid w:val="00080C94"/>
    <w:rsid w:val="0008118F"/>
    <w:rsid w:val="00081303"/>
    <w:rsid w:val="000817ED"/>
    <w:rsid w:val="00082964"/>
    <w:rsid w:val="00082A11"/>
    <w:rsid w:val="00083AA6"/>
    <w:rsid w:val="00083B0B"/>
    <w:rsid w:val="00083B7F"/>
    <w:rsid w:val="00084239"/>
    <w:rsid w:val="00084F36"/>
    <w:rsid w:val="00085253"/>
    <w:rsid w:val="00085F21"/>
    <w:rsid w:val="000862B6"/>
    <w:rsid w:val="0008641C"/>
    <w:rsid w:val="000869D3"/>
    <w:rsid w:val="00086A02"/>
    <w:rsid w:val="00087086"/>
    <w:rsid w:val="00087492"/>
    <w:rsid w:val="00087BA4"/>
    <w:rsid w:val="00087EF8"/>
    <w:rsid w:val="00090279"/>
    <w:rsid w:val="00090572"/>
    <w:rsid w:val="0009073A"/>
    <w:rsid w:val="000908D2"/>
    <w:rsid w:val="00090B1C"/>
    <w:rsid w:val="00090B69"/>
    <w:rsid w:val="00091201"/>
    <w:rsid w:val="000914E7"/>
    <w:rsid w:val="00091B35"/>
    <w:rsid w:val="00091CBC"/>
    <w:rsid w:val="000927F1"/>
    <w:rsid w:val="000927FB"/>
    <w:rsid w:val="0009335E"/>
    <w:rsid w:val="0009352B"/>
    <w:rsid w:val="00093988"/>
    <w:rsid w:val="00093BA3"/>
    <w:rsid w:val="0009444B"/>
    <w:rsid w:val="000949C3"/>
    <w:rsid w:val="00096186"/>
    <w:rsid w:val="00096243"/>
    <w:rsid w:val="0009638D"/>
    <w:rsid w:val="00096662"/>
    <w:rsid w:val="00096B7F"/>
    <w:rsid w:val="00097120"/>
    <w:rsid w:val="0009719F"/>
    <w:rsid w:val="0009787A"/>
    <w:rsid w:val="00097887"/>
    <w:rsid w:val="00097FF9"/>
    <w:rsid w:val="000A003D"/>
    <w:rsid w:val="000A05D0"/>
    <w:rsid w:val="000A19A7"/>
    <w:rsid w:val="000A1C52"/>
    <w:rsid w:val="000A1D23"/>
    <w:rsid w:val="000A23B6"/>
    <w:rsid w:val="000A25ED"/>
    <w:rsid w:val="000A3160"/>
    <w:rsid w:val="000A3B87"/>
    <w:rsid w:val="000A3DDB"/>
    <w:rsid w:val="000A4518"/>
    <w:rsid w:val="000A53C4"/>
    <w:rsid w:val="000A5832"/>
    <w:rsid w:val="000A5FB7"/>
    <w:rsid w:val="000A6588"/>
    <w:rsid w:val="000A6A37"/>
    <w:rsid w:val="000A7881"/>
    <w:rsid w:val="000A7EF7"/>
    <w:rsid w:val="000A7FB5"/>
    <w:rsid w:val="000B00E8"/>
    <w:rsid w:val="000B16F2"/>
    <w:rsid w:val="000B1F84"/>
    <w:rsid w:val="000B2147"/>
    <w:rsid w:val="000B22B9"/>
    <w:rsid w:val="000B2458"/>
    <w:rsid w:val="000B2629"/>
    <w:rsid w:val="000B2AEA"/>
    <w:rsid w:val="000B36EB"/>
    <w:rsid w:val="000B3832"/>
    <w:rsid w:val="000B3B7D"/>
    <w:rsid w:val="000B3C9D"/>
    <w:rsid w:val="000B3F81"/>
    <w:rsid w:val="000B4012"/>
    <w:rsid w:val="000B4311"/>
    <w:rsid w:val="000B44EB"/>
    <w:rsid w:val="000B485E"/>
    <w:rsid w:val="000B4A7B"/>
    <w:rsid w:val="000B4C77"/>
    <w:rsid w:val="000B4D64"/>
    <w:rsid w:val="000B4FCE"/>
    <w:rsid w:val="000B5065"/>
    <w:rsid w:val="000B5571"/>
    <w:rsid w:val="000B574B"/>
    <w:rsid w:val="000B5D99"/>
    <w:rsid w:val="000B65A6"/>
    <w:rsid w:val="000B6691"/>
    <w:rsid w:val="000B6AD3"/>
    <w:rsid w:val="000B6C75"/>
    <w:rsid w:val="000B7FAB"/>
    <w:rsid w:val="000C13DC"/>
    <w:rsid w:val="000C13FA"/>
    <w:rsid w:val="000C1400"/>
    <w:rsid w:val="000C1A3C"/>
    <w:rsid w:val="000C1BC4"/>
    <w:rsid w:val="000C24D9"/>
    <w:rsid w:val="000C272E"/>
    <w:rsid w:val="000C2895"/>
    <w:rsid w:val="000C38B9"/>
    <w:rsid w:val="000C3C84"/>
    <w:rsid w:val="000C3DB9"/>
    <w:rsid w:val="000C4087"/>
    <w:rsid w:val="000C4493"/>
    <w:rsid w:val="000C4E57"/>
    <w:rsid w:val="000C5150"/>
    <w:rsid w:val="000C5325"/>
    <w:rsid w:val="000C59C0"/>
    <w:rsid w:val="000C5D72"/>
    <w:rsid w:val="000C5DA6"/>
    <w:rsid w:val="000C6050"/>
    <w:rsid w:val="000C6310"/>
    <w:rsid w:val="000C6339"/>
    <w:rsid w:val="000C66D5"/>
    <w:rsid w:val="000C7447"/>
    <w:rsid w:val="000C7DD7"/>
    <w:rsid w:val="000C7FEB"/>
    <w:rsid w:val="000D0B91"/>
    <w:rsid w:val="000D15ED"/>
    <w:rsid w:val="000D1FE3"/>
    <w:rsid w:val="000D38B1"/>
    <w:rsid w:val="000D3CA5"/>
    <w:rsid w:val="000D3D40"/>
    <w:rsid w:val="000D3D5B"/>
    <w:rsid w:val="000D40C6"/>
    <w:rsid w:val="000D45B0"/>
    <w:rsid w:val="000D54F8"/>
    <w:rsid w:val="000D5584"/>
    <w:rsid w:val="000D5C3C"/>
    <w:rsid w:val="000D5C86"/>
    <w:rsid w:val="000D5F30"/>
    <w:rsid w:val="000D5F3B"/>
    <w:rsid w:val="000D613E"/>
    <w:rsid w:val="000D624D"/>
    <w:rsid w:val="000D62C8"/>
    <w:rsid w:val="000D6584"/>
    <w:rsid w:val="000D6887"/>
    <w:rsid w:val="000D6A65"/>
    <w:rsid w:val="000D6FD9"/>
    <w:rsid w:val="000D7DA9"/>
    <w:rsid w:val="000E0277"/>
    <w:rsid w:val="000E05E1"/>
    <w:rsid w:val="000E0635"/>
    <w:rsid w:val="000E069A"/>
    <w:rsid w:val="000E086D"/>
    <w:rsid w:val="000E093A"/>
    <w:rsid w:val="000E1791"/>
    <w:rsid w:val="000E1895"/>
    <w:rsid w:val="000E1A9E"/>
    <w:rsid w:val="000E1B9A"/>
    <w:rsid w:val="000E1F3C"/>
    <w:rsid w:val="000E2065"/>
    <w:rsid w:val="000E2472"/>
    <w:rsid w:val="000E2EB1"/>
    <w:rsid w:val="000E2F08"/>
    <w:rsid w:val="000E3149"/>
    <w:rsid w:val="000E316A"/>
    <w:rsid w:val="000E3534"/>
    <w:rsid w:val="000E388A"/>
    <w:rsid w:val="000E40EB"/>
    <w:rsid w:val="000E5376"/>
    <w:rsid w:val="000E5BC6"/>
    <w:rsid w:val="000E6374"/>
    <w:rsid w:val="000E72FB"/>
    <w:rsid w:val="000E7646"/>
    <w:rsid w:val="000E7714"/>
    <w:rsid w:val="000F0BB8"/>
    <w:rsid w:val="000F1735"/>
    <w:rsid w:val="000F1DAB"/>
    <w:rsid w:val="000F1F0C"/>
    <w:rsid w:val="000F2252"/>
    <w:rsid w:val="000F2F7B"/>
    <w:rsid w:val="000F4633"/>
    <w:rsid w:val="000F49C9"/>
    <w:rsid w:val="000F50F5"/>
    <w:rsid w:val="000F53D9"/>
    <w:rsid w:val="000F55DF"/>
    <w:rsid w:val="000F5861"/>
    <w:rsid w:val="000F598A"/>
    <w:rsid w:val="000F5FD0"/>
    <w:rsid w:val="000F5FEB"/>
    <w:rsid w:val="000F6C6C"/>
    <w:rsid w:val="000F7755"/>
    <w:rsid w:val="000F7B5D"/>
    <w:rsid w:val="000F7EB0"/>
    <w:rsid w:val="00100473"/>
    <w:rsid w:val="0010088B"/>
    <w:rsid w:val="001009A1"/>
    <w:rsid w:val="00100EA0"/>
    <w:rsid w:val="001011C8"/>
    <w:rsid w:val="00101C22"/>
    <w:rsid w:val="001023CC"/>
    <w:rsid w:val="001024A9"/>
    <w:rsid w:val="0010279A"/>
    <w:rsid w:val="00102BC9"/>
    <w:rsid w:val="00103170"/>
    <w:rsid w:val="0010326C"/>
    <w:rsid w:val="00104E2F"/>
    <w:rsid w:val="00105303"/>
    <w:rsid w:val="00105358"/>
    <w:rsid w:val="00105B94"/>
    <w:rsid w:val="00105C7F"/>
    <w:rsid w:val="00105DC3"/>
    <w:rsid w:val="00105E39"/>
    <w:rsid w:val="001060A0"/>
    <w:rsid w:val="00106892"/>
    <w:rsid w:val="0010702A"/>
    <w:rsid w:val="00107486"/>
    <w:rsid w:val="00107CAD"/>
    <w:rsid w:val="001100F7"/>
    <w:rsid w:val="001106EB"/>
    <w:rsid w:val="00110F24"/>
    <w:rsid w:val="001115F0"/>
    <w:rsid w:val="001117F2"/>
    <w:rsid w:val="001122DC"/>
    <w:rsid w:val="0011258A"/>
    <w:rsid w:val="0011266B"/>
    <w:rsid w:val="00112709"/>
    <w:rsid w:val="00112B77"/>
    <w:rsid w:val="0011319B"/>
    <w:rsid w:val="001134A9"/>
    <w:rsid w:val="001136E9"/>
    <w:rsid w:val="00113A7A"/>
    <w:rsid w:val="00115001"/>
    <w:rsid w:val="00115976"/>
    <w:rsid w:val="00115BF7"/>
    <w:rsid w:val="00115E45"/>
    <w:rsid w:val="00116AA2"/>
    <w:rsid w:val="00116BB9"/>
    <w:rsid w:val="00116C26"/>
    <w:rsid w:val="00117026"/>
    <w:rsid w:val="001179BD"/>
    <w:rsid w:val="00117B02"/>
    <w:rsid w:val="00117D26"/>
    <w:rsid w:val="001203D5"/>
    <w:rsid w:val="00120F5D"/>
    <w:rsid w:val="00121037"/>
    <w:rsid w:val="001212BD"/>
    <w:rsid w:val="001220CA"/>
    <w:rsid w:val="0012269A"/>
    <w:rsid w:val="00122A63"/>
    <w:rsid w:val="00123065"/>
    <w:rsid w:val="001232A4"/>
    <w:rsid w:val="0012352F"/>
    <w:rsid w:val="00123CFC"/>
    <w:rsid w:val="00123D7F"/>
    <w:rsid w:val="00123DC0"/>
    <w:rsid w:val="00123F60"/>
    <w:rsid w:val="00124230"/>
    <w:rsid w:val="001245DF"/>
    <w:rsid w:val="00124F78"/>
    <w:rsid w:val="0012555C"/>
    <w:rsid w:val="0012624B"/>
    <w:rsid w:val="001265A4"/>
    <w:rsid w:val="001268B7"/>
    <w:rsid w:val="00127F7C"/>
    <w:rsid w:val="00127FB2"/>
    <w:rsid w:val="00131282"/>
    <w:rsid w:val="00131778"/>
    <w:rsid w:val="00131CD9"/>
    <w:rsid w:val="00132548"/>
    <w:rsid w:val="00132752"/>
    <w:rsid w:val="0013306D"/>
    <w:rsid w:val="001331DD"/>
    <w:rsid w:val="00133DF7"/>
    <w:rsid w:val="0013472B"/>
    <w:rsid w:val="00134D61"/>
    <w:rsid w:val="00135556"/>
    <w:rsid w:val="00135B41"/>
    <w:rsid w:val="00135D94"/>
    <w:rsid w:val="00136EAF"/>
    <w:rsid w:val="00136EB4"/>
    <w:rsid w:val="001373A3"/>
    <w:rsid w:val="00137897"/>
    <w:rsid w:val="00137BE8"/>
    <w:rsid w:val="00137C56"/>
    <w:rsid w:val="0014057A"/>
    <w:rsid w:val="00140A84"/>
    <w:rsid w:val="00140C6F"/>
    <w:rsid w:val="00140F31"/>
    <w:rsid w:val="00140FC0"/>
    <w:rsid w:val="00141374"/>
    <w:rsid w:val="001414E0"/>
    <w:rsid w:val="0014202F"/>
    <w:rsid w:val="00142528"/>
    <w:rsid w:val="00143DF5"/>
    <w:rsid w:val="00143FC2"/>
    <w:rsid w:val="001440A5"/>
    <w:rsid w:val="001447F6"/>
    <w:rsid w:val="00144871"/>
    <w:rsid w:val="00144BCC"/>
    <w:rsid w:val="0014512A"/>
    <w:rsid w:val="00145683"/>
    <w:rsid w:val="00145704"/>
    <w:rsid w:val="0014638F"/>
    <w:rsid w:val="00146BD1"/>
    <w:rsid w:val="00146CA5"/>
    <w:rsid w:val="00147018"/>
    <w:rsid w:val="00147330"/>
    <w:rsid w:val="00147716"/>
    <w:rsid w:val="00147875"/>
    <w:rsid w:val="001478B6"/>
    <w:rsid w:val="00147DB6"/>
    <w:rsid w:val="00150130"/>
    <w:rsid w:val="0015061C"/>
    <w:rsid w:val="00151208"/>
    <w:rsid w:val="001514E6"/>
    <w:rsid w:val="00151808"/>
    <w:rsid w:val="0015238C"/>
    <w:rsid w:val="001525C7"/>
    <w:rsid w:val="00152F10"/>
    <w:rsid w:val="00153019"/>
    <w:rsid w:val="001530B6"/>
    <w:rsid w:val="00153372"/>
    <w:rsid w:val="001538CD"/>
    <w:rsid w:val="00153941"/>
    <w:rsid w:val="00153997"/>
    <w:rsid w:val="00153CC1"/>
    <w:rsid w:val="001549BE"/>
    <w:rsid w:val="00154D8F"/>
    <w:rsid w:val="00155D1F"/>
    <w:rsid w:val="00155FFB"/>
    <w:rsid w:val="001563BF"/>
    <w:rsid w:val="00156C1A"/>
    <w:rsid w:val="001570F5"/>
    <w:rsid w:val="00157255"/>
    <w:rsid w:val="00160120"/>
    <w:rsid w:val="001604A8"/>
    <w:rsid w:val="00160772"/>
    <w:rsid w:val="00161167"/>
    <w:rsid w:val="001614B9"/>
    <w:rsid w:val="001614E9"/>
    <w:rsid w:val="00161F95"/>
    <w:rsid w:val="0016216C"/>
    <w:rsid w:val="00162590"/>
    <w:rsid w:val="00162A7C"/>
    <w:rsid w:val="0016319C"/>
    <w:rsid w:val="0016327E"/>
    <w:rsid w:val="00163315"/>
    <w:rsid w:val="001634E8"/>
    <w:rsid w:val="0016381F"/>
    <w:rsid w:val="001639E2"/>
    <w:rsid w:val="00163AA4"/>
    <w:rsid w:val="00163AB8"/>
    <w:rsid w:val="00163F8A"/>
    <w:rsid w:val="001641E6"/>
    <w:rsid w:val="00165021"/>
    <w:rsid w:val="0016642F"/>
    <w:rsid w:val="00166488"/>
    <w:rsid w:val="001675D8"/>
    <w:rsid w:val="00167C36"/>
    <w:rsid w:val="001701AF"/>
    <w:rsid w:val="0017068C"/>
    <w:rsid w:val="00171430"/>
    <w:rsid w:val="00171F86"/>
    <w:rsid w:val="001734A3"/>
    <w:rsid w:val="0017390D"/>
    <w:rsid w:val="00173BE7"/>
    <w:rsid w:val="0017405D"/>
    <w:rsid w:val="0017417F"/>
    <w:rsid w:val="00174412"/>
    <w:rsid w:val="00174549"/>
    <w:rsid w:val="00174E3B"/>
    <w:rsid w:val="00175230"/>
    <w:rsid w:val="00175350"/>
    <w:rsid w:val="001760CE"/>
    <w:rsid w:val="001761A4"/>
    <w:rsid w:val="001765AE"/>
    <w:rsid w:val="001768A6"/>
    <w:rsid w:val="0017718A"/>
    <w:rsid w:val="00177488"/>
    <w:rsid w:val="00177C75"/>
    <w:rsid w:val="00180856"/>
    <w:rsid w:val="00180C72"/>
    <w:rsid w:val="00180E48"/>
    <w:rsid w:val="00180F41"/>
    <w:rsid w:val="00181D08"/>
    <w:rsid w:val="00181F17"/>
    <w:rsid w:val="0018236C"/>
    <w:rsid w:val="001829C4"/>
    <w:rsid w:val="00182C60"/>
    <w:rsid w:val="001831A4"/>
    <w:rsid w:val="00183BD6"/>
    <w:rsid w:val="00184217"/>
    <w:rsid w:val="001842F1"/>
    <w:rsid w:val="00184542"/>
    <w:rsid w:val="001845D8"/>
    <w:rsid w:val="001849D7"/>
    <w:rsid w:val="001849EE"/>
    <w:rsid w:val="0018508F"/>
    <w:rsid w:val="00185AEA"/>
    <w:rsid w:val="00186102"/>
    <w:rsid w:val="001863E0"/>
    <w:rsid w:val="001878B1"/>
    <w:rsid w:val="001878CE"/>
    <w:rsid w:val="0018796E"/>
    <w:rsid w:val="00187FAE"/>
    <w:rsid w:val="0019052B"/>
    <w:rsid w:val="001909DF"/>
    <w:rsid w:val="00190D1F"/>
    <w:rsid w:val="00191E5F"/>
    <w:rsid w:val="001922B7"/>
    <w:rsid w:val="00192AB3"/>
    <w:rsid w:val="00193150"/>
    <w:rsid w:val="001931BC"/>
    <w:rsid w:val="001932FE"/>
    <w:rsid w:val="0019381B"/>
    <w:rsid w:val="001942CE"/>
    <w:rsid w:val="001948CE"/>
    <w:rsid w:val="00195120"/>
    <w:rsid w:val="0019565B"/>
    <w:rsid w:val="001956DE"/>
    <w:rsid w:val="00195747"/>
    <w:rsid w:val="00195924"/>
    <w:rsid w:val="00195D82"/>
    <w:rsid w:val="001970BF"/>
    <w:rsid w:val="001971D0"/>
    <w:rsid w:val="001977BF"/>
    <w:rsid w:val="00197F7A"/>
    <w:rsid w:val="001A03A1"/>
    <w:rsid w:val="001A0422"/>
    <w:rsid w:val="001A050D"/>
    <w:rsid w:val="001A0616"/>
    <w:rsid w:val="001A06F3"/>
    <w:rsid w:val="001A07A9"/>
    <w:rsid w:val="001A0891"/>
    <w:rsid w:val="001A0A0D"/>
    <w:rsid w:val="001A0F79"/>
    <w:rsid w:val="001A1267"/>
    <w:rsid w:val="001A13F4"/>
    <w:rsid w:val="001A15DD"/>
    <w:rsid w:val="001A18B9"/>
    <w:rsid w:val="001A1A84"/>
    <w:rsid w:val="001A1A92"/>
    <w:rsid w:val="001A1E92"/>
    <w:rsid w:val="001A1ED9"/>
    <w:rsid w:val="001A1FAD"/>
    <w:rsid w:val="001A21F2"/>
    <w:rsid w:val="001A222B"/>
    <w:rsid w:val="001A2259"/>
    <w:rsid w:val="001A27A0"/>
    <w:rsid w:val="001A3006"/>
    <w:rsid w:val="001A3245"/>
    <w:rsid w:val="001A3572"/>
    <w:rsid w:val="001A3A62"/>
    <w:rsid w:val="001A4A32"/>
    <w:rsid w:val="001A5B81"/>
    <w:rsid w:val="001A61D1"/>
    <w:rsid w:val="001A66B9"/>
    <w:rsid w:val="001A68C3"/>
    <w:rsid w:val="001A693A"/>
    <w:rsid w:val="001A6E81"/>
    <w:rsid w:val="001A7B3F"/>
    <w:rsid w:val="001A7FB7"/>
    <w:rsid w:val="001B091C"/>
    <w:rsid w:val="001B0B8B"/>
    <w:rsid w:val="001B0DBD"/>
    <w:rsid w:val="001B11CD"/>
    <w:rsid w:val="001B1433"/>
    <w:rsid w:val="001B17C3"/>
    <w:rsid w:val="001B18D0"/>
    <w:rsid w:val="001B18E2"/>
    <w:rsid w:val="001B1AEB"/>
    <w:rsid w:val="001B1BCC"/>
    <w:rsid w:val="001B23ED"/>
    <w:rsid w:val="001B2795"/>
    <w:rsid w:val="001B27C1"/>
    <w:rsid w:val="001B4508"/>
    <w:rsid w:val="001B4535"/>
    <w:rsid w:val="001B48B4"/>
    <w:rsid w:val="001B4ADB"/>
    <w:rsid w:val="001B4DBB"/>
    <w:rsid w:val="001B4F9F"/>
    <w:rsid w:val="001B5239"/>
    <w:rsid w:val="001B54DE"/>
    <w:rsid w:val="001B5586"/>
    <w:rsid w:val="001B5FEC"/>
    <w:rsid w:val="001B638A"/>
    <w:rsid w:val="001B6A20"/>
    <w:rsid w:val="001B6BC9"/>
    <w:rsid w:val="001B6CD1"/>
    <w:rsid w:val="001B72DE"/>
    <w:rsid w:val="001C02F9"/>
    <w:rsid w:val="001C0512"/>
    <w:rsid w:val="001C19B2"/>
    <w:rsid w:val="001C1BAA"/>
    <w:rsid w:val="001C1C13"/>
    <w:rsid w:val="001C2133"/>
    <w:rsid w:val="001C2168"/>
    <w:rsid w:val="001C2479"/>
    <w:rsid w:val="001C2873"/>
    <w:rsid w:val="001C2AFA"/>
    <w:rsid w:val="001C3078"/>
    <w:rsid w:val="001C3424"/>
    <w:rsid w:val="001C36F0"/>
    <w:rsid w:val="001C3B17"/>
    <w:rsid w:val="001C3D99"/>
    <w:rsid w:val="001C4102"/>
    <w:rsid w:val="001C4DB5"/>
    <w:rsid w:val="001C5C13"/>
    <w:rsid w:val="001C5E0A"/>
    <w:rsid w:val="001C5FDA"/>
    <w:rsid w:val="001C6851"/>
    <w:rsid w:val="001C6E29"/>
    <w:rsid w:val="001C7666"/>
    <w:rsid w:val="001C77F3"/>
    <w:rsid w:val="001C7D4C"/>
    <w:rsid w:val="001D003C"/>
    <w:rsid w:val="001D066A"/>
    <w:rsid w:val="001D098E"/>
    <w:rsid w:val="001D0AE4"/>
    <w:rsid w:val="001D0BCB"/>
    <w:rsid w:val="001D11B2"/>
    <w:rsid w:val="001D14BC"/>
    <w:rsid w:val="001D223F"/>
    <w:rsid w:val="001D2A95"/>
    <w:rsid w:val="001D428D"/>
    <w:rsid w:val="001D441D"/>
    <w:rsid w:val="001D4820"/>
    <w:rsid w:val="001D50EA"/>
    <w:rsid w:val="001D5880"/>
    <w:rsid w:val="001D5948"/>
    <w:rsid w:val="001D5A70"/>
    <w:rsid w:val="001D5DFC"/>
    <w:rsid w:val="001D65A2"/>
    <w:rsid w:val="001D7046"/>
    <w:rsid w:val="001D7567"/>
    <w:rsid w:val="001D78CC"/>
    <w:rsid w:val="001D7AF7"/>
    <w:rsid w:val="001E178B"/>
    <w:rsid w:val="001E1AAC"/>
    <w:rsid w:val="001E22E2"/>
    <w:rsid w:val="001E258D"/>
    <w:rsid w:val="001E2618"/>
    <w:rsid w:val="001E4761"/>
    <w:rsid w:val="001E49A1"/>
    <w:rsid w:val="001E543F"/>
    <w:rsid w:val="001E5700"/>
    <w:rsid w:val="001E58F4"/>
    <w:rsid w:val="001E59DA"/>
    <w:rsid w:val="001E5B37"/>
    <w:rsid w:val="001E601A"/>
    <w:rsid w:val="001E6310"/>
    <w:rsid w:val="001E689E"/>
    <w:rsid w:val="001E6967"/>
    <w:rsid w:val="001E6CED"/>
    <w:rsid w:val="001E6EBD"/>
    <w:rsid w:val="001E7954"/>
    <w:rsid w:val="001E7C02"/>
    <w:rsid w:val="001F051E"/>
    <w:rsid w:val="001F0549"/>
    <w:rsid w:val="001F0D99"/>
    <w:rsid w:val="001F13EA"/>
    <w:rsid w:val="001F18E8"/>
    <w:rsid w:val="001F1CE8"/>
    <w:rsid w:val="001F1EB8"/>
    <w:rsid w:val="001F20B0"/>
    <w:rsid w:val="001F24FD"/>
    <w:rsid w:val="001F2557"/>
    <w:rsid w:val="001F27B1"/>
    <w:rsid w:val="001F2C29"/>
    <w:rsid w:val="001F36C4"/>
    <w:rsid w:val="001F38B3"/>
    <w:rsid w:val="001F3B39"/>
    <w:rsid w:val="001F3BA8"/>
    <w:rsid w:val="001F4AA9"/>
    <w:rsid w:val="001F4BB0"/>
    <w:rsid w:val="001F53A5"/>
    <w:rsid w:val="001F5B76"/>
    <w:rsid w:val="002000C7"/>
    <w:rsid w:val="0020060E"/>
    <w:rsid w:val="00200F6B"/>
    <w:rsid w:val="00201384"/>
    <w:rsid w:val="002014E3"/>
    <w:rsid w:val="00201B29"/>
    <w:rsid w:val="0020221E"/>
    <w:rsid w:val="00202A83"/>
    <w:rsid w:val="00202B33"/>
    <w:rsid w:val="00202DE5"/>
    <w:rsid w:val="00202F7A"/>
    <w:rsid w:val="00203022"/>
    <w:rsid w:val="00203078"/>
    <w:rsid w:val="00203917"/>
    <w:rsid w:val="00203D3D"/>
    <w:rsid w:val="002046C9"/>
    <w:rsid w:val="00204889"/>
    <w:rsid w:val="002062E3"/>
    <w:rsid w:val="00206ADF"/>
    <w:rsid w:val="002101D5"/>
    <w:rsid w:val="00210EB4"/>
    <w:rsid w:val="002112B6"/>
    <w:rsid w:val="0021191D"/>
    <w:rsid w:val="00211C06"/>
    <w:rsid w:val="00212026"/>
    <w:rsid w:val="0021218B"/>
    <w:rsid w:val="002129AA"/>
    <w:rsid w:val="00212B05"/>
    <w:rsid w:val="00212BAB"/>
    <w:rsid w:val="00212FC3"/>
    <w:rsid w:val="00213007"/>
    <w:rsid w:val="00213099"/>
    <w:rsid w:val="00213922"/>
    <w:rsid w:val="00213D63"/>
    <w:rsid w:val="00213DAD"/>
    <w:rsid w:val="00213EF8"/>
    <w:rsid w:val="00213FE4"/>
    <w:rsid w:val="00214A27"/>
    <w:rsid w:val="00214FC3"/>
    <w:rsid w:val="00215732"/>
    <w:rsid w:val="002158E2"/>
    <w:rsid w:val="00215AEF"/>
    <w:rsid w:val="00215C77"/>
    <w:rsid w:val="00215D51"/>
    <w:rsid w:val="002167DC"/>
    <w:rsid w:val="00216DC0"/>
    <w:rsid w:val="002173A8"/>
    <w:rsid w:val="002177D3"/>
    <w:rsid w:val="00217A32"/>
    <w:rsid w:val="00217B4E"/>
    <w:rsid w:val="002214CF"/>
    <w:rsid w:val="002218A2"/>
    <w:rsid w:val="002219A1"/>
    <w:rsid w:val="00221D90"/>
    <w:rsid w:val="00221E11"/>
    <w:rsid w:val="002222EA"/>
    <w:rsid w:val="002231CD"/>
    <w:rsid w:val="002232B2"/>
    <w:rsid w:val="00223372"/>
    <w:rsid w:val="0022350D"/>
    <w:rsid w:val="002238A5"/>
    <w:rsid w:val="00223C40"/>
    <w:rsid w:val="0022419B"/>
    <w:rsid w:val="00224579"/>
    <w:rsid w:val="002245A4"/>
    <w:rsid w:val="00225349"/>
    <w:rsid w:val="00225502"/>
    <w:rsid w:val="002259E2"/>
    <w:rsid w:val="00225D4D"/>
    <w:rsid w:val="00225FE8"/>
    <w:rsid w:val="00226074"/>
    <w:rsid w:val="00226687"/>
    <w:rsid w:val="00226A17"/>
    <w:rsid w:val="00226E85"/>
    <w:rsid w:val="00226F4E"/>
    <w:rsid w:val="00230004"/>
    <w:rsid w:val="002302FD"/>
    <w:rsid w:val="00230798"/>
    <w:rsid w:val="00230C52"/>
    <w:rsid w:val="00230EAD"/>
    <w:rsid w:val="00230F5C"/>
    <w:rsid w:val="00231043"/>
    <w:rsid w:val="00231423"/>
    <w:rsid w:val="00231679"/>
    <w:rsid w:val="00231ED9"/>
    <w:rsid w:val="0023284D"/>
    <w:rsid w:val="00232AC1"/>
    <w:rsid w:val="00232CD4"/>
    <w:rsid w:val="00232CF2"/>
    <w:rsid w:val="00232DD0"/>
    <w:rsid w:val="00232EB2"/>
    <w:rsid w:val="002333E9"/>
    <w:rsid w:val="002339C4"/>
    <w:rsid w:val="00233B38"/>
    <w:rsid w:val="00233D53"/>
    <w:rsid w:val="00233EC9"/>
    <w:rsid w:val="00233F18"/>
    <w:rsid w:val="00234CD1"/>
    <w:rsid w:val="002353DF"/>
    <w:rsid w:val="0023643D"/>
    <w:rsid w:val="00236DC8"/>
    <w:rsid w:val="00236DCA"/>
    <w:rsid w:val="00237099"/>
    <w:rsid w:val="0023774A"/>
    <w:rsid w:val="002379AD"/>
    <w:rsid w:val="0024024C"/>
    <w:rsid w:val="0024032B"/>
    <w:rsid w:val="00240334"/>
    <w:rsid w:val="0024051A"/>
    <w:rsid w:val="002408A8"/>
    <w:rsid w:val="002409DC"/>
    <w:rsid w:val="00240A24"/>
    <w:rsid w:val="00240C06"/>
    <w:rsid w:val="0024186D"/>
    <w:rsid w:val="00241BAE"/>
    <w:rsid w:val="00241C1D"/>
    <w:rsid w:val="00241D45"/>
    <w:rsid w:val="00241E59"/>
    <w:rsid w:val="00241EED"/>
    <w:rsid w:val="0024222F"/>
    <w:rsid w:val="00242CF7"/>
    <w:rsid w:val="002439C8"/>
    <w:rsid w:val="00243C1E"/>
    <w:rsid w:val="00244663"/>
    <w:rsid w:val="00244C7F"/>
    <w:rsid w:val="00245C5A"/>
    <w:rsid w:val="00246003"/>
    <w:rsid w:val="0024648B"/>
    <w:rsid w:val="0024657B"/>
    <w:rsid w:val="0024695E"/>
    <w:rsid w:val="002469CE"/>
    <w:rsid w:val="00246B89"/>
    <w:rsid w:val="002477A5"/>
    <w:rsid w:val="0024791E"/>
    <w:rsid w:val="00252A28"/>
    <w:rsid w:val="0025322B"/>
    <w:rsid w:val="002532A2"/>
    <w:rsid w:val="0025330E"/>
    <w:rsid w:val="00253430"/>
    <w:rsid w:val="0025421C"/>
    <w:rsid w:val="00254BCA"/>
    <w:rsid w:val="002554CE"/>
    <w:rsid w:val="002557DB"/>
    <w:rsid w:val="00255861"/>
    <w:rsid w:val="00255983"/>
    <w:rsid w:val="00256140"/>
    <w:rsid w:val="00256157"/>
    <w:rsid w:val="002566EA"/>
    <w:rsid w:val="00256A7A"/>
    <w:rsid w:val="0026017D"/>
    <w:rsid w:val="0026075D"/>
    <w:rsid w:val="002607CB"/>
    <w:rsid w:val="0026094E"/>
    <w:rsid w:val="00261249"/>
    <w:rsid w:val="00261458"/>
    <w:rsid w:val="00261B00"/>
    <w:rsid w:val="00261D6E"/>
    <w:rsid w:val="002629BC"/>
    <w:rsid w:val="00262DE5"/>
    <w:rsid w:val="0026374B"/>
    <w:rsid w:val="00263BA1"/>
    <w:rsid w:val="002645B3"/>
    <w:rsid w:val="00264AA4"/>
    <w:rsid w:val="00264BA2"/>
    <w:rsid w:val="00265019"/>
    <w:rsid w:val="00265154"/>
    <w:rsid w:val="00265759"/>
    <w:rsid w:val="00265BB0"/>
    <w:rsid w:val="00267D12"/>
    <w:rsid w:val="00267D8A"/>
    <w:rsid w:val="00270484"/>
    <w:rsid w:val="002709CC"/>
    <w:rsid w:val="00270A10"/>
    <w:rsid w:val="00271307"/>
    <w:rsid w:val="002717BD"/>
    <w:rsid w:val="00271A4A"/>
    <w:rsid w:val="00271D6F"/>
    <w:rsid w:val="00271F5E"/>
    <w:rsid w:val="00272427"/>
    <w:rsid w:val="00272798"/>
    <w:rsid w:val="002728FA"/>
    <w:rsid w:val="002731D5"/>
    <w:rsid w:val="00273580"/>
    <w:rsid w:val="0027359F"/>
    <w:rsid w:val="002735B8"/>
    <w:rsid w:val="0027368A"/>
    <w:rsid w:val="00273F79"/>
    <w:rsid w:val="00274267"/>
    <w:rsid w:val="002744E2"/>
    <w:rsid w:val="00274830"/>
    <w:rsid w:val="00274C56"/>
    <w:rsid w:val="0027506B"/>
    <w:rsid w:val="002755BC"/>
    <w:rsid w:val="00275745"/>
    <w:rsid w:val="00275BCD"/>
    <w:rsid w:val="0027654E"/>
    <w:rsid w:val="00277238"/>
    <w:rsid w:val="00277257"/>
    <w:rsid w:val="002774AE"/>
    <w:rsid w:val="002776A3"/>
    <w:rsid w:val="00277D5F"/>
    <w:rsid w:val="00280EB9"/>
    <w:rsid w:val="00281135"/>
    <w:rsid w:val="00281709"/>
    <w:rsid w:val="00281D82"/>
    <w:rsid w:val="0028223B"/>
    <w:rsid w:val="0028302C"/>
    <w:rsid w:val="002835DB"/>
    <w:rsid w:val="00283940"/>
    <w:rsid w:val="002843F7"/>
    <w:rsid w:val="00284E4F"/>
    <w:rsid w:val="00285758"/>
    <w:rsid w:val="002858EB"/>
    <w:rsid w:val="00285ACF"/>
    <w:rsid w:val="00286201"/>
    <w:rsid w:val="00286D78"/>
    <w:rsid w:val="00287D5E"/>
    <w:rsid w:val="00287E4B"/>
    <w:rsid w:val="00290194"/>
    <w:rsid w:val="00290704"/>
    <w:rsid w:val="00291022"/>
    <w:rsid w:val="00291461"/>
    <w:rsid w:val="00291840"/>
    <w:rsid w:val="00291BD1"/>
    <w:rsid w:val="00292091"/>
    <w:rsid w:val="00292536"/>
    <w:rsid w:val="002925D4"/>
    <w:rsid w:val="00292817"/>
    <w:rsid w:val="00292CA4"/>
    <w:rsid w:val="00293011"/>
    <w:rsid w:val="002938D4"/>
    <w:rsid w:val="00293B09"/>
    <w:rsid w:val="002940C6"/>
    <w:rsid w:val="00294B97"/>
    <w:rsid w:val="00294C03"/>
    <w:rsid w:val="00294E63"/>
    <w:rsid w:val="00295218"/>
    <w:rsid w:val="00295239"/>
    <w:rsid w:val="002952AA"/>
    <w:rsid w:val="00295321"/>
    <w:rsid w:val="00295390"/>
    <w:rsid w:val="00295C6D"/>
    <w:rsid w:val="00295DC7"/>
    <w:rsid w:val="00296BD2"/>
    <w:rsid w:val="00296FEF"/>
    <w:rsid w:val="00297109"/>
    <w:rsid w:val="00297411"/>
    <w:rsid w:val="00297531"/>
    <w:rsid w:val="002975E6"/>
    <w:rsid w:val="00297AFD"/>
    <w:rsid w:val="002A0380"/>
    <w:rsid w:val="002A098E"/>
    <w:rsid w:val="002A0EBE"/>
    <w:rsid w:val="002A108B"/>
    <w:rsid w:val="002A266B"/>
    <w:rsid w:val="002A29E7"/>
    <w:rsid w:val="002A29FA"/>
    <w:rsid w:val="002A29FE"/>
    <w:rsid w:val="002A2FBA"/>
    <w:rsid w:val="002A3A42"/>
    <w:rsid w:val="002A3E3E"/>
    <w:rsid w:val="002A3F8D"/>
    <w:rsid w:val="002A432A"/>
    <w:rsid w:val="002A4EA7"/>
    <w:rsid w:val="002A4FBF"/>
    <w:rsid w:val="002A5130"/>
    <w:rsid w:val="002A5271"/>
    <w:rsid w:val="002A5626"/>
    <w:rsid w:val="002A563D"/>
    <w:rsid w:val="002A5A16"/>
    <w:rsid w:val="002A5A43"/>
    <w:rsid w:val="002A5DD6"/>
    <w:rsid w:val="002A6297"/>
    <w:rsid w:val="002A644A"/>
    <w:rsid w:val="002A656C"/>
    <w:rsid w:val="002A6D05"/>
    <w:rsid w:val="002A6FBC"/>
    <w:rsid w:val="002A709B"/>
    <w:rsid w:val="002A7168"/>
    <w:rsid w:val="002A716F"/>
    <w:rsid w:val="002A75B5"/>
    <w:rsid w:val="002A7DBC"/>
    <w:rsid w:val="002A7E4F"/>
    <w:rsid w:val="002B0063"/>
    <w:rsid w:val="002B02A4"/>
    <w:rsid w:val="002B0301"/>
    <w:rsid w:val="002B03D9"/>
    <w:rsid w:val="002B048F"/>
    <w:rsid w:val="002B0B24"/>
    <w:rsid w:val="002B0ECB"/>
    <w:rsid w:val="002B19CB"/>
    <w:rsid w:val="002B1B0E"/>
    <w:rsid w:val="002B21D0"/>
    <w:rsid w:val="002B2D51"/>
    <w:rsid w:val="002B2F1A"/>
    <w:rsid w:val="002B3F5F"/>
    <w:rsid w:val="002B42D0"/>
    <w:rsid w:val="002B47A4"/>
    <w:rsid w:val="002B4EAF"/>
    <w:rsid w:val="002B5144"/>
    <w:rsid w:val="002B5195"/>
    <w:rsid w:val="002B5330"/>
    <w:rsid w:val="002B5694"/>
    <w:rsid w:val="002B583F"/>
    <w:rsid w:val="002B590D"/>
    <w:rsid w:val="002B5AFC"/>
    <w:rsid w:val="002B6369"/>
    <w:rsid w:val="002B63B9"/>
    <w:rsid w:val="002B6C81"/>
    <w:rsid w:val="002B6E08"/>
    <w:rsid w:val="002B70B2"/>
    <w:rsid w:val="002B7E22"/>
    <w:rsid w:val="002C028C"/>
    <w:rsid w:val="002C116B"/>
    <w:rsid w:val="002C15A5"/>
    <w:rsid w:val="002C20D4"/>
    <w:rsid w:val="002C2517"/>
    <w:rsid w:val="002C29EC"/>
    <w:rsid w:val="002C2A44"/>
    <w:rsid w:val="002C34B9"/>
    <w:rsid w:val="002C39D7"/>
    <w:rsid w:val="002C3AF9"/>
    <w:rsid w:val="002C3EB8"/>
    <w:rsid w:val="002C3FAB"/>
    <w:rsid w:val="002C483E"/>
    <w:rsid w:val="002C4BB0"/>
    <w:rsid w:val="002C4F77"/>
    <w:rsid w:val="002C5569"/>
    <w:rsid w:val="002C5A2D"/>
    <w:rsid w:val="002C5AB0"/>
    <w:rsid w:val="002C6206"/>
    <w:rsid w:val="002C62CC"/>
    <w:rsid w:val="002C6C54"/>
    <w:rsid w:val="002C7139"/>
    <w:rsid w:val="002C785B"/>
    <w:rsid w:val="002C7C22"/>
    <w:rsid w:val="002C7C28"/>
    <w:rsid w:val="002C7CDD"/>
    <w:rsid w:val="002D03B4"/>
    <w:rsid w:val="002D072C"/>
    <w:rsid w:val="002D0DB0"/>
    <w:rsid w:val="002D10DB"/>
    <w:rsid w:val="002D1536"/>
    <w:rsid w:val="002D165C"/>
    <w:rsid w:val="002D18F0"/>
    <w:rsid w:val="002D194C"/>
    <w:rsid w:val="002D280C"/>
    <w:rsid w:val="002D2BFC"/>
    <w:rsid w:val="002D2D07"/>
    <w:rsid w:val="002D2E85"/>
    <w:rsid w:val="002D34B3"/>
    <w:rsid w:val="002D3AE3"/>
    <w:rsid w:val="002D44BE"/>
    <w:rsid w:val="002D473E"/>
    <w:rsid w:val="002D499D"/>
    <w:rsid w:val="002D4D42"/>
    <w:rsid w:val="002D4D58"/>
    <w:rsid w:val="002D514B"/>
    <w:rsid w:val="002D523E"/>
    <w:rsid w:val="002D5686"/>
    <w:rsid w:val="002D568F"/>
    <w:rsid w:val="002D5A91"/>
    <w:rsid w:val="002D61A1"/>
    <w:rsid w:val="002D6406"/>
    <w:rsid w:val="002D65AD"/>
    <w:rsid w:val="002D65B5"/>
    <w:rsid w:val="002D69F9"/>
    <w:rsid w:val="002D72BE"/>
    <w:rsid w:val="002D7886"/>
    <w:rsid w:val="002D7A07"/>
    <w:rsid w:val="002D7B1A"/>
    <w:rsid w:val="002D7E81"/>
    <w:rsid w:val="002E024C"/>
    <w:rsid w:val="002E0541"/>
    <w:rsid w:val="002E0A20"/>
    <w:rsid w:val="002E0D1A"/>
    <w:rsid w:val="002E13F1"/>
    <w:rsid w:val="002E14F6"/>
    <w:rsid w:val="002E19EE"/>
    <w:rsid w:val="002E1C95"/>
    <w:rsid w:val="002E1EE4"/>
    <w:rsid w:val="002E21BD"/>
    <w:rsid w:val="002E28D8"/>
    <w:rsid w:val="002E31E0"/>
    <w:rsid w:val="002E37E6"/>
    <w:rsid w:val="002E3902"/>
    <w:rsid w:val="002E3B07"/>
    <w:rsid w:val="002E3E9A"/>
    <w:rsid w:val="002E3EB0"/>
    <w:rsid w:val="002E4285"/>
    <w:rsid w:val="002E47A3"/>
    <w:rsid w:val="002E5FF4"/>
    <w:rsid w:val="002E7114"/>
    <w:rsid w:val="002E7179"/>
    <w:rsid w:val="002E7202"/>
    <w:rsid w:val="002F1A5F"/>
    <w:rsid w:val="002F1EC7"/>
    <w:rsid w:val="002F292F"/>
    <w:rsid w:val="002F2A2B"/>
    <w:rsid w:val="002F2C1D"/>
    <w:rsid w:val="002F2D7E"/>
    <w:rsid w:val="002F3582"/>
    <w:rsid w:val="002F3EB7"/>
    <w:rsid w:val="002F465E"/>
    <w:rsid w:val="002F4AA2"/>
    <w:rsid w:val="002F4C7F"/>
    <w:rsid w:val="002F4DBF"/>
    <w:rsid w:val="002F4F7B"/>
    <w:rsid w:val="002F52F5"/>
    <w:rsid w:val="002F5827"/>
    <w:rsid w:val="002F5A58"/>
    <w:rsid w:val="002F5AB2"/>
    <w:rsid w:val="002F5C92"/>
    <w:rsid w:val="002F5E36"/>
    <w:rsid w:val="002F6108"/>
    <w:rsid w:val="002F64A9"/>
    <w:rsid w:val="002F6C95"/>
    <w:rsid w:val="002F7797"/>
    <w:rsid w:val="002F7AD2"/>
    <w:rsid w:val="002F7CC2"/>
    <w:rsid w:val="002F7CCF"/>
    <w:rsid w:val="002F7F16"/>
    <w:rsid w:val="003000A4"/>
    <w:rsid w:val="00300226"/>
    <w:rsid w:val="00300562"/>
    <w:rsid w:val="00300690"/>
    <w:rsid w:val="00301716"/>
    <w:rsid w:val="00301DF4"/>
    <w:rsid w:val="0030244F"/>
    <w:rsid w:val="003024CE"/>
    <w:rsid w:val="003025FF"/>
    <w:rsid w:val="003029A5"/>
    <w:rsid w:val="00302EA2"/>
    <w:rsid w:val="00303477"/>
    <w:rsid w:val="00303995"/>
    <w:rsid w:val="00303D70"/>
    <w:rsid w:val="00304487"/>
    <w:rsid w:val="00304C7F"/>
    <w:rsid w:val="00304E6D"/>
    <w:rsid w:val="00305266"/>
    <w:rsid w:val="0030574F"/>
    <w:rsid w:val="003069FF"/>
    <w:rsid w:val="00306AAE"/>
    <w:rsid w:val="00306FE0"/>
    <w:rsid w:val="00307499"/>
    <w:rsid w:val="00307E1C"/>
    <w:rsid w:val="00307E69"/>
    <w:rsid w:val="003102A2"/>
    <w:rsid w:val="003102D9"/>
    <w:rsid w:val="00310ECD"/>
    <w:rsid w:val="0031152A"/>
    <w:rsid w:val="0031198A"/>
    <w:rsid w:val="0031238C"/>
    <w:rsid w:val="00312663"/>
    <w:rsid w:val="00312DFC"/>
    <w:rsid w:val="003130AC"/>
    <w:rsid w:val="003131BC"/>
    <w:rsid w:val="003138BA"/>
    <w:rsid w:val="003144EE"/>
    <w:rsid w:val="0031455B"/>
    <w:rsid w:val="00314C57"/>
    <w:rsid w:val="00314F76"/>
    <w:rsid w:val="00315209"/>
    <w:rsid w:val="0031528B"/>
    <w:rsid w:val="00315900"/>
    <w:rsid w:val="00315E70"/>
    <w:rsid w:val="003167F2"/>
    <w:rsid w:val="0031699C"/>
    <w:rsid w:val="00317079"/>
    <w:rsid w:val="00317567"/>
    <w:rsid w:val="00317814"/>
    <w:rsid w:val="003202B7"/>
    <w:rsid w:val="00320B8C"/>
    <w:rsid w:val="00320BF6"/>
    <w:rsid w:val="003216EA"/>
    <w:rsid w:val="003217F1"/>
    <w:rsid w:val="00321C6D"/>
    <w:rsid w:val="00321FE2"/>
    <w:rsid w:val="00322304"/>
    <w:rsid w:val="0032235D"/>
    <w:rsid w:val="0032284F"/>
    <w:rsid w:val="00322B2A"/>
    <w:rsid w:val="00322B82"/>
    <w:rsid w:val="00323360"/>
    <w:rsid w:val="0032357D"/>
    <w:rsid w:val="00323757"/>
    <w:rsid w:val="00323999"/>
    <w:rsid w:val="00323D5F"/>
    <w:rsid w:val="00323E9D"/>
    <w:rsid w:val="0032440B"/>
    <w:rsid w:val="003248D9"/>
    <w:rsid w:val="00324B7D"/>
    <w:rsid w:val="0032581A"/>
    <w:rsid w:val="00327254"/>
    <w:rsid w:val="00327485"/>
    <w:rsid w:val="00327A62"/>
    <w:rsid w:val="0033086C"/>
    <w:rsid w:val="00330FC3"/>
    <w:rsid w:val="00331800"/>
    <w:rsid w:val="0033198D"/>
    <w:rsid w:val="00331EB3"/>
    <w:rsid w:val="0033247E"/>
    <w:rsid w:val="00332926"/>
    <w:rsid w:val="00332D52"/>
    <w:rsid w:val="00334654"/>
    <w:rsid w:val="003349BF"/>
    <w:rsid w:val="00334D6C"/>
    <w:rsid w:val="00335157"/>
    <w:rsid w:val="003353B8"/>
    <w:rsid w:val="00335528"/>
    <w:rsid w:val="00335591"/>
    <w:rsid w:val="0033592D"/>
    <w:rsid w:val="00335AFD"/>
    <w:rsid w:val="00335F73"/>
    <w:rsid w:val="003360D5"/>
    <w:rsid w:val="0033616F"/>
    <w:rsid w:val="003364BC"/>
    <w:rsid w:val="00336933"/>
    <w:rsid w:val="00337426"/>
    <w:rsid w:val="0033742C"/>
    <w:rsid w:val="0033791F"/>
    <w:rsid w:val="00337D85"/>
    <w:rsid w:val="00337E6D"/>
    <w:rsid w:val="0034007A"/>
    <w:rsid w:val="00340553"/>
    <w:rsid w:val="0034069B"/>
    <w:rsid w:val="00341446"/>
    <w:rsid w:val="003414B9"/>
    <w:rsid w:val="00341E05"/>
    <w:rsid w:val="00341E8B"/>
    <w:rsid w:val="00341FC1"/>
    <w:rsid w:val="00342354"/>
    <w:rsid w:val="00342482"/>
    <w:rsid w:val="00342C2E"/>
    <w:rsid w:val="00342C2F"/>
    <w:rsid w:val="00344407"/>
    <w:rsid w:val="00344A51"/>
    <w:rsid w:val="00344B4D"/>
    <w:rsid w:val="00344E3C"/>
    <w:rsid w:val="00345080"/>
    <w:rsid w:val="003456D5"/>
    <w:rsid w:val="00345ED8"/>
    <w:rsid w:val="00345EDD"/>
    <w:rsid w:val="003464D9"/>
    <w:rsid w:val="00346C4D"/>
    <w:rsid w:val="00347C41"/>
    <w:rsid w:val="00347CA7"/>
    <w:rsid w:val="00347E6E"/>
    <w:rsid w:val="00347F90"/>
    <w:rsid w:val="0035028F"/>
    <w:rsid w:val="00350574"/>
    <w:rsid w:val="00350DE6"/>
    <w:rsid w:val="00350E8C"/>
    <w:rsid w:val="00351285"/>
    <w:rsid w:val="00351431"/>
    <w:rsid w:val="00351443"/>
    <w:rsid w:val="0035147D"/>
    <w:rsid w:val="003521D7"/>
    <w:rsid w:val="00353123"/>
    <w:rsid w:val="00353549"/>
    <w:rsid w:val="00354335"/>
    <w:rsid w:val="003543FE"/>
    <w:rsid w:val="003548B8"/>
    <w:rsid w:val="00354CBC"/>
    <w:rsid w:val="00355377"/>
    <w:rsid w:val="00355535"/>
    <w:rsid w:val="003563AB"/>
    <w:rsid w:val="00356855"/>
    <w:rsid w:val="0035686B"/>
    <w:rsid w:val="00356D16"/>
    <w:rsid w:val="00360C5D"/>
    <w:rsid w:val="00360F41"/>
    <w:rsid w:val="00361012"/>
    <w:rsid w:val="003612A8"/>
    <w:rsid w:val="003613BE"/>
    <w:rsid w:val="0036160C"/>
    <w:rsid w:val="00361D52"/>
    <w:rsid w:val="00362672"/>
    <w:rsid w:val="0036267D"/>
    <w:rsid w:val="00362A76"/>
    <w:rsid w:val="00362B92"/>
    <w:rsid w:val="00364072"/>
    <w:rsid w:val="00364596"/>
    <w:rsid w:val="00364802"/>
    <w:rsid w:val="00364FD8"/>
    <w:rsid w:val="00365594"/>
    <w:rsid w:val="00365FF2"/>
    <w:rsid w:val="00366D04"/>
    <w:rsid w:val="003670C5"/>
    <w:rsid w:val="00367956"/>
    <w:rsid w:val="003701D3"/>
    <w:rsid w:val="0037047C"/>
    <w:rsid w:val="00371320"/>
    <w:rsid w:val="0037141A"/>
    <w:rsid w:val="0037173E"/>
    <w:rsid w:val="00372009"/>
    <w:rsid w:val="003723A5"/>
    <w:rsid w:val="003724A5"/>
    <w:rsid w:val="003725E6"/>
    <w:rsid w:val="00373892"/>
    <w:rsid w:val="00373B9D"/>
    <w:rsid w:val="00373C2F"/>
    <w:rsid w:val="00373E1B"/>
    <w:rsid w:val="00373EB6"/>
    <w:rsid w:val="003743D3"/>
    <w:rsid w:val="00374565"/>
    <w:rsid w:val="0037456A"/>
    <w:rsid w:val="0037458F"/>
    <w:rsid w:val="003748DC"/>
    <w:rsid w:val="003748F6"/>
    <w:rsid w:val="00374D7E"/>
    <w:rsid w:val="00374E3F"/>
    <w:rsid w:val="003751C2"/>
    <w:rsid w:val="003751F2"/>
    <w:rsid w:val="0037529C"/>
    <w:rsid w:val="003756F3"/>
    <w:rsid w:val="0037577F"/>
    <w:rsid w:val="00375D15"/>
    <w:rsid w:val="00375D3F"/>
    <w:rsid w:val="00375EB8"/>
    <w:rsid w:val="003762B9"/>
    <w:rsid w:val="003777D9"/>
    <w:rsid w:val="003778E8"/>
    <w:rsid w:val="00377CF9"/>
    <w:rsid w:val="00380371"/>
    <w:rsid w:val="00380C18"/>
    <w:rsid w:val="00380CED"/>
    <w:rsid w:val="00380D9D"/>
    <w:rsid w:val="00380E8C"/>
    <w:rsid w:val="003812C1"/>
    <w:rsid w:val="00381F95"/>
    <w:rsid w:val="0038246F"/>
    <w:rsid w:val="00382607"/>
    <w:rsid w:val="00382C38"/>
    <w:rsid w:val="00382E27"/>
    <w:rsid w:val="00382F7F"/>
    <w:rsid w:val="0038318B"/>
    <w:rsid w:val="00383432"/>
    <w:rsid w:val="00383715"/>
    <w:rsid w:val="0038485F"/>
    <w:rsid w:val="00384BAF"/>
    <w:rsid w:val="00385392"/>
    <w:rsid w:val="0038543D"/>
    <w:rsid w:val="00385482"/>
    <w:rsid w:val="003858E7"/>
    <w:rsid w:val="00385B2F"/>
    <w:rsid w:val="00386034"/>
    <w:rsid w:val="0038666F"/>
    <w:rsid w:val="00386843"/>
    <w:rsid w:val="00386B11"/>
    <w:rsid w:val="00386B87"/>
    <w:rsid w:val="00387971"/>
    <w:rsid w:val="00387CB5"/>
    <w:rsid w:val="00387E7B"/>
    <w:rsid w:val="003905AE"/>
    <w:rsid w:val="00390EF7"/>
    <w:rsid w:val="00391282"/>
    <w:rsid w:val="00391376"/>
    <w:rsid w:val="003913F1"/>
    <w:rsid w:val="003914F8"/>
    <w:rsid w:val="003926CF"/>
    <w:rsid w:val="00392754"/>
    <w:rsid w:val="00392BFF"/>
    <w:rsid w:val="00394D0E"/>
    <w:rsid w:val="00395073"/>
    <w:rsid w:val="00395369"/>
    <w:rsid w:val="003955DB"/>
    <w:rsid w:val="00395B70"/>
    <w:rsid w:val="0039682B"/>
    <w:rsid w:val="003969DF"/>
    <w:rsid w:val="00397165"/>
    <w:rsid w:val="003975A5"/>
    <w:rsid w:val="00397863"/>
    <w:rsid w:val="00397C93"/>
    <w:rsid w:val="003A02A9"/>
    <w:rsid w:val="003A0AFB"/>
    <w:rsid w:val="003A0BE7"/>
    <w:rsid w:val="003A0D1B"/>
    <w:rsid w:val="003A176C"/>
    <w:rsid w:val="003A1988"/>
    <w:rsid w:val="003A19EF"/>
    <w:rsid w:val="003A1E4F"/>
    <w:rsid w:val="003A23EA"/>
    <w:rsid w:val="003A2407"/>
    <w:rsid w:val="003A2431"/>
    <w:rsid w:val="003A25D2"/>
    <w:rsid w:val="003A4BF4"/>
    <w:rsid w:val="003A52BA"/>
    <w:rsid w:val="003A6136"/>
    <w:rsid w:val="003A63A2"/>
    <w:rsid w:val="003A65A1"/>
    <w:rsid w:val="003A65B1"/>
    <w:rsid w:val="003A6697"/>
    <w:rsid w:val="003A66B3"/>
    <w:rsid w:val="003A6A35"/>
    <w:rsid w:val="003A6A91"/>
    <w:rsid w:val="003A6EFE"/>
    <w:rsid w:val="003B0FA7"/>
    <w:rsid w:val="003B14A0"/>
    <w:rsid w:val="003B1973"/>
    <w:rsid w:val="003B20EC"/>
    <w:rsid w:val="003B2220"/>
    <w:rsid w:val="003B2EE9"/>
    <w:rsid w:val="003B2EF6"/>
    <w:rsid w:val="003B337B"/>
    <w:rsid w:val="003B3AC2"/>
    <w:rsid w:val="003B3F04"/>
    <w:rsid w:val="003B4778"/>
    <w:rsid w:val="003B47C8"/>
    <w:rsid w:val="003B54C4"/>
    <w:rsid w:val="003B54F3"/>
    <w:rsid w:val="003B635B"/>
    <w:rsid w:val="003B6652"/>
    <w:rsid w:val="003B706C"/>
    <w:rsid w:val="003C0483"/>
    <w:rsid w:val="003C0541"/>
    <w:rsid w:val="003C076E"/>
    <w:rsid w:val="003C103D"/>
    <w:rsid w:val="003C18DF"/>
    <w:rsid w:val="003C1AA8"/>
    <w:rsid w:val="003C240D"/>
    <w:rsid w:val="003C32B3"/>
    <w:rsid w:val="003C3C72"/>
    <w:rsid w:val="003C49DA"/>
    <w:rsid w:val="003C4AAB"/>
    <w:rsid w:val="003C4AC1"/>
    <w:rsid w:val="003C5344"/>
    <w:rsid w:val="003C54B4"/>
    <w:rsid w:val="003C5692"/>
    <w:rsid w:val="003C5A3D"/>
    <w:rsid w:val="003C6592"/>
    <w:rsid w:val="003C6751"/>
    <w:rsid w:val="003C6948"/>
    <w:rsid w:val="003C6B85"/>
    <w:rsid w:val="003C6B9F"/>
    <w:rsid w:val="003C6F27"/>
    <w:rsid w:val="003C74B7"/>
    <w:rsid w:val="003C77EC"/>
    <w:rsid w:val="003C783D"/>
    <w:rsid w:val="003D0155"/>
    <w:rsid w:val="003D02A6"/>
    <w:rsid w:val="003D0373"/>
    <w:rsid w:val="003D0C6B"/>
    <w:rsid w:val="003D100C"/>
    <w:rsid w:val="003D11EF"/>
    <w:rsid w:val="003D1373"/>
    <w:rsid w:val="003D158A"/>
    <w:rsid w:val="003D15CF"/>
    <w:rsid w:val="003D1624"/>
    <w:rsid w:val="003D187D"/>
    <w:rsid w:val="003D1AF7"/>
    <w:rsid w:val="003D1FAF"/>
    <w:rsid w:val="003D24CC"/>
    <w:rsid w:val="003D2A06"/>
    <w:rsid w:val="003D2C3A"/>
    <w:rsid w:val="003D2ED3"/>
    <w:rsid w:val="003D3508"/>
    <w:rsid w:val="003D3625"/>
    <w:rsid w:val="003D3B9A"/>
    <w:rsid w:val="003D3E93"/>
    <w:rsid w:val="003D3EA6"/>
    <w:rsid w:val="003D4CAE"/>
    <w:rsid w:val="003D50B9"/>
    <w:rsid w:val="003D5D40"/>
    <w:rsid w:val="003D6483"/>
    <w:rsid w:val="003D6F54"/>
    <w:rsid w:val="003D71A4"/>
    <w:rsid w:val="003D7224"/>
    <w:rsid w:val="003D7D01"/>
    <w:rsid w:val="003E029C"/>
    <w:rsid w:val="003E0507"/>
    <w:rsid w:val="003E05E8"/>
    <w:rsid w:val="003E08E2"/>
    <w:rsid w:val="003E0BD1"/>
    <w:rsid w:val="003E0E3C"/>
    <w:rsid w:val="003E0F49"/>
    <w:rsid w:val="003E12A8"/>
    <w:rsid w:val="003E24E9"/>
    <w:rsid w:val="003E2597"/>
    <w:rsid w:val="003E2B68"/>
    <w:rsid w:val="003E347C"/>
    <w:rsid w:val="003E391E"/>
    <w:rsid w:val="003E3982"/>
    <w:rsid w:val="003E479F"/>
    <w:rsid w:val="003E49FA"/>
    <w:rsid w:val="003E5F38"/>
    <w:rsid w:val="003E62EA"/>
    <w:rsid w:val="003E670C"/>
    <w:rsid w:val="003E6AE5"/>
    <w:rsid w:val="003E74E8"/>
    <w:rsid w:val="003E794A"/>
    <w:rsid w:val="003F05B5"/>
    <w:rsid w:val="003F05D8"/>
    <w:rsid w:val="003F0E67"/>
    <w:rsid w:val="003F14A8"/>
    <w:rsid w:val="003F15F3"/>
    <w:rsid w:val="003F1AA8"/>
    <w:rsid w:val="003F1C1D"/>
    <w:rsid w:val="003F1C48"/>
    <w:rsid w:val="003F2072"/>
    <w:rsid w:val="003F246F"/>
    <w:rsid w:val="003F287F"/>
    <w:rsid w:val="003F2B7C"/>
    <w:rsid w:val="003F2C40"/>
    <w:rsid w:val="003F31D3"/>
    <w:rsid w:val="003F3C97"/>
    <w:rsid w:val="003F3D6C"/>
    <w:rsid w:val="003F3DFE"/>
    <w:rsid w:val="003F4BD8"/>
    <w:rsid w:val="003F5348"/>
    <w:rsid w:val="003F59C9"/>
    <w:rsid w:val="003F5ACB"/>
    <w:rsid w:val="003F5C91"/>
    <w:rsid w:val="003F6857"/>
    <w:rsid w:val="003F68AE"/>
    <w:rsid w:val="003F68DF"/>
    <w:rsid w:val="003F69AE"/>
    <w:rsid w:val="003F6C6C"/>
    <w:rsid w:val="003F6E10"/>
    <w:rsid w:val="003F7373"/>
    <w:rsid w:val="003F775D"/>
    <w:rsid w:val="004005BF"/>
    <w:rsid w:val="00400653"/>
    <w:rsid w:val="00400D25"/>
    <w:rsid w:val="00400D62"/>
    <w:rsid w:val="00400DD8"/>
    <w:rsid w:val="0040107C"/>
    <w:rsid w:val="00401402"/>
    <w:rsid w:val="00401A41"/>
    <w:rsid w:val="00401B2C"/>
    <w:rsid w:val="00401BDC"/>
    <w:rsid w:val="00401C24"/>
    <w:rsid w:val="00402080"/>
    <w:rsid w:val="0040276F"/>
    <w:rsid w:val="004029E2"/>
    <w:rsid w:val="00403E5F"/>
    <w:rsid w:val="00404390"/>
    <w:rsid w:val="00404C94"/>
    <w:rsid w:val="00405240"/>
    <w:rsid w:val="00405904"/>
    <w:rsid w:val="00405A65"/>
    <w:rsid w:val="00406D67"/>
    <w:rsid w:val="00406ED8"/>
    <w:rsid w:val="004071E6"/>
    <w:rsid w:val="0040757B"/>
    <w:rsid w:val="00407A13"/>
    <w:rsid w:val="00407FC5"/>
    <w:rsid w:val="004104AA"/>
    <w:rsid w:val="004108F8"/>
    <w:rsid w:val="00410A03"/>
    <w:rsid w:val="00410DA3"/>
    <w:rsid w:val="00412008"/>
    <w:rsid w:val="0041216A"/>
    <w:rsid w:val="00412807"/>
    <w:rsid w:val="00412BD9"/>
    <w:rsid w:val="0041305E"/>
    <w:rsid w:val="004146E4"/>
    <w:rsid w:val="00414CD4"/>
    <w:rsid w:val="00415312"/>
    <w:rsid w:val="004153AA"/>
    <w:rsid w:val="00415491"/>
    <w:rsid w:val="004154AB"/>
    <w:rsid w:val="00415680"/>
    <w:rsid w:val="00415C13"/>
    <w:rsid w:val="00415C3E"/>
    <w:rsid w:val="00416074"/>
    <w:rsid w:val="004172CB"/>
    <w:rsid w:val="004173CD"/>
    <w:rsid w:val="00417635"/>
    <w:rsid w:val="00420417"/>
    <w:rsid w:val="0042052A"/>
    <w:rsid w:val="00420DA7"/>
    <w:rsid w:val="00421383"/>
    <w:rsid w:val="00421F67"/>
    <w:rsid w:val="00422345"/>
    <w:rsid w:val="00422584"/>
    <w:rsid w:val="00422B63"/>
    <w:rsid w:val="004231EB"/>
    <w:rsid w:val="004239F6"/>
    <w:rsid w:val="004241CA"/>
    <w:rsid w:val="004241D2"/>
    <w:rsid w:val="0042434C"/>
    <w:rsid w:val="00424B70"/>
    <w:rsid w:val="00424DE2"/>
    <w:rsid w:val="00424E9E"/>
    <w:rsid w:val="00425294"/>
    <w:rsid w:val="00425721"/>
    <w:rsid w:val="00425D57"/>
    <w:rsid w:val="00425F5A"/>
    <w:rsid w:val="00426477"/>
    <w:rsid w:val="00426CFF"/>
    <w:rsid w:val="00426E29"/>
    <w:rsid w:val="0042784B"/>
    <w:rsid w:val="004308A1"/>
    <w:rsid w:val="00430C3A"/>
    <w:rsid w:val="00430C73"/>
    <w:rsid w:val="00430DC1"/>
    <w:rsid w:val="00430DCC"/>
    <w:rsid w:val="00431A34"/>
    <w:rsid w:val="00431FFD"/>
    <w:rsid w:val="004321B3"/>
    <w:rsid w:val="00432425"/>
    <w:rsid w:val="00432664"/>
    <w:rsid w:val="004327EF"/>
    <w:rsid w:val="00432D4C"/>
    <w:rsid w:val="0043315C"/>
    <w:rsid w:val="004331C4"/>
    <w:rsid w:val="00433617"/>
    <w:rsid w:val="00434672"/>
    <w:rsid w:val="00434C64"/>
    <w:rsid w:val="00434EA3"/>
    <w:rsid w:val="004354F9"/>
    <w:rsid w:val="00435DCC"/>
    <w:rsid w:val="00436835"/>
    <w:rsid w:val="00436D11"/>
    <w:rsid w:val="00437012"/>
    <w:rsid w:val="00437026"/>
    <w:rsid w:val="0043733E"/>
    <w:rsid w:val="0043764F"/>
    <w:rsid w:val="00437E15"/>
    <w:rsid w:val="0044000E"/>
    <w:rsid w:val="0044020E"/>
    <w:rsid w:val="00440B23"/>
    <w:rsid w:val="00440D26"/>
    <w:rsid w:val="00441AA8"/>
    <w:rsid w:val="00441B32"/>
    <w:rsid w:val="00442859"/>
    <w:rsid w:val="004428CA"/>
    <w:rsid w:val="00442BC8"/>
    <w:rsid w:val="00442BDF"/>
    <w:rsid w:val="0044359D"/>
    <w:rsid w:val="0044382C"/>
    <w:rsid w:val="004440B1"/>
    <w:rsid w:val="00444227"/>
    <w:rsid w:val="004446A3"/>
    <w:rsid w:val="0044479A"/>
    <w:rsid w:val="00445644"/>
    <w:rsid w:val="00445B69"/>
    <w:rsid w:val="00445C92"/>
    <w:rsid w:val="004465EC"/>
    <w:rsid w:val="004466CF"/>
    <w:rsid w:val="0044672A"/>
    <w:rsid w:val="004468F9"/>
    <w:rsid w:val="00446B05"/>
    <w:rsid w:val="00446F42"/>
    <w:rsid w:val="0044718A"/>
    <w:rsid w:val="00447E30"/>
    <w:rsid w:val="00450806"/>
    <w:rsid w:val="00450D1C"/>
    <w:rsid w:val="00450E1E"/>
    <w:rsid w:val="004513E7"/>
    <w:rsid w:val="004516A9"/>
    <w:rsid w:val="00451EE8"/>
    <w:rsid w:val="00451FDB"/>
    <w:rsid w:val="004523DE"/>
    <w:rsid w:val="00452BE0"/>
    <w:rsid w:val="00452D0D"/>
    <w:rsid w:val="004534DC"/>
    <w:rsid w:val="00453605"/>
    <w:rsid w:val="00453713"/>
    <w:rsid w:val="00453AE9"/>
    <w:rsid w:val="0045421A"/>
    <w:rsid w:val="00454556"/>
    <w:rsid w:val="00454D0E"/>
    <w:rsid w:val="00454FAF"/>
    <w:rsid w:val="00455E3F"/>
    <w:rsid w:val="00455E60"/>
    <w:rsid w:val="00456154"/>
    <w:rsid w:val="004562A6"/>
    <w:rsid w:val="00456A40"/>
    <w:rsid w:val="00456ABF"/>
    <w:rsid w:val="00456B75"/>
    <w:rsid w:val="00456CFE"/>
    <w:rsid w:val="004572B0"/>
    <w:rsid w:val="004572B6"/>
    <w:rsid w:val="004573AD"/>
    <w:rsid w:val="00460459"/>
    <w:rsid w:val="004604DA"/>
    <w:rsid w:val="004609C8"/>
    <w:rsid w:val="0046107E"/>
    <w:rsid w:val="004612AE"/>
    <w:rsid w:val="00461408"/>
    <w:rsid w:val="004618D7"/>
    <w:rsid w:val="00462A86"/>
    <w:rsid w:val="00462D53"/>
    <w:rsid w:val="00463052"/>
    <w:rsid w:val="0046314F"/>
    <w:rsid w:val="004631C5"/>
    <w:rsid w:val="00463F26"/>
    <w:rsid w:val="00464C1C"/>
    <w:rsid w:val="00464C71"/>
    <w:rsid w:val="00464E1D"/>
    <w:rsid w:val="00464E88"/>
    <w:rsid w:val="0046530C"/>
    <w:rsid w:val="00465BD8"/>
    <w:rsid w:val="0046679F"/>
    <w:rsid w:val="00466D0C"/>
    <w:rsid w:val="00466D56"/>
    <w:rsid w:val="004672BB"/>
    <w:rsid w:val="004675C1"/>
    <w:rsid w:val="00467E9A"/>
    <w:rsid w:val="00470B60"/>
    <w:rsid w:val="00470FC3"/>
    <w:rsid w:val="00471AB4"/>
    <w:rsid w:val="00471B21"/>
    <w:rsid w:val="004724A0"/>
    <w:rsid w:val="004724E5"/>
    <w:rsid w:val="00472BB9"/>
    <w:rsid w:val="004739FB"/>
    <w:rsid w:val="00473DCD"/>
    <w:rsid w:val="00474141"/>
    <w:rsid w:val="0047442C"/>
    <w:rsid w:val="0047443C"/>
    <w:rsid w:val="004750D1"/>
    <w:rsid w:val="004759BF"/>
    <w:rsid w:val="00475E14"/>
    <w:rsid w:val="00475ED5"/>
    <w:rsid w:val="00476635"/>
    <w:rsid w:val="004772FB"/>
    <w:rsid w:val="00477DB0"/>
    <w:rsid w:val="00480C16"/>
    <w:rsid w:val="00480F1C"/>
    <w:rsid w:val="004811AF"/>
    <w:rsid w:val="0048183C"/>
    <w:rsid w:val="004827FE"/>
    <w:rsid w:val="00482CE3"/>
    <w:rsid w:val="0048310F"/>
    <w:rsid w:val="00483302"/>
    <w:rsid w:val="0048389F"/>
    <w:rsid w:val="00483B54"/>
    <w:rsid w:val="00483BED"/>
    <w:rsid w:val="00484077"/>
    <w:rsid w:val="00484551"/>
    <w:rsid w:val="004845A5"/>
    <w:rsid w:val="00484DC5"/>
    <w:rsid w:val="004853EE"/>
    <w:rsid w:val="00485634"/>
    <w:rsid w:val="00485C7F"/>
    <w:rsid w:val="00485CE4"/>
    <w:rsid w:val="00485D47"/>
    <w:rsid w:val="00486240"/>
    <w:rsid w:val="004862E3"/>
    <w:rsid w:val="00486F0E"/>
    <w:rsid w:val="00487CE2"/>
    <w:rsid w:val="00487DAC"/>
    <w:rsid w:val="00487EAD"/>
    <w:rsid w:val="0049021E"/>
    <w:rsid w:val="004907BE"/>
    <w:rsid w:val="004908B1"/>
    <w:rsid w:val="004911C3"/>
    <w:rsid w:val="00491395"/>
    <w:rsid w:val="00491B84"/>
    <w:rsid w:val="00491C85"/>
    <w:rsid w:val="00491DAC"/>
    <w:rsid w:val="004920DC"/>
    <w:rsid w:val="00492D68"/>
    <w:rsid w:val="0049306D"/>
    <w:rsid w:val="00493FD3"/>
    <w:rsid w:val="00494027"/>
    <w:rsid w:val="0049433F"/>
    <w:rsid w:val="004945DB"/>
    <w:rsid w:val="0049487D"/>
    <w:rsid w:val="0049491D"/>
    <w:rsid w:val="004955E2"/>
    <w:rsid w:val="0049568A"/>
    <w:rsid w:val="00495738"/>
    <w:rsid w:val="00495F46"/>
    <w:rsid w:val="004963CE"/>
    <w:rsid w:val="0049661F"/>
    <w:rsid w:val="00496C7C"/>
    <w:rsid w:val="0049765E"/>
    <w:rsid w:val="004A060B"/>
    <w:rsid w:val="004A0BD3"/>
    <w:rsid w:val="004A16F2"/>
    <w:rsid w:val="004A1AC5"/>
    <w:rsid w:val="004A1F54"/>
    <w:rsid w:val="004A2846"/>
    <w:rsid w:val="004A3BC2"/>
    <w:rsid w:val="004A4498"/>
    <w:rsid w:val="004A48CC"/>
    <w:rsid w:val="004A5439"/>
    <w:rsid w:val="004A62F1"/>
    <w:rsid w:val="004A6912"/>
    <w:rsid w:val="004A6F66"/>
    <w:rsid w:val="004A7137"/>
    <w:rsid w:val="004A7492"/>
    <w:rsid w:val="004A79F7"/>
    <w:rsid w:val="004B09D2"/>
    <w:rsid w:val="004B0D64"/>
    <w:rsid w:val="004B10F0"/>
    <w:rsid w:val="004B110E"/>
    <w:rsid w:val="004B1A71"/>
    <w:rsid w:val="004B203E"/>
    <w:rsid w:val="004B2131"/>
    <w:rsid w:val="004B2922"/>
    <w:rsid w:val="004B2AD8"/>
    <w:rsid w:val="004B2D53"/>
    <w:rsid w:val="004B3F69"/>
    <w:rsid w:val="004B4914"/>
    <w:rsid w:val="004B556C"/>
    <w:rsid w:val="004B5ED1"/>
    <w:rsid w:val="004B6234"/>
    <w:rsid w:val="004B62F0"/>
    <w:rsid w:val="004B6A7C"/>
    <w:rsid w:val="004B6A84"/>
    <w:rsid w:val="004B73AF"/>
    <w:rsid w:val="004C0206"/>
    <w:rsid w:val="004C0A01"/>
    <w:rsid w:val="004C0D05"/>
    <w:rsid w:val="004C0F84"/>
    <w:rsid w:val="004C1370"/>
    <w:rsid w:val="004C1D2A"/>
    <w:rsid w:val="004C1F01"/>
    <w:rsid w:val="004C22E8"/>
    <w:rsid w:val="004C2507"/>
    <w:rsid w:val="004C2898"/>
    <w:rsid w:val="004C3135"/>
    <w:rsid w:val="004C3324"/>
    <w:rsid w:val="004C3E53"/>
    <w:rsid w:val="004C452A"/>
    <w:rsid w:val="004C455F"/>
    <w:rsid w:val="004C537E"/>
    <w:rsid w:val="004C5438"/>
    <w:rsid w:val="004C568E"/>
    <w:rsid w:val="004C59F7"/>
    <w:rsid w:val="004C65C7"/>
    <w:rsid w:val="004C6E68"/>
    <w:rsid w:val="004C700B"/>
    <w:rsid w:val="004C72AA"/>
    <w:rsid w:val="004C779B"/>
    <w:rsid w:val="004C7DBC"/>
    <w:rsid w:val="004C7DEE"/>
    <w:rsid w:val="004C7E44"/>
    <w:rsid w:val="004D01B1"/>
    <w:rsid w:val="004D0A69"/>
    <w:rsid w:val="004D0B76"/>
    <w:rsid w:val="004D14E6"/>
    <w:rsid w:val="004D1A53"/>
    <w:rsid w:val="004D22F4"/>
    <w:rsid w:val="004D2C3E"/>
    <w:rsid w:val="004D3087"/>
    <w:rsid w:val="004D346A"/>
    <w:rsid w:val="004D393F"/>
    <w:rsid w:val="004D3A65"/>
    <w:rsid w:val="004D3FC3"/>
    <w:rsid w:val="004D43D7"/>
    <w:rsid w:val="004D4CDF"/>
    <w:rsid w:val="004D5A1B"/>
    <w:rsid w:val="004D5A73"/>
    <w:rsid w:val="004D5FF6"/>
    <w:rsid w:val="004D6B0F"/>
    <w:rsid w:val="004D6BCE"/>
    <w:rsid w:val="004D73FC"/>
    <w:rsid w:val="004D76AC"/>
    <w:rsid w:val="004D77ED"/>
    <w:rsid w:val="004D7B2D"/>
    <w:rsid w:val="004E0299"/>
    <w:rsid w:val="004E041E"/>
    <w:rsid w:val="004E06F1"/>
    <w:rsid w:val="004E07C7"/>
    <w:rsid w:val="004E10BA"/>
    <w:rsid w:val="004E1383"/>
    <w:rsid w:val="004E13EA"/>
    <w:rsid w:val="004E1483"/>
    <w:rsid w:val="004E17B9"/>
    <w:rsid w:val="004E1BC1"/>
    <w:rsid w:val="004E1D80"/>
    <w:rsid w:val="004E1DE8"/>
    <w:rsid w:val="004E258E"/>
    <w:rsid w:val="004E30EA"/>
    <w:rsid w:val="004E3513"/>
    <w:rsid w:val="004E389B"/>
    <w:rsid w:val="004E43FD"/>
    <w:rsid w:val="004E450A"/>
    <w:rsid w:val="004E47F9"/>
    <w:rsid w:val="004E4831"/>
    <w:rsid w:val="004E4AE0"/>
    <w:rsid w:val="004E4B15"/>
    <w:rsid w:val="004E4CFA"/>
    <w:rsid w:val="004E508A"/>
    <w:rsid w:val="004E56E7"/>
    <w:rsid w:val="004E5B31"/>
    <w:rsid w:val="004E6163"/>
    <w:rsid w:val="004E6352"/>
    <w:rsid w:val="004E66AF"/>
    <w:rsid w:val="004E679C"/>
    <w:rsid w:val="004E6957"/>
    <w:rsid w:val="004E6F50"/>
    <w:rsid w:val="004E75DC"/>
    <w:rsid w:val="004E79AA"/>
    <w:rsid w:val="004F0066"/>
    <w:rsid w:val="004F009D"/>
    <w:rsid w:val="004F0588"/>
    <w:rsid w:val="004F0C59"/>
    <w:rsid w:val="004F1401"/>
    <w:rsid w:val="004F17BE"/>
    <w:rsid w:val="004F1AF6"/>
    <w:rsid w:val="004F1BE7"/>
    <w:rsid w:val="004F1C1A"/>
    <w:rsid w:val="004F1C8E"/>
    <w:rsid w:val="004F1D31"/>
    <w:rsid w:val="004F21B9"/>
    <w:rsid w:val="004F25EA"/>
    <w:rsid w:val="004F2B7C"/>
    <w:rsid w:val="004F2CA2"/>
    <w:rsid w:val="004F30FD"/>
    <w:rsid w:val="004F3611"/>
    <w:rsid w:val="004F3885"/>
    <w:rsid w:val="004F3E62"/>
    <w:rsid w:val="004F449D"/>
    <w:rsid w:val="004F5164"/>
    <w:rsid w:val="004F531F"/>
    <w:rsid w:val="004F5320"/>
    <w:rsid w:val="004F5C6F"/>
    <w:rsid w:val="004F5D44"/>
    <w:rsid w:val="004F6728"/>
    <w:rsid w:val="004F6933"/>
    <w:rsid w:val="004F6ABF"/>
    <w:rsid w:val="004F6AE5"/>
    <w:rsid w:val="004F6BBA"/>
    <w:rsid w:val="004F6CF8"/>
    <w:rsid w:val="004F6D08"/>
    <w:rsid w:val="004F73C3"/>
    <w:rsid w:val="004F7574"/>
    <w:rsid w:val="004F770C"/>
    <w:rsid w:val="004F7BC8"/>
    <w:rsid w:val="005000EE"/>
    <w:rsid w:val="00500716"/>
    <w:rsid w:val="00500C2A"/>
    <w:rsid w:val="00501BF9"/>
    <w:rsid w:val="00501CCE"/>
    <w:rsid w:val="00502223"/>
    <w:rsid w:val="00502516"/>
    <w:rsid w:val="00502564"/>
    <w:rsid w:val="00502D7E"/>
    <w:rsid w:val="005030AE"/>
    <w:rsid w:val="0050416D"/>
    <w:rsid w:val="005047D0"/>
    <w:rsid w:val="00504D5C"/>
    <w:rsid w:val="005055A7"/>
    <w:rsid w:val="0050578F"/>
    <w:rsid w:val="00505840"/>
    <w:rsid w:val="005065A8"/>
    <w:rsid w:val="00506A70"/>
    <w:rsid w:val="00506E95"/>
    <w:rsid w:val="00507998"/>
    <w:rsid w:val="005100FD"/>
    <w:rsid w:val="00510CA9"/>
    <w:rsid w:val="00510F3F"/>
    <w:rsid w:val="005111E6"/>
    <w:rsid w:val="00511556"/>
    <w:rsid w:val="00511F71"/>
    <w:rsid w:val="0051290E"/>
    <w:rsid w:val="00512CA4"/>
    <w:rsid w:val="00513112"/>
    <w:rsid w:val="00513298"/>
    <w:rsid w:val="005133E7"/>
    <w:rsid w:val="005138A7"/>
    <w:rsid w:val="00513997"/>
    <w:rsid w:val="005140B3"/>
    <w:rsid w:val="005142FB"/>
    <w:rsid w:val="005143F4"/>
    <w:rsid w:val="005147E1"/>
    <w:rsid w:val="00514844"/>
    <w:rsid w:val="00514EBD"/>
    <w:rsid w:val="005151EA"/>
    <w:rsid w:val="0051537F"/>
    <w:rsid w:val="005154D7"/>
    <w:rsid w:val="0051565C"/>
    <w:rsid w:val="0051637A"/>
    <w:rsid w:val="00516C14"/>
    <w:rsid w:val="00517529"/>
    <w:rsid w:val="00517BF9"/>
    <w:rsid w:val="00517D5F"/>
    <w:rsid w:val="00517F7B"/>
    <w:rsid w:val="00520A69"/>
    <w:rsid w:val="00520C57"/>
    <w:rsid w:val="0052119C"/>
    <w:rsid w:val="0052156A"/>
    <w:rsid w:val="005217DD"/>
    <w:rsid w:val="00521FBC"/>
    <w:rsid w:val="0052200A"/>
    <w:rsid w:val="005224AE"/>
    <w:rsid w:val="0052274D"/>
    <w:rsid w:val="00522C5D"/>
    <w:rsid w:val="00522F6D"/>
    <w:rsid w:val="00524461"/>
    <w:rsid w:val="00524DA3"/>
    <w:rsid w:val="00525950"/>
    <w:rsid w:val="005259BB"/>
    <w:rsid w:val="00527471"/>
    <w:rsid w:val="00527A4A"/>
    <w:rsid w:val="00527ACF"/>
    <w:rsid w:val="00527E66"/>
    <w:rsid w:val="00530607"/>
    <w:rsid w:val="00530D47"/>
    <w:rsid w:val="00530E57"/>
    <w:rsid w:val="00530F09"/>
    <w:rsid w:val="005313B8"/>
    <w:rsid w:val="005319AE"/>
    <w:rsid w:val="005319B9"/>
    <w:rsid w:val="0053205D"/>
    <w:rsid w:val="005329B8"/>
    <w:rsid w:val="005334EC"/>
    <w:rsid w:val="005337B1"/>
    <w:rsid w:val="005342C1"/>
    <w:rsid w:val="00534333"/>
    <w:rsid w:val="005345BF"/>
    <w:rsid w:val="00536613"/>
    <w:rsid w:val="00536811"/>
    <w:rsid w:val="005368B8"/>
    <w:rsid w:val="0053733A"/>
    <w:rsid w:val="00540980"/>
    <w:rsid w:val="00540AB4"/>
    <w:rsid w:val="00540C1D"/>
    <w:rsid w:val="00540CBF"/>
    <w:rsid w:val="00540E0F"/>
    <w:rsid w:val="005410E4"/>
    <w:rsid w:val="00541CAB"/>
    <w:rsid w:val="00541E4D"/>
    <w:rsid w:val="0054248B"/>
    <w:rsid w:val="005429B1"/>
    <w:rsid w:val="00542EE3"/>
    <w:rsid w:val="00543079"/>
    <w:rsid w:val="0054355E"/>
    <w:rsid w:val="00543713"/>
    <w:rsid w:val="00543788"/>
    <w:rsid w:val="00543822"/>
    <w:rsid w:val="0054409C"/>
    <w:rsid w:val="00544126"/>
    <w:rsid w:val="00544376"/>
    <w:rsid w:val="00544382"/>
    <w:rsid w:val="0054502C"/>
    <w:rsid w:val="0054550E"/>
    <w:rsid w:val="00545610"/>
    <w:rsid w:val="00545811"/>
    <w:rsid w:val="00545BAB"/>
    <w:rsid w:val="00545D81"/>
    <w:rsid w:val="00546325"/>
    <w:rsid w:val="005470F9"/>
    <w:rsid w:val="0054768E"/>
    <w:rsid w:val="00547C5C"/>
    <w:rsid w:val="00547D53"/>
    <w:rsid w:val="00547E6A"/>
    <w:rsid w:val="00550567"/>
    <w:rsid w:val="00550A56"/>
    <w:rsid w:val="00550BC9"/>
    <w:rsid w:val="00551254"/>
    <w:rsid w:val="005513A0"/>
    <w:rsid w:val="005516A3"/>
    <w:rsid w:val="00551AEB"/>
    <w:rsid w:val="00551DD5"/>
    <w:rsid w:val="005522A5"/>
    <w:rsid w:val="00552526"/>
    <w:rsid w:val="005527A2"/>
    <w:rsid w:val="0055284F"/>
    <w:rsid w:val="00552BC0"/>
    <w:rsid w:val="0055315E"/>
    <w:rsid w:val="00553A13"/>
    <w:rsid w:val="00553D93"/>
    <w:rsid w:val="00554283"/>
    <w:rsid w:val="00554306"/>
    <w:rsid w:val="00554411"/>
    <w:rsid w:val="005544E8"/>
    <w:rsid w:val="00554B9C"/>
    <w:rsid w:val="0055507C"/>
    <w:rsid w:val="00555CE9"/>
    <w:rsid w:val="005564A9"/>
    <w:rsid w:val="00556740"/>
    <w:rsid w:val="00556C8A"/>
    <w:rsid w:val="00556D21"/>
    <w:rsid w:val="00556F31"/>
    <w:rsid w:val="00556FD1"/>
    <w:rsid w:val="0055777E"/>
    <w:rsid w:val="005604F2"/>
    <w:rsid w:val="005613CB"/>
    <w:rsid w:val="0056144F"/>
    <w:rsid w:val="00561858"/>
    <w:rsid w:val="0056190C"/>
    <w:rsid w:val="00561ABF"/>
    <w:rsid w:val="00561B30"/>
    <w:rsid w:val="00561B38"/>
    <w:rsid w:val="00561D1F"/>
    <w:rsid w:val="00561FE1"/>
    <w:rsid w:val="00562015"/>
    <w:rsid w:val="00562AEA"/>
    <w:rsid w:val="005639FF"/>
    <w:rsid w:val="005644BA"/>
    <w:rsid w:val="00564A02"/>
    <w:rsid w:val="00565192"/>
    <w:rsid w:val="00565246"/>
    <w:rsid w:val="00565367"/>
    <w:rsid w:val="00565FFA"/>
    <w:rsid w:val="00566601"/>
    <w:rsid w:val="00566DBF"/>
    <w:rsid w:val="00566EFA"/>
    <w:rsid w:val="00567335"/>
    <w:rsid w:val="00567764"/>
    <w:rsid w:val="00567B96"/>
    <w:rsid w:val="00567BC0"/>
    <w:rsid w:val="00570296"/>
    <w:rsid w:val="005709DE"/>
    <w:rsid w:val="00570B3B"/>
    <w:rsid w:val="00570F99"/>
    <w:rsid w:val="0057148F"/>
    <w:rsid w:val="0057252E"/>
    <w:rsid w:val="00572881"/>
    <w:rsid w:val="00572CA6"/>
    <w:rsid w:val="00572DDF"/>
    <w:rsid w:val="005734AA"/>
    <w:rsid w:val="00573983"/>
    <w:rsid w:val="00573E80"/>
    <w:rsid w:val="005755FB"/>
    <w:rsid w:val="00575901"/>
    <w:rsid w:val="00575ABA"/>
    <w:rsid w:val="00575C6B"/>
    <w:rsid w:val="00575FE9"/>
    <w:rsid w:val="00576002"/>
    <w:rsid w:val="0057611E"/>
    <w:rsid w:val="005763BE"/>
    <w:rsid w:val="00576669"/>
    <w:rsid w:val="005768DD"/>
    <w:rsid w:val="005768F3"/>
    <w:rsid w:val="00577205"/>
    <w:rsid w:val="005772A6"/>
    <w:rsid w:val="00577B7E"/>
    <w:rsid w:val="00577B80"/>
    <w:rsid w:val="00577D9C"/>
    <w:rsid w:val="005808E6"/>
    <w:rsid w:val="00580A7A"/>
    <w:rsid w:val="00580B55"/>
    <w:rsid w:val="00580C5F"/>
    <w:rsid w:val="00581026"/>
    <w:rsid w:val="00581160"/>
    <w:rsid w:val="00581531"/>
    <w:rsid w:val="00582C3E"/>
    <w:rsid w:val="00582FC0"/>
    <w:rsid w:val="0058306F"/>
    <w:rsid w:val="00584119"/>
    <w:rsid w:val="0058446D"/>
    <w:rsid w:val="005849BA"/>
    <w:rsid w:val="00585522"/>
    <w:rsid w:val="00585804"/>
    <w:rsid w:val="00585A0E"/>
    <w:rsid w:val="00585AD5"/>
    <w:rsid w:val="00587119"/>
    <w:rsid w:val="005871E6"/>
    <w:rsid w:val="0058751C"/>
    <w:rsid w:val="005901B0"/>
    <w:rsid w:val="0059025A"/>
    <w:rsid w:val="00590408"/>
    <w:rsid w:val="00590799"/>
    <w:rsid w:val="00590D14"/>
    <w:rsid w:val="005914AC"/>
    <w:rsid w:val="00591908"/>
    <w:rsid w:val="0059199B"/>
    <w:rsid w:val="00591CC0"/>
    <w:rsid w:val="00592309"/>
    <w:rsid w:val="00592397"/>
    <w:rsid w:val="00593720"/>
    <w:rsid w:val="00593A31"/>
    <w:rsid w:val="00594C2E"/>
    <w:rsid w:val="00594D81"/>
    <w:rsid w:val="00594DAB"/>
    <w:rsid w:val="00595335"/>
    <w:rsid w:val="00595D0C"/>
    <w:rsid w:val="00596BB4"/>
    <w:rsid w:val="005971DC"/>
    <w:rsid w:val="0059768A"/>
    <w:rsid w:val="00597E7D"/>
    <w:rsid w:val="005A033D"/>
    <w:rsid w:val="005A049D"/>
    <w:rsid w:val="005A0660"/>
    <w:rsid w:val="005A1C7D"/>
    <w:rsid w:val="005A1F21"/>
    <w:rsid w:val="005A33E3"/>
    <w:rsid w:val="005A3749"/>
    <w:rsid w:val="005A3836"/>
    <w:rsid w:val="005A440A"/>
    <w:rsid w:val="005A46A7"/>
    <w:rsid w:val="005A4831"/>
    <w:rsid w:val="005A51E5"/>
    <w:rsid w:val="005A555C"/>
    <w:rsid w:val="005A573A"/>
    <w:rsid w:val="005A5A16"/>
    <w:rsid w:val="005A5E55"/>
    <w:rsid w:val="005A64BC"/>
    <w:rsid w:val="005A670A"/>
    <w:rsid w:val="005A6822"/>
    <w:rsid w:val="005A6F1E"/>
    <w:rsid w:val="005A705A"/>
    <w:rsid w:val="005A7D69"/>
    <w:rsid w:val="005B0177"/>
    <w:rsid w:val="005B0833"/>
    <w:rsid w:val="005B08EA"/>
    <w:rsid w:val="005B092A"/>
    <w:rsid w:val="005B099E"/>
    <w:rsid w:val="005B0AAA"/>
    <w:rsid w:val="005B1E77"/>
    <w:rsid w:val="005B2483"/>
    <w:rsid w:val="005B259F"/>
    <w:rsid w:val="005B2AFB"/>
    <w:rsid w:val="005B3503"/>
    <w:rsid w:val="005B353B"/>
    <w:rsid w:val="005B3578"/>
    <w:rsid w:val="005B3D36"/>
    <w:rsid w:val="005B4F48"/>
    <w:rsid w:val="005B5317"/>
    <w:rsid w:val="005B53A8"/>
    <w:rsid w:val="005B57EB"/>
    <w:rsid w:val="005B64CE"/>
    <w:rsid w:val="005B6646"/>
    <w:rsid w:val="005B6DBB"/>
    <w:rsid w:val="005B6EF0"/>
    <w:rsid w:val="005B706F"/>
    <w:rsid w:val="005B71F6"/>
    <w:rsid w:val="005B728E"/>
    <w:rsid w:val="005B748F"/>
    <w:rsid w:val="005B7A42"/>
    <w:rsid w:val="005B7B3E"/>
    <w:rsid w:val="005B7EBC"/>
    <w:rsid w:val="005C0198"/>
    <w:rsid w:val="005C05D7"/>
    <w:rsid w:val="005C0CA3"/>
    <w:rsid w:val="005C249F"/>
    <w:rsid w:val="005C25FA"/>
    <w:rsid w:val="005C2663"/>
    <w:rsid w:val="005C277B"/>
    <w:rsid w:val="005C4009"/>
    <w:rsid w:val="005C49F0"/>
    <w:rsid w:val="005C4CCC"/>
    <w:rsid w:val="005C51D2"/>
    <w:rsid w:val="005C51DA"/>
    <w:rsid w:val="005C51F4"/>
    <w:rsid w:val="005C57A0"/>
    <w:rsid w:val="005C5B2C"/>
    <w:rsid w:val="005C5D85"/>
    <w:rsid w:val="005C6423"/>
    <w:rsid w:val="005C6A22"/>
    <w:rsid w:val="005C6A76"/>
    <w:rsid w:val="005C6FC8"/>
    <w:rsid w:val="005C763C"/>
    <w:rsid w:val="005C7704"/>
    <w:rsid w:val="005C78CD"/>
    <w:rsid w:val="005C7AC3"/>
    <w:rsid w:val="005D044D"/>
    <w:rsid w:val="005D06DA"/>
    <w:rsid w:val="005D0702"/>
    <w:rsid w:val="005D0FD6"/>
    <w:rsid w:val="005D154E"/>
    <w:rsid w:val="005D17C4"/>
    <w:rsid w:val="005D1D80"/>
    <w:rsid w:val="005D291F"/>
    <w:rsid w:val="005D2D9D"/>
    <w:rsid w:val="005D3116"/>
    <w:rsid w:val="005D34C3"/>
    <w:rsid w:val="005D35D9"/>
    <w:rsid w:val="005D3A01"/>
    <w:rsid w:val="005D5930"/>
    <w:rsid w:val="005D59AF"/>
    <w:rsid w:val="005D6217"/>
    <w:rsid w:val="005D6C07"/>
    <w:rsid w:val="005D7C7B"/>
    <w:rsid w:val="005D7C7F"/>
    <w:rsid w:val="005D7F79"/>
    <w:rsid w:val="005E0021"/>
    <w:rsid w:val="005E049A"/>
    <w:rsid w:val="005E08DC"/>
    <w:rsid w:val="005E0AE3"/>
    <w:rsid w:val="005E15A8"/>
    <w:rsid w:val="005E1FE7"/>
    <w:rsid w:val="005E2A43"/>
    <w:rsid w:val="005E2D7E"/>
    <w:rsid w:val="005E366F"/>
    <w:rsid w:val="005E3769"/>
    <w:rsid w:val="005E454F"/>
    <w:rsid w:val="005E47A1"/>
    <w:rsid w:val="005E4AEA"/>
    <w:rsid w:val="005E5236"/>
    <w:rsid w:val="005E58F4"/>
    <w:rsid w:val="005E59E5"/>
    <w:rsid w:val="005E5FF3"/>
    <w:rsid w:val="005E6352"/>
    <w:rsid w:val="005E6DEA"/>
    <w:rsid w:val="005E715C"/>
    <w:rsid w:val="005E71D6"/>
    <w:rsid w:val="005E7E28"/>
    <w:rsid w:val="005F0676"/>
    <w:rsid w:val="005F06BF"/>
    <w:rsid w:val="005F08D6"/>
    <w:rsid w:val="005F1019"/>
    <w:rsid w:val="005F16D7"/>
    <w:rsid w:val="005F1FC6"/>
    <w:rsid w:val="005F217C"/>
    <w:rsid w:val="005F21AC"/>
    <w:rsid w:val="005F224B"/>
    <w:rsid w:val="005F2757"/>
    <w:rsid w:val="005F2F95"/>
    <w:rsid w:val="005F34E7"/>
    <w:rsid w:val="005F3942"/>
    <w:rsid w:val="005F3F31"/>
    <w:rsid w:val="005F431F"/>
    <w:rsid w:val="005F43B1"/>
    <w:rsid w:val="005F4482"/>
    <w:rsid w:val="005F4494"/>
    <w:rsid w:val="005F44E7"/>
    <w:rsid w:val="005F4781"/>
    <w:rsid w:val="005F4A89"/>
    <w:rsid w:val="005F523A"/>
    <w:rsid w:val="005F5559"/>
    <w:rsid w:val="005F5CDD"/>
    <w:rsid w:val="005F5DD5"/>
    <w:rsid w:val="005F5DE0"/>
    <w:rsid w:val="005F62CB"/>
    <w:rsid w:val="005F66E4"/>
    <w:rsid w:val="005F6811"/>
    <w:rsid w:val="005F69EB"/>
    <w:rsid w:val="005F6F5F"/>
    <w:rsid w:val="005F700F"/>
    <w:rsid w:val="005F7333"/>
    <w:rsid w:val="005F7467"/>
    <w:rsid w:val="005F78E4"/>
    <w:rsid w:val="005F7A92"/>
    <w:rsid w:val="005F7EEF"/>
    <w:rsid w:val="006005A2"/>
    <w:rsid w:val="00600A76"/>
    <w:rsid w:val="00600DF7"/>
    <w:rsid w:val="00600FF4"/>
    <w:rsid w:val="00601386"/>
    <w:rsid w:val="00601F31"/>
    <w:rsid w:val="006028EE"/>
    <w:rsid w:val="00602FB0"/>
    <w:rsid w:val="006036DD"/>
    <w:rsid w:val="0060372A"/>
    <w:rsid w:val="00603D56"/>
    <w:rsid w:val="00603FB3"/>
    <w:rsid w:val="0060480C"/>
    <w:rsid w:val="00604857"/>
    <w:rsid w:val="00604F37"/>
    <w:rsid w:val="00605789"/>
    <w:rsid w:val="006057F7"/>
    <w:rsid w:val="00605899"/>
    <w:rsid w:val="00605B5E"/>
    <w:rsid w:val="00605C1D"/>
    <w:rsid w:val="00605CB9"/>
    <w:rsid w:val="006069F3"/>
    <w:rsid w:val="006070D1"/>
    <w:rsid w:val="0060737E"/>
    <w:rsid w:val="0060754A"/>
    <w:rsid w:val="006076D0"/>
    <w:rsid w:val="006079A2"/>
    <w:rsid w:val="00607BC8"/>
    <w:rsid w:val="00610764"/>
    <w:rsid w:val="006107F1"/>
    <w:rsid w:val="00610E4D"/>
    <w:rsid w:val="006111AE"/>
    <w:rsid w:val="00611444"/>
    <w:rsid w:val="00611752"/>
    <w:rsid w:val="0061197A"/>
    <w:rsid w:val="00611DAA"/>
    <w:rsid w:val="00611E87"/>
    <w:rsid w:val="00612353"/>
    <w:rsid w:val="0061293E"/>
    <w:rsid w:val="00612AB9"/>
    <w:rsid w:val="00612F8F"/>
    <w:rsid w:val="006130F3"/>
    <w:rsid w:val="00613235"/>
    <w:rsid w:val="00613995"/>
    <w:rsid w:val="00613CA9"/>
    <w:rsid w:val="00613FA5"/>
    <w:rsid w:val="00614372"/>
    <w:rsid w:val="006144B0"/>
    <w:rsid w:val="006149CE"/>
    <w:rsid w:val="00614AC3"/>
    <w:rsid w:val="0061535A"/>
    <w:rsid w:val="0061596D"/>
    <w:rsid w:val="0061629B"/>
    <w:rsid w:val="00616FDC"/>
    <w:rsid w:val="0061730B"/>
    <w:rsid w:val="0061766E"/>
    <w:rsid w:val="0062000C"/>
    <w:rsid w:val="0062071F"/>
    <w:rsid w:val="00620CD1"/>
    <w:rsid w:val="00621123"/>
    <w:rsid w:val="006212D8"/>
    <w:rsid w:val="00621965"/>
    <w:rsid w:val="00621C4F"/>
    <w:rsid w:val="00622886"/>
    <w:rsid w:val="00622A0C"/>
    <w:rsid w:val="00622D96"/>
    <w:rsid w:val="006232B3"/>
    <w:rsid w:val="0062333E"/>
    <w:rsid w:val="006237CC"/>
    <w:rsid w:val="00623F98"/>
    <w:rsid w:val="00623FA1"/>
    <w:rsid w:val="00624B7F"/>
    <w:rsid w:val="00624F7D"/>
    <w:rsid w:val="006251FE"/>
    <w:rsid w:val="00626570"/>
    <w:rsid w:val="00626980"/>
    <w:rsid w:val="006272A6"/>
    <w:rsid w:val="00627AEF"/>
    <w:rsid w:val="00627D38"/>
    <w:rsid w:val="00630B1B"/>
    <w:rsid w:val="00630C86"/>
    <w:rsid w:val="00631265"/>
    <w:rsid w:val="0063136A"/>
    <w:rsid w:val="0063175D"/>
    <w:rsid w:val="0063177C"/>
    <w:rsid w:val="00631B18"/>
    <w:rsid w:val="0063307C"/>
    <w:rsid w:val="00633449"/>
    <w:rsid w:val="006334AB"/>
    <w:rsid w:val="0063379F"/>
    <w:rsid w:val="00633FB3"/>
    <w:rsid w:val="006348D9"/>
    <w:rsid w:val="00634A71"/>
    <w:rsid w:val="00634D33"/>
    <w:rsid w:val="00635770"/>
    <w:rsid w:val="00635912"/>
    <w:rsid w:val="00635EE5"/>
    <w:rsid w:val="00636383"/>
    <w:rsid w:val="00636401"/>
    <w:rsid w:val="00636411"/>
    <w:rsid w:val="00636AC2"/>
    <w:rsid w:val="00636B40"/>
    <w:rsid w:val="0063774D"/>
    <w:rsid w:val="00637A81"/>
    <w:rsid w:val="00637B0A"/>
    <w:rsid w:val="00637E0A"/>
    <w:rsid w:val="00637EEE"/>
    <w:rsid w:val="0064002B"/>
    <w:rsid w:val="00640036"/>
    <w:rsid w:val="006403B7"/>
    <w:rsid w:val="0064051D"/>
    <w:rsid w:val="006406FE"/>
    <w:rsid w:val="00640992"/>
    <w:rsid w:val="00640D37"/>
    <w:rsid w:val="00640ED1"/>
    <w:rsid w:val="00640FD0"/>
    <w:rsid w:val="00641065"/>
    <w:rsid w:val="00641CEB"/>
    <w:rsid w:val="00641D13"/>
    <w:rsid w:val="00641F21"/>
    <w:rsid w:val="00641FC0"/>
    <w:rsid w:val="00642241"/>
    <w:rsid w:val="006422BE"/>
    <w:rsid w:val="006426E6"/>
    <w:rsid w:val="00642922"/>
    <w:rsid w:val="00642DDB"/>
    <w:rsid w:val="00643340"/>
    <w:rsid w:val="00643415"/>
    <w:rsid w:val="00643760"/>
    <w:rsid w:val="006442E3"/>
    <w:rsid w:val="00644C3B"/>
    <w:rsid w:val="00644DB2"/>
    <w:rsid w:val="00644F6E"/>
    <w:rsid w:val="006450A2"/>
    <w:rsid w:val="00645375"/>
    <w:rsid w:val="0064591A"/>
    <w:rsid w:val="00645A70"/>
    <w:rsid w:val="00645D37"/>
    <w:rsid w:val="00645EF7"/>
    <w:rsid w:val="00646804"/>
    <w:rsid w:val="00646920"/>
    <w:rsid w:val="00646B27"/>
    <w:rsid w:val="00646E17"/>
    <w:rsid w:val="00650FE2"/>
    <w:rsid w:val="00651C27"/>
    <w:rsid w:val="00651C7F"/>
    <w:rsid w:val="00651E35"/>
    <w:rsid w:val="00651F90"/>
    <w:rsid w:val="006527E2"/>
    <w:rsid w:val="006529AF"/>
    <w:rsid w:val="00653509"/>
    <w:rsid w:val="0065351E"/>
    <w:rsid w:val="00653A76"/>
    <w:rsid w:val="00653B89"/>
    <w:rsid w:val="00653E15"/>
    <w:rsid w:val="00653EF5"/>
    <w:rsid w:val="00654B37"/>
    <w:rsid w:val="00654F50"/>
    <w:rsid w:val="00655296"/>
    <w:rsid w:val="006555DC"/>
    <w:rsid w:val="00655761"/>
    <w:rsid w:val="00655A26"/>
    <w:rsid w:val="00655C9E"/>
    <w:rsid w:val="00656329"/>
    <w:rsid w:val="0065640C"/>
    <w:rsid w:val="0065647B"/>
    <w:rsid w:val="006564B8"/>
    <w:rsid w:val="00656547"/>
    <w:rsid w:val="00656ABC"/>
    <w:rsid w:val="006573B9"/>
    <w:rsid w:val="00657CD8"/>
    <w:rsid w:val="00657D2E"/>
    <w:rsid w:val="00660668"/>
    <w:rsid w:val="00661085"/>
    <w:rsid w:val="00661109"/>
    <w:rsid w:val="00662202"/>
    <w:rsid w:val="00662CA3"/>
    <w:rsid w:val="00662F60"/>
    <w:rsid w:val="00663089"/>
    <w:rsid w:val="006630AA"/>
    <w:rsid w:val="0066332D"/>
    <w:rsid w:val="00663C87"/>
    <w:rsid w:val="00663E8F"/>
    <w:rsid w:val="00664779"/>
    <w:rsid w:val="0066484C"/>
    <w:rsid w:val="0066489F"/>
    <w:rsid w:val="00665197"/>
    <w:rsid w:val="006654CA"/>
    <w:rsid w:val="00665A37"/>
    <w:rsid w:val="0066620F"/>
    <w:rsid w:val="006662B3"/>
    <w:rsid w:val="006662F0"/>
    <w:rsid w:val="0066646F"/>
    <w:rsid w:val="00666569"/>
    <w:rsid w:val="006670D0"/>
    <w:rsid w:val="006675CA"/>
    <w:rsid w:val="00667DE5"/>
    <w:rsid w:val="00670501"/>
    <w:rsid w:val="00670C1C"/>
    <w:rsid w:val="00670DFA"/>
    <w:rsid w:val="006720AA"/>
    <w:rsid w:val="00672305"/>
    <w:rsid w:val="00672D14"/>
    <w:rsid w:val="00672DFE"/>
    <w:rsid w:val="00673490"/>
    <w:rsid w:val="00673532"/>
    <w:rsid w:val="00673638"/>
    <w:rsid w:val="0067374C"/>
    <w:rsid w:val="006744C2"/>
    <w:rsid w:val="00674E20"/>
    <w:rsid w:val="0067608F"/>
    <w:rsid w:val="006760E0"/>
    <w:rsid w:val="00676400"/>
    <w:rsid w:val="00676996"/>
    <w:rsid w:val="0067745E"/>
    <w:rsid w:val="0067777F"/>
    <w:rsid w:val="00677AC6"/>
    <w:rsid w:val="00677F35"/>
    <w:rsid w:val="00677F8E"/>
    <w:rsid w:val="00677FDD"/>
    <w:rsid w:val="006805D1"/>
    <w:rsid w:val="00681045"/>
    <w:rsid w:val="00681358"/>
    <w:rsid w:val="00681B69"/>
    <w:rsid w:val="00681DED"/>
    <w:rsid w:val="006821CF"/>
    <w:rsid w:val="00682A91"/>
    <w:rsid w:val="00682BC2"/>
    <w:rsid w:val="00682E64"/>
    <w:rsid w:val="006834F5"/>
    <w:rsid w:val="006839BB"/>
    <w:rsid w:val="00683B60"/>
    <w:rsid w:val="00683F95"/>
    <w:rsid w:val="006843E4"/>
    <w:rsid w:val="006849DB"/>
    <w:rsid w:val="0068592E"/>
    <w:rsid w:val="006859FC"/>
    <w:rsid w:val="00685B92"/>
    <w:rsid w:val="00685C38"/>
    <w:rsid w:val="00686158"/>
    <w:rsid w:val="00686193"/>
    <w:rsid w:val="006865FF"/>
    <w:rsid w:val="0068672B"/>
    <w:rsid w:val="00686731"/>
    <w:rsid w:val="00686A3C"/>
    <w:rsid w:val="00687849"/>
    <w:rsid w:val="0068786B"/>
    <w:rsid w:val="00687BFE"/>
    <w:rsid w:val="00687FAD"/>
    <w:rsid w:val="00690139"/>
    <w:rsid w:val="00690D6E"/>
    <w:rsid w:val="00691698"/>
    <w:rsid w:val="00691B9D"/>
    <w:rsid w:val="006921CD"/>
    <w:rsid w:val="0069273E"/>
    <w:rsid w:val="0069298D"/>
    <w:rsid w:val="00692E2B"/>
    <w:rsid w:val="006936D7"/>
    <w:rsid w:val="0069398A"/>
    <w:rsid w:val="00693CB8"/>
    <w:rsid w:val="00693F4B"/>
    <w:rsid w:val="0069447A"/>
    <w:rsid w:val="00695A20"/>
    <w:rsid w:val="006960B4"/>
    <w:rsid w:val="0069644B"/>
    <w:rsid w:val="00696B36"/>
    <w:rsid w:val="00696D7C"/>
    <w:rsid w:val="00697324"/>
    <w:rsid w:val="006979CE"/>
    <w:rsid w:val="00697AF8"/>
    <w:rsid w:val="00697BCE"/>
    <w:rsid w:val="00697E01"/>
    <w:rsid w:val="006A013C"/>
    <w:rsid w:val="006A0312"/>
    <w:rsid w:val="006A0D83"/>
    <w:rsid w:val="006A10FC"/>
    <w:rsid w:val="006A145B"/>
    <w:rsid w:val="006A17F0"/>
    <w:rsid w:val="006A1810"/>
    <w:rsid w:val="006A19AE"/>
    <w:rsid w:val="006A19DE"/>
    <w:rsid w:val="006A222A"/>
    <w:rsid w:val="006A2C83"/>
    <w:rsid w:val="006A2F8D"/>
    <w:rsid w:val="006A31D7"/>
    <w:rsid w:val="006A3A0C"/>
    <w:rsid w:val="006A3C7F"/>
    <w:rsid w:val="006A413F"/>
    <w:rsid w:val="006A4B5F"/>
    <w:rsid w:val="006A52DE"/>
    <w:rsid w:val="006A55F3"/>
    <w:rsid w:val="006A7430"/>
    <w:rsid w:val="006A7AE9"/>
    <w:rsid w:val="006A7B8F"/>
    <w:rsid w:val="006A7E57"/>
    <w:rsid w:val="006A7E66"/>
    <w:rsid w:val="006B005D"/>
    <w:rsid w:val="006B0415"/>
    <w:rsid w:val="006B1233"/>
    <w:rsid w:val="006B153B"/>
    <w:rsid w:val="006B1FC0"/>
    <w:rsid w:val="006B2A6F"/>
    <w:rsid w:val="006B2AA4"/>
    <w:rsid w:val="006B2B07"/>
    <w:rsid w:val="006B2C85"/>
    <w:rsid w:val="006B2D52"/>
    <w:rsid w:val="006B2F1C"/>
    <w:rsid w:val="006B3BE5"/>
    <w:rsid w:val="006B3CE1"/>
    <w:rsid w:val="006B46DA"/>
    <w:rsid w:val="006B48B8"/>
    <w:rsid w:val="006B49A6"/>
    <w:rsid w:val="006B5784"/>
    <w:rsid w:val="006B67A0"/>
    <w:rsid w:val="006B6B16"/>
    <w:rsid w:val="006B7112"/>
    <w:rsid w:val="006B72C2"/>
    <w:rsid w:val="006B79C2"/>
    <w:rsid w:val="006B7A24"/>
    <w:rsid w:val="006B7A79"/>
    <w:rsid w:val="006B7D92"/>
    <w:rsid w:val="006C00AD"/>
    <w:rsid w:val="006C0148"/>
    <w:rsid w:val="006C09EE"/>
    <w:rsid w:val="006C1E78"/>
    <w:rsid w:val="006C2613"/>
    <w:rsid w:val="006C2645"/>
    <w:rsid w:val="006C2813"/>
    <w:rsid w:val="006C4529"/>
    <w:rsid w:val="006C46BB"/>
    <w:rsid w:val="006C48E7"/>
    <w:rsid w:val="006C508A"/>
    <w:rsid w:val="006C50A2"/>
    <w:rsid w:val="006C5447"/>
    <w:rsid w:val="006C5451"/>
    <w:rsid w:val="006C56F5"/>
    <w:rsid w:val="006C5714"/>
    <w:rsid w:val="006C5804"/>
    <w:rsid w:val="006C5B8F"/>
    <w:rsid w:val="006C5C33"/>
    <w:rsid w:val="006C5F22"/>
    <w:rsid w:val="006C6C59"/>
    <w:rsid w:val="006C6ED1"/>
    <w:rsid w:val="006C700A"/>
    <w:rsid w:val="006C7468"/>
    <w:rsid w:val="006D1190"/>
    <w:rsid w:val="006D1484"/>
    <w:rsid w:val="006D1681"/>
    <w:rsid w:val="006D17E8"/>
    <w:rsid w:val="006D27B8"/>
    <w:rsid w:val="006D2859"/>
    <w:rsid w:val="006D2D64"/>
    <w:rsid w:val="006D3269"/>
    <w:rsid w:val="006D440D"/>
    <w:rsid w:val="006D463C"/>
    <w:rsid w:val="006D4656"/>
    <w:rsid w:val="006D52C5"/>
    <w:rsid w:val="006D5506"/>
    <w:rsid w:val="006D5A3F"/>
    <w:rsid w:val="006D5C12"/>
    <w:rsid w:val="006D630D"/>
    <w:rsid w:val="006D637B"/>
    <w:rsid w:val="006D63D2"/>
    <w:rsid w:val="006D646A"/>
    <w:rsid w:val="006D6E29"/>
    <w:rsid w:val="006D75D0"/>
    <w:rsid w:val="006D77F6"/>
    <w:rsid w:val="006D7D90"/>
    <w:rsid w:val="006D7F2B"/>
    <w:rsid w:val="006E0079"/>
    <w:rsid w:val="006E045F"/>
    <w:rsid w:val="006E08A6"/>
    <w:rsid w:val="006E0A56"/>
    <w:rsid w:val="006E0D1E"/>
    <w:rsid w:val="006E0FFD"/>
    <w:rsid w:val="006E193B"/>
    <w:rsid w:val="006E1B2B"/>
    <w:rsid w:val="006E1DCE"/>
    <w:rsid w:val="006E1E87"/>
    <w:rsid w:val="006E1F7F"/>
    <w:rsid w:val="006E1FA2"/>
    <w:rsid w:val="006E2112"/>
    <w:rsid w:val="006E2357"/>
    <w:rsid w:val="006E2C7C"/>
    <w:rsid w:val="006E3157"/>
    <w:rsid w:val="006E31D5"/>
    <w:rsid w:val="006E32C2"/>
    <w:rsid w:val="006E3C89"/>
    <w:rsid w:val="006E3E51"/>
    <w:rsid w:val="006E490B"/>
    <w:rsid w:val="006E4C16"/>
    <w:rsid w:val="006E5919"/>
    <w:rsid w:val="006E68E7"/>
    <w:rsid w:val="006E6B94"/>
    <w:rsid w:val="006E6EAD"/>
    <w:rsid w:val="006E6F24"/>
    <w:rsid w:val="006E72B3"/>
    <w:rsid w:val="006E76FD"/>
    <w:rsid w:val="006F0A8D"/>
    <w:rsid w:val="006F185F"/>
    <w:rsid w:val="006F1A38"/>
    <w:rsid w:val="006F1B0E"/>
    <w:rsid w:val="006F1BDF"/>
    <w:rsid w:val="006F2916"/>
    <w:rsid w:val="006F2C26"/>
    <w:rsid w:val="006F2C57"/>
    <w:rsid w:val="006F3114"/>
    <w:rsid w:val="006F33B7"/>
    <w:rsid w:val="006F36B8"/>
    <w:rsid w:val="006F37BC"/>
    <w:rsid w:val="006F46EB"/>
    <w:rsid w:val="006F498D"/>
    <w:rsid w:val="006F4A5D"/>
    <w:rsid w:val="006F56E1"/>
    <w:rsid w:val="006F5D0D"/>
    <w:rsid w:val="006F600C"/>
    <w:rsid w:val="006F66E7"/>
    <w:rsid w:val="006F68A3"/>
    <w:rsid w:val="006F6AC4"/>
    <w:rsid w:val="006F6D57"/>
    <w:rsid w:val="006F6D71"/>
    <w:rsid w:val="006F7926"/>
    <w:rsid w:val="006F7D33"/>
    <w:rsid w:val="006F7FD4"/>
    <w:rsid w:val="00700126"/>
    <w:rsid w:val="007004D1"/>
    <w:rsid w:val="00700BC4"/>
    <w:rsid w:val="00700C35"/>
    <w:rsid w:val="00701190"/>
    <w:rsid w:val="007017CD"/>
    <w:rsid w:val="00701B40"/>
    <w:rsid w:val="00701DC1"/>
    <w:rsid w:val="00701DE0"/>
    <w:rsid w:val="007037C8"/>
    <w:rsid w:val="00703BB5"/>
    <w:rsid w:val="00703EF6"/>
    <w:rsid w:val="0070400E"/>
    <w:rsid w:val="00704A12"/>
    <w:rsid w:val="00705B74"/>
    <w:rsid w:val="0070627B"/>
    <w:rsid w:val="007071C5"/>
    <w:rsid w:val="00707261"/>
    <w:rsid w:val="00707AD8"/>
    <w:rsid w:val="00707EC6"/>
    <w:rsid w:val="007104FE"/>
    <w:rsid w:val="007109A5"/>
    <w:rsid w:val="00711593"/>
    <w:rsid w:val="00711627"/>
    <w:rsid w:val="00711B68"/>
    <w:rsid w:val="00712629"/>
    <w:rsid w:val="0071289D"/>
    <w:rsid w:val="00712B90"/>
    <w:rsid w:val="00712CC1"/>
    <w:rsid w:val="00713162"/>
    <w:rsid w:val="00713725"/>
    <w:rsid w:val="00713A4A"/>
    <w:rsid w:val="00713A50"/>
    <w:rsid w:val="00713E2E"/>
    <w:rsid w:val="0071412D"/>
    <w:rsid w:val="00714713"/>
    <w:rsid w:val="00714F31"/>
    <w:rsid w:val="007163C9"/>
    <w:rsid w:val="00716B72"/>
    <w:rsid w:val="00716CFA"/>
    <w:rsid w:val="007174EA"/>
    <w:rsid w:val="00717638"/>
    <w:rsid w:val="00720206"/>
    <w:rsid w:val="00720356"/>
    <w:rsid w:val="00720BE8"/>
    <w:rsid w:val="00720FBF"/>
    <w:rsid w:val="0072180E"/>
    <w:rsid w:val="00721841"/>
    <w:rsid w:val="00721DCF"/>
    <w:rsid w:val="00722289"/>
    <w:rsid w:val="00722577"/>
    <w:rsid w:val="0072275A"/>
    <w:rsid w:val="00722A2A"/>
    <w:rsid w:val="00722C17"/>
    <w:rsid w:val="00722D6C"/>
    <w:rsid w:val="007231A3"/>
    <w:rsid w:val="0072357F"/>
    <w:rsid w:val="0072399C"/>
    <w:rsid w:val="00723CC8"/>
    <w:rsid w:val="00723D58"/>
    <w:rsid w:val="00723FFB"/>
    <w:rsid w:val="00724397"/>
    <w:rsid w:val="007244F5"/>
    <w:rsid w:val="00724647"/>
    <w:rsid w:val="007248F0"/>
    <w:rsid w:val="007251E8"/>
    <w:rsid w:val="00725745"/>
    <w:rsid w:val="00725FC7"/>
    <w:rsid w:val="0072628A"/>
    <w:rsid w:val="007264B1"/>
    <w:rsid w:val="007265E3"/>
    <w:rsid w:val="007269CF"/>
    <w:rsid w:val="00726C1E"/>
    <w:rsid w:val="00727A69"/>
    <w:rsid w:val="00727C50"/>
    <w:rsid w:val="007309FC"/>
    <w:rsid w:val="0073275F"/>
    <w:rsid w:val="007328D4"/>
    <w:rsid w:val="007329BE"/>
    <w:rsid w:val="00733844"/>
    <w:rsid w:val="007338CC"/>
    <w:rsid w:val="007341D7"/>
    <w:rsid w:val="0073449A"/>
    <w:rsid w:val="00734754"/>
    <w:rsid w:val="007349A7"/>
    <w:rsid w:val="00734D4C"/>
    <w:rsid w:val="0073562B"/>
    <w:rsid w:val="00735C0A"/>
    <w:rsid w:val="00735FE4"/>
    <w:rsid w:val="0073620C"/>
    <w:rsid w:val="00736278"/>
    <w:rsid w:val="00736322"/>
    <w:rsid w:val="007363BB"/>
    <w:rsid w:val="00736F16"/>
    <w:rsid w:val="007370B5"/>
    <w:rsid w:val="0073714D"/>
    <w:rsid w:val="0073729C"/>
    <w:rsid w:val="0073733D"/>
    <w:rsid w:val="00737BAA"/>
    <w:rsid w:val="00740512"/>
    <w:rsid w:val="007405DE"/>
    <w:rsid w:val="00740824"/>
    <w:rsid w:val="00740947"/>
    <w:rsid w:val="00740AD0"/>
    <w:rsid w:val="007412BF"/>
    <w:rsid w:val="00741C86"/>
    <w:rsid w:val="00741FC4"/>
    <w:rsid w:val="00741FDC"/>
    <w:rsid w:val="007420BC"/>
    <w:rsid w:val="00742211"/>
    <w:rsid w:val="00742837"/>
    <w:rsid w:val="00742AC5"/>
    <w:rsid w:val="007432D0"/>
    <w:rsid w:val="00743A9F"/>
    <w:rsid w:val="007443A2"/>
    <w:rsid w:val="00744A51"/>
    <w:rsid w:val="00745610"/>
    <w:rsid w:val="00745C0C"/>
    <w:rsid w:val="00746336"/>
    <w:rsid w:val="0074638E"/>
    <w:rsid w:val="00746870"/>
    <w:rsid w:val="00746D10"/>
    <w:rsid w:val="00746DBF"/>
    <w:rsid w:val="00746E03"/>
    <w:rsid w:val="00746F00"/>
    <w:rsid w:val="0074720F"/>
    <w:rsid w:val="00747568"/>
    <w:rsid w:val="007476DF"/>
    <w:rsid w:val="007477B4"/>
    <w:rsid w:val="007506F9"/>
    <w:rsid w:val="0075088F"/>
    <w:rsid w:val="00750F3C"/>
    <w:rsid w:val="00751015"/>
    <w:rsid w:val="00752630"/>
    <w:rsid w:val="00752CA9"/>
    <w:rsid w:val="007530FB"/>
    <w:rsid w:val="007531E9"/>
    <w:rsid w:val="00753769"/>
    <w:rsid w:val="00754292"/>
    <w:rsid w:val="007544F0"/>
    <w:rsid w:val="00754947"/>
    <w:rsid w:val="007549E6"/>
    <w:rsid w:val="00754BE2"/>
    <w:rsid w:val="00754F6C"/>
    <w:rsid w:val="00755B8C"/>
    <w:rsid w:val="00755CFC"/>
    <w:rsid w:val="00756113"/>
    <w:rsid w:val="0075623B"/>
    <w:rsid w:val="00756508"/>
    <w:rsid w:val="0075651F"/>
    <w:rsid w:val="00756738"/>
    <w:rsid w:val="0075685D"/>
    <w:rsid w:val="0075704B"/>
    <w:rsid w:val="00757726"/>
    <w:rsid w:val="00757806"/>
    <w:rsid w:val="0075787F"/>
    <w:rsid w:val="0075789A"/>
    <w:rsid w:val="00757FFC"/>
    <w:rsid w:val="00760076"/>
    <w:rsid w:val="007610A0"/>
    <w:rsid w:val="007611C4"/>
    <w:rsid w:val="00761403"/>
    <w:rsid w:val="007615CE"/>
    <w:rsid w:val="00761981"/>
    <w:rsid w:val="00761B48"/>
    <w:rsid w:val="00761CCC"/>
    <w:rsid w:val="00761FEC"/>
    <w:rsid w:val="007620BA"/>
    <w:rsid w:val="0076227D"/>
    <w:rsid w:val="0076252C"/>
    <w:rsid w:val="00762603"/>
    <w:rsid w:val="0076292F"/>
    <w:rsid w:val="00762D6C"/>
    <w:rsid w:val="00763359"/>
    <w:rsid w:val="00763465"/>
    <w:rsid w:val="0076355A"/>
    <w:rsid w:val="00763B60"/>
    <w:rsid w:val="00763E49"/>
    <w:rsid w:val="007640BF"/>
    <w:rsid w:val="00764BD3"/>
    <w:rsid w:val="00764D12"/>
    <w:rsid w:val="00765205"/>
    <w:rsid w:val="00765620"/>
    <w:rsid w:val="00765E41"/>
    <w:rsid w:val="00765E66"/>
    <w:rsid w:val="00766958"/>
    <w:rsid w:val="007711D8"/>
    <w:rsid w:val="00771E74"/>
    <w:rsid w:val="007721E6"/>
    <w:rsid w:val="00773069"/>
    <w:rsid w:val="0077306F"/>
    <w:rsid w:val="00773BC3"/>
    <w:rsid w:val="00773D5D"/>
    <w:rsid w:val="00774019"/>
    <w:rsid w:val="0077474F"/>
    <w:rsid w:val="0077484B"/>
    <w:rsid w:val="00774D5C"/>
    <w:rsid w:val="00774DCE"/>
    <w:rsid w:val="0077530D"/>
    <w:rsid w:val="00775335"/>
    <w:rsid w:val="007754FC"/>
    <w:rsid w:val="00775BC0"/>
    <w:rsid w:val="00775D86"/>
    <w:rsid w:val="00776532"/>
    <w:rsid w:val="007766C6"/>
    <w:rsid w:val="00777056"/>
    <w:rsid w:val="00777217"/>
    <w:rsid w:val="00780554"/>
    <w:rsid w:val="00780796"/>
    <w:rsid w:val="007818B3"/>
    <w:rsid w:val="00781E63"/>
    <w:rsid w:val="007820BF"/>
    <w:rsid w:val="00782482"/>
    <w:rsid w:val="00782667"/>
    <w:rsid w:val="00782743"/>
    <w:rsid w:val="007828B6"/>
    <w:rsid w:val="00782BD4"/>
    <w:rsid w:val="00782C55"/>
    <w:rsid w:val="00782E0E"/>
    <w:rsid w:val="00783949"/>
    <w:rsid w:val="00783B29"/>
    <w:rsid w:val="007846A2"/>
    <w:rsid w:val="007848E8"/>
    <w:rsid w:val="00784E03"/>
    <w:rsid w:val="00786B40"/>
    <w:rsid w:val="00787451"/>
    <w:rsid w:val="00787ED5"/>
    <w:rsid w:val="00790340"/>
    <w:rsid w:val="00790413"/>
    <w:rsid w:val="0079078A"/>
    <w:rsid w:val="00790A7E"/>
    <w:rsid w:val="00790DA4"/>
    <w:rsid w:val="00790EE3"/>
    <w:rsid w:val="00790FCB"/>
    <w:rsid w:val="007910E0"/>
    <w:rsid w:val="00791119"/>
    <w:rsid w:val="007917A9"/>
    <w:rsid w:val="007918FF"/>
    <w:rsid w:val="00791A92"/>
    <w:rsid w:val="0079205A"/>
    <w:rsid w:val="00792530"/>
    <w:rsid w:val="00792761"/>
    <w:rsid w:val="00792768"/>
    <w:rsid w:val="00792B54"/>
    <w:rsid w:val="007932AF"/>
    <w:rsid w:val="007933F2"/>
    <w:rsid w:val="00793911"/>
    <w:rsid w:val="007944DF"/>
    <w:rsid w:val="00794625"/>
    <w:rsid w:val="00795358"/>
    <w:rsid w:val="00795C06"/>
    <w:rsid w:val="00795C76"/>
    <w:rsid w:val="00795DE4"/>
    <w:rsid w:val="00795E51"/>
    <w:rsid w:val="00795EDF"/>
    <w:rsid w:val="007962ED"/>
    <w:rsid w:val="00796733"/>
    <w:rsid w:val="00796740"/>
    <w:rsid w:val="00796BB3"/>
    <w:rsid w:val="007979DF"/>
    <w:rsid w:val="00797A7A"/>
    <w:rsid w:val="00797AB8"/>
    <w:rsid w:val="007A0B64"/>
    <w:rsid w:val="007A0C6C"/>
    <w:rsid w:val="007A15F2"/>
    <w:rsid w:val="007A1663"/>
    <w:rsid w:val="007A1975"/>
    <w:rsid w:val="007A1F07"/>
    <w:rsid w:val="007A2190"/>
    <w:rsid w:val="007A2B16"/>
    <w:rsid w:val="007A2C38"/>
    <w:rsid w:val="007A2CB4"/>
    <w:rsid w:val="007A2D57"/>
    <w:rsid w:val="007A2E18"/>
    <w:rsid w:val="007A303D"/>
    <w:rsid w:val="007A3711"/>
    <w:rsid w:val="007A3CCF"/>
    <w:rsid w:val="007A424E"/>
    <w:rsid w:val="007A4946"/>
    <w:rsid w:val="007A4EC2"/>
    <w:rsid w:val="007A51FF"/>
    <w:rsid w:val="007A532E"/>
    <w:rsid w:val="007A5A16"/>
    <w:rsid w:val="007A5BDB"/>
    <w:rsid w:val="007A5F0E"/>
    <w:rsid w:val="007A6801"/>
    <w:rsid w:val="007A6A59"/>
    <w:rsid w:val="007A6BE7"/>
    <w:rsid w:val="007A6D0C"/>
    <w:rsid w:val="007A73CA"/>
    <w:rsid w:val="007A7536"/>
    <w:rsid w:val="007B0B99"/>
    <w:rsid w:val="007B10F9"/>
    <w:rsid w:val="007B2369"/>
    <w:rsid w:val="007B2A40"/>
    <w:rsid w:val="007B2D55"/>
    <w:rsid w:val="007B2E76"/>
    <w:rsid w:val="007B3153"/>
    <w:rsid w:val="007B389B"/>
    <w:rsid w:val="007B3BBE"/>
    <w:rsid w:val="007B3C69"/>
    <w:rsid w:val="007B42BA"/>
    <w:rsid w:val="007B4E59"/>
    <w:rsid w:val="007B54C0"/>
    <w:rsid w:val="007B555A"/>
    <w:rsid w:val="007B5702"/>
    <w:rsid w:val="007B5F1A"/>
    <w:rsid w:val="007B6337"/>
    <w:rsid w:val="007B667E"/>
    <w:rsid w:val="007B70AF"/>
    <w:rsid w:val="007C068B"/>
    <w:rsid w:val="007C0801"/>
    <w:rsid w:val="007C0C6E"/>
    <w:rsid w:val="007C0F0A"/>
    <w:rsid w:val="007C189B"/>
    <w:rsid w:val="007C2321"/>
    <w:rsid w:val="007C23F3"/>
    <w:rsid w:val="007C260B"/>
    <w:rsid w:val="007C2617"/>
    <w:rsid w:val="007C2B60"/>
    <w:rsid w:val="007C2D99"/>
    <w:rsid w:val="007C3666"/>
    <w:rsid w:val="007C3760"/>
    <w:rsid w:val="007C3B39"/>
    <w:rsid w:val="007C479C"/>
    <w:rsid w:val="007C4846"/>
    <w:rsid w:val="007C4851"/>
    <w:rsid w:val="007C4CCE"/>
    <w:rsid w:val="007C51D0"/>
    <w:rsid w:val="007C5643"/>
    <w:rsid w:val="007C5A31"/>
    <w:rsid w:val="007C5D45"/>
    <w:rsid w:val="007C62A6"/>
    <w:rsid w:val="007C6708"/>
    <w:rsid w:val="007C7B38"/>
    <w:rsid w:val="007C7E61"/>
    <w:rsid w:val="007D0081"/>
    <w:rsid w:val="007D063C"/>
    <w:rsid w:val="007D06CD"/>
    <w:rsid w:val="007D0A67"/>
    <w:rsid w:val="007D12D0"/>
    <w:rsid w:val="007D136E"/>
    <w:rsid w:val="007D1564"/>
    <w:rsid w:val="007D1761"/>
    <w:rsid w:val="007D1CA4"/>
    <w:rsid w:val="007D2521"/>
    <w:rsid w:val="007D266E"/>
    <w:rsid w:val="007D26F4"/>
    <w:rsid w:val="007D2710"/>
    <w:rsid w:val="007D28AE"/>
    <w:rsid w:val="007D2A6E"/>
    <w:rsid w:val="007D31D1"/>
    <w:rsid w:val="007D33AC"/>
    <w:rsid w:val="007D34D9"/>
    <w:rsid w:val="007D3540"/>
    <w:rsid w:val="007D3B16"/>
    <w:rsid w:val="007D3BA3"/>
    <w:rsid w:val="007D421A"/>
    <w:rsid w:val="007D44A6"/>
    <w:rsid w:val="007D4B72"/>
    <w:rsid w:val="007D4B8A"/>
    <w:rsid w:val="007D553C"/>
    <w:rsid w:val="007D5641"/>
    <w:rsid w:val="007D564C"/>
    <w:rsid w:val="007D5C00"/>
    <w:rsid w:val="007D67B7"/>
    <w:rsid w:val="007D6815"/>
    <w:rsid w:val="007D6890"/>
    <w:rsid w:val="007D711D"/>
    <w:rsid w:val="007D72C9"/>
    <w:rsid w:val="007D7507"/>
    <w:rsid w:val="007D7845"/>
    <w:rsid w:val="007D7E5E"/>
    <w:rsid w:val="007E0030"/>
    <w:rsid w:val="007E006E"/>
    <w:rsid w:val="007E00B9"/>
    <w:rsid w:val="007E0464"/>
    <w:rsid w:val="007E166F"/>
    <w:rsid w:val="007E23A5"/>
    <w:rsid w:val="007E24EF"/>
    <w:rsid w:val="007E27E5"/>
    <w:rsid w:val="007E34CE"/>
    <w:rsid w:val="007E3675"/>
    <w:rsid w:val="007E37C1"/>
    <w:rsid w:val="007E37CD"/>
    <w:rsid w:val="007E3EBA"/>
    <w:rsid w:val="007E440C"/>
    <w:rsid w:val="007E484B"/>
    <w:rsid w:val="007E50C2"/>
    <w:rsid w:val="007E5AA5"/>
    <w:rsid w:val="007E6AA8"/>
    <w:rsid w:val="007E7032"/>
    <w:rsid w:val="007E78FC"/>
    <w:rsid w:val="007E7EA1"/>
    <w:rsid w:val="007F0349"/>
    <w:rsid w:val="007F0EA4"/>
    <w:rsid w:val="007F0EAD"/>
    <w:rsid w:val="007F1431"/>
    <w:rsid w:val="007F1580"/>
    <w:rsid w:val="007F19F3"/>
    <w:rsid w:val="007F1B04"/>
    <w:rsid w:val="007F2064"/>
    <w:rsid w:val="007F2B93"/>
    <w:rsid w:val="007F2BDA"/>
    <w:rsid w:val="007F37CD"/>
    <w:rsid w:val="007F3A17"/>
    <w:rsid w:val="007F3D99"/>
    <w:rsid w:val="007F41F6"/>
    <w:rsid w:val="007F45CF"/>
    <w:rsid w:val="007F4EEE"/>
    <w:rsid w:val="007F53C2"/>
    <w:rsid w:val="007F5C6F"/>
    <w:rsid w:val="007F6014"/>
    <w:rsid w:val="007F6186"/>
    <w:rsid w:val="007F6500"/>
    <w:rsid w:val="007F6810"/>
    <w:rsid w:val="007F69C6"/>
    <w:rsid w:val="007F6BDF"/>
    <w:rsid w:val="007F71F3"/>
    <w:rsid w:val="007F7D23"/>
    <w:rsid w:val="007F7FA6"/>
    <w:rsid w:val="008009EB"/>
    <w:rsid w:val="00800C14"/>
    <w:rsid w:val="00800C43"/>
    <w:rsid w:val="008013CE"/>
    <w:rsid w:val="0080355A"/>
    <w:rsid w:val="008039BE"/>
    <w:rsid w:val="00804676"/>
    <w:rsid w:val="00804F33"/>
    <w:rsid w:val="008054C9"/>
    <w:rsid w:val="0080595C"/>
    <w:rsid w:val="008059DF"/>
    <w:rsid w:val="00805C96"/>
    <w:rsid w:val="008061EB"/>
    <w:rsid w:val="008064D7"/>
    <w:rsid w:val="008067A1"/>
    <w:rsid w:val="00806A56"/>
    <w:rsid w:val="0080731F"/>
    <w:rsid w:val="00807588"/>
    <w:rsid w:val="0080772E"/>
    <w:rsid w:val="00807763"/>
    <w:rsid w:val="00807853"/>
    <w:rsid w:val="00807B45"/>
    <w:rsid w:val="008101B1"/>
    <w:rsid w:val="008102DB"/>
    <w:rsid w:val="008107E7"/>
    <w:rsid w:val="00811538"/>
    <w:rsid w:val="00811C42"/>
    <w:rsid w:val="00811CCE"/>
    <w:rsid w:val="00811DA3"/>
    <w:rsid w:val="00811ED6"/>
    <w:rsid w:val="008126B1"/>
    <w:rsid w:val="00812749"/>
    <w:rsid w:val="00812D95"/>
    <w:rsid w:val="008131F7"/>
    <w:rsid w:val="00813AB9"/>
    <w:rsid w:val="00813AFB"/>
    <w:rsid w:val="00813BE8"/>
    <w:rsid w:val="00813C34"/>
    <w:rsid w:val="00813C8D"/>
    <w:rsid w:val="00813F97"/>
    <w:rsid w:val="00813FC6"/>
    <w:rsid w:val="00814665"/>
    <w:rsid w:val="00814833"/>
    <w:rsid w:val="00814D9C"/>
    <w:rsid w:val="00814E6E"/>
    <w:rsid w:val="00815102"/>
    <w:rsid w:val="008152A5"/>
    <w:rsid w:val="00815511"/>
    <w:rsid w:val="00815CD0"/>
    <w:rsid w:val="00816217"/>
    <w:rsid w:val="0081746A"/>
    <w:rsid w:val="0081766F"/>
    <w:rsid w:val="00817FC7"/>
    <w:rsid w:val="008202E3"/>
    <w:rsid w:val="00820759"/>
    <w:rsid w:val="00820B72"/>
    <w:rsid w:val="00820D40"/>
    <w:rsid w:val="00820D6E"/>
    <w:rsid w:val="00820DCA"/>
    <w:rsid w:val="008218B3"/>
    <w:rsid w:val="0082234B"/>
    <w:rsid w:val="00822B1B"/>
    <w:rsid w:val="00822B36"/>
    <w:rsid w:val="00822BC4"/>
    <w:rsid w:val="0082301B"/>
    <w:rsid w:val="0082315A"/>
    <w:rsid w:val="00823198"/>
    <w:rsid w:val="008239C0"/>
    <w:rsid w:val="0082478E"/>
    <w:rsid w:val="00824AC2"/>
    <w:rsid w:val="00824EFE"/>
    <w:rsid w:val="008254B7"/>
    <w:rsid w:val="008256B4"/>
    <w:rsid w:val="0082613B"/>
    <w:rsid w:val="0082659C"/>
    <w:rsid w:val="00826950"/>
    <w:rsid w:val="008269F4"/>
    <w:rsid w:val="00826D32"/>
    <w:rsid w:val="00826D64"/>
    <w:rsid w:val="00826DC3"/>
    <w:rsid w:val="00827030"/>
    <w:rsid w:val="008270C8"/>
    <w:rsid w:val="00827BE7"/>
    <w:rsid w:val="00827C2A"/>
    <w:rsid w:val="00827C8C"/>
    <w:rsid w:val="00827D93"/>
    <w:rsid w:val="0083061D"/>
    <w:rsid w:val="008306A6"/>
    <w:rsid w:val="00830D6E"/>
    <w:rsid w:val="00830F22"/>
    <w:rsid w:val="00830FE1"/>
    <w:rsid w:val="008310F5"/>
    <w:rsid w:val="008311BD"/>
    <w:rsid w:val="0083193C"/>
    <w:rsid w:val="00831A77"/>
    <w:rsid w:val="0083274C"/>
    <w:rsid w:val="00832840"/>
    <w:rsid w:val="00833564"/>
    <w:rsid w:val="008335EA"/>
    <w:rsid w:val="00833A13"/>
    <w:rsid w:val="00833F1B"/>
    <w:rsid w:val="0083430C"/>
    <w:rsid w:val="00834A99"/>
    <w:rsid w:val="00834F0E"/>
    <w:rsid w:val="00834FF6"/>
    <w:rsid w:val="00835551"/>
    <w:rsid w:val="00835C87"/>
    <w:rsid w:val="00837821"/>
    <w:rsid w:val="0083792C"/>
    <w:rsid w:val="00837AE0"/>
    <w:rsid w:val="00837F6D"/>
    <w:rsid w:val="00840057"/>
    <w:rsid w:val="00840339"/>
    <w:rsid w:val="00841013"/>
    <w:rsid w:val="008418CA"/>
    <w:rsid w:val="008419D8"/>
    <w:rsid w:val="00841E5D"/>
    <w:rsid w:val="00842543"/>
    <w:rsid w:val="00842EE6"/>
    <w:rsid w:val="008438E7"/>
    <w:rsid w:val="00843968"/>
    <w:rsid w:val="00844136"/>
    <w:rsid w:val="00844902"/>
    <w:rsid w:val="008456C8"/>
    <w:rsid w:val="00845DF7"/>
    <w:rsid w:val="00845F45"/>
    <w:rsid w:val="008476B9"/>
    <w:rsid w:val="00847900"/>
    <w:rsid w:val="00847DF9"/>
    <w:rsid w:val="00850C5D"/>
    <w:rsid w:val="00851045"/>
    <w:rsid w:val="0085132B"/>
    <w:rsid w:val="008518F7"/>
    <w:rsid w:val="00851B59"/>
    <w:rsid w:val="00851DF6"/>
    <w:rsid w:val="00851F93"/>
    <w:rsid w:val="00851FAC"/>
    <w:rsid w:val="00852185"/>
    <w:rsid w:val="0085232D"/>
    <w:rsid w:val="00852BC0"/>
    <w:rsid w:val="008531F7"/>
    <w:rsid w:val="00853580"/>
    <w:rsid w:val="00853927"/>
    <w:rsid w:val="00853A6B"/>
    <w:rsid w:val="00853DE6"/>
    <w:rsid w:val="00853F95"/>
    <w:rsid w:val="00854177"/>
    <w:rsid w:val="008542F5"/>
    <w:rsid w:val="008545C4"/>
    <w:rsid w:val="00854E6A"/>
    <w:rsid w:val="0085566F"/>
    <w:rsid w:val="00855E94"/>
    <w:rsid w:val="00856A0A"/>
    <w:rsid w:val="00856A2E"/>
    <w:rsid w:val="00856A34"/>
    <w:rsid w:val="00856B4B"/>
    <w:rsid w:val="00856CD1"/>
    <w:rsid w:val="008571EF"/>
    <w:rsid w:val="0085747B"/>
    <w:rsid w:val="00857B33"/>
    <w:rsid w:val="00857F0F"/>
    <w:rsid w:val="00860302"/>
    <w:rsid w:val="0086032B"/>
    <w:rsid w:val="008603DC"/>
    <w:rsid w:val="00860901"/>
    <w:rsid w:val="00860985"/>
    <w:rsid w:val="00861041"/>
    <w:rsid w:val="00861103"/>
    <w:rsid w:val="00861C26"/>
    <w:rsid w:val="00861DD2"/>
    <w:rsid w:val="0086265E"/>
    <w:rsid w:val="00863048"/>
    <w:rsid w:val="008630FD"/>
    <w:rsid w:val="00863FB1"/>
    <w:rsid w:val="00864BD4"/>
    <w:rsid w:val="008654CE"/>
    <w:rsid w:val="0086556E"/>
    <w:rsid w:val="008655D9"/>
    <w:rsid w:val="00865A9D"/>
    <w:rsid w:val="00866500"/>
    <w:rsid w:val="008668D5"/>
    <w:rsid w:val="00866DB4"/>
    <w:rsid w:val="00866EE7"/>
    <w:rsid w:val="00866FB0"/>
    <w:rsid w:val="00867818"/>
    <w:rsid w:val="00867D51"/>
    <w:rsid w:val="00867E4F"/>
    <w:rsid w:val="00871D0F"/>
    <w:rsid w:val="00871DE1"/>
    <w:rsid w:val="008727B6"/>
    <w:rsid w:val="008727CF"/>
    <w:rsid w:val="00872906"/>
    <w:rsid w:val="00872BC5"/>
    <w:rsid w:val="00872C75"/>
    <w:rsid w:val="008746A1"/>
    <w:rsid w:val="0087473C"/>
    <w:rsid w:val="00874D7C"/>
    <w:rsid w:val="00875A98"/>
    <w:rsid w:val="0087645E"/>
    <w:rsid w:val="00876914"/>
    <w:rsid w:val="00876D49"/>
    <w:rsid w:val="0087741A"/>
    <w:rsid w:val="00877E56"/>
    <w:rsid w:val="008800FF"/>
    <w:rsid w:val="008816ED"/>
    <w:rsid w:val="008816F5"/>
    <w:rsid w:val="0088170E"/>
    <w:rsid w:val="00881997"/>
    <w:rsid w:val="00881DDB"/>
    <w:rsid w:val="0088254C"/>
    <w:rsid w:val="008826DA"/>
    <w:rsid w:val="00882C93"/>
    <w:rsid w:val="00883159"/>
    <w:rsid w:val="008836FA"/>
    <w:rsid w:val="008837C7"/>
    <w:rsid w:val="00883933"/>
    <w:rsid w:val="00883CCC"/>
    <w:rsid w:val="008841EB"/>
    <w:rsid w:val="008845DE"/>
    <w:rsid w:val="00884615"/>
    <w:rsid w:val="008846D7"/>
    <w:rsid w:val="008850CF"/>
    <w:rsid w:val="00885300"/>
    <w:rsid w:val="008860CB"/>
    <w:rsid w:val="00886359"/>
    <w:rsid w:val="00886A81"/>
    <w:rsid w:val="00886D2F"/>
    <w:rsid w:val="00886F9B"/>
    <w:rsid w:val="008870D9"/>
    <w:rsid w:val="008870DB"/>
    <w:rsid w:val="00887471"/>
    <w:rsid w:val="008902BD"/>
    <w:rsid w:val="00890382"/>
    <w:rsid w:val="00890A2E"/>
    <w:rsid w:val="008914AD"/>
    <w:rsid w:val="0089164D"/>
    <w:rsid w:val="00891A55"/>
    <w:rsid w:val="00891CC1"/>
    <w:rsid w:val="008927D0"/>
    <w:rsid w:val="008927F2"/>
    <w:rsid w:val="00892D5B"/>
    <w:rsid w:val="008932AE"/>
    <w:rsid w:val="008936DB"/>
    <w:rsid w:val="00893E22"/>
    <w:rsid w:val="00894F7B"/>
    <w:rsid w:val="00895423"/>
    <w:rsid w:val="0089617F"/>
    <w:rsid w:val="0089682B"/>
    <w:rsid w:val="008969A9"/>
    <w:rsid w:val="00896B4C"/>
    <w:rsid w:val="00897060"/>
    <w:rsid w:val="0089726C"/>
    <w:rsid w:val="008972D5"/>
    <w:rsid w:val="00897715"/>
    <w:rsid w:val="00897AD3"/>
    <w:rsid w:val="00897DB6"/>
    <w:rsid w:val="00897E0A"/>
    <w:rsid w:val="008A0A25"/>
    <w:rsid w:val="008A124B"/>
    <w:rsid w:val="008A1288"/>
    <w:rsid w:val="008A12B9"/>
    <w:rsid w:val="008A134E"/>
    <w:rsid w:val="008A1979"/>
    <w:rsid w:val="008A1AB3"/>
    <w:rsid w:val="008A21F7"/>
    <w:rsid w:val="008A2725"/>
    <w:rsid w:val="008A2C05"/>
    <w:rsid w:val="008A3582"/>
    <w:rsid w:val="008A398D"/>
    <w:rsid w:val="008A3E8A"/>
    <w:rsid w:val="008A419D"/>
    <w:rsid w:val="008A423E"/>
    <w:rsid w:val="008A4460"/>
    <w:rsid w:val="008A453E"/>
    <w:rsid w:val="008A4897"/>
    <w:rsid w:val="008A4F4F"/>
    <w:rsid w:val="008A54AA"/>
    <w:rsid w:val="008A56BA"/>
    <w:rsid w:val="008A5987"/>
    <w:rsid w:val="008A5C23"/>
    <w:rsid w:val="008A5EE9"/>
    <w:rsid w:val="008A64DA"/>
    <w:rsid w:val="008A67B6"/>
    <w:rsid w:val="008A69E4"/>
    <w:rsid w:val="008A6AFC"/>
    <w:rsid w:val="008A6DB0"/>
    <w:rsid w:val="008A7C3E"/>
    <w:rsid w:val="008A7FBA"/>
    <w:rsid w:val="008B0C9E"/>
    <w:rsid w:val="008B0D6B"/>
    <w:rsid w:val="008B2567"/>
    <w:rsid w:val="008B27FF"/>
    <w:rsid w:val="008B2C72"/>
    <w:rsid w:val="008B31EC"/>
    <w:rsid w:val="008B38DC"/>
    <w:rsid w:val="008B4F0D"/>
    <w:rsid w:val="008B5805"/>
    <w:rsid w:val="008B6445"/>
    <w:rsid w:val="008B6767"/>
    <w:rsid w:val="008B6C57"/>
    <w:rsid w:val="008B73D1"/>
    <w:rsid w:val="008B75C2"/>
    <w:rsid w:val="008B75CB"/>
    <w:rsid w:val="008B77C6"/>
    <w:rsid w:val="008B79B8"/>
    <w:rsid w:val="008B7CF7"/>
    <w:rsid w:val="008B7E1C"/>
    <w:rsid w:val="008C1489"/>
    <w:rsid w:val="008C1968"/>
    <w:rsid w:val="008C19FC"/>
    <w:rsid w:val="008C1C70"/>
    <w:rsid w:val="008C248E"/>
    <w:rsid w:val="008C2615"/>
    <w:rsid w:val="008C2771"/>
    <w:rsid w:val="008C2B75"/>
    <w:rsid w:val="008C2FC3"/>
    <w:rsid w:val="008C3AD9"/>
    <w:rsid w:val="008C3E14"/>
    <w:rsid w:val="008C3EA2"/>
    <w:rsid w:val="008C3FB0"/>
    <w:rsid w:val="008C45D0"/>
    <w:rsid w:val="008C49B4"/>
    <w:rsid w:val="008C4FFB"/>
    <w:rsid w:val="008C56CE"/>
    <w:rsid w:val="008C5D8B"/>
    <w:rsid w:val="008C6314"/>
    <w:rsid w:val="008C6610"/>
    <w:rsid w:val="008C6792"/>
    <w:rsid w:val="008C7049"/>
    <w:rsid w:val="008C766B"/>
    <w:rsid w:val="008C77F4"/>
    <w:rsid w:val="008C7898"/>
    <w:rsid w:val="008C7D6B"/>
    <w:rsid w:val="008C7E97"/>
    <w:rsid w:val="008D0D80"/>
    <w:rsid w:val="008D0E4B"/>
    <w:rsid w:val="008D0E80"/>
    <w:rsid w:val="008D1590"/>
    <w:rsid w:val="008D1B39"/>
    <w:rsid w:val="008D2338"/>
    <w:rsid w:val="008D3731"/>
    <w:rsid w:val="008D38A8"/>
    <w:rsid w:val="008D4406"/>
    <w:rsid w:val="008D441B"/>
    <w:rsid w:val="008D48E9"/>
    <w:rsid w:val="008D494B"/>
    <w:rsid w:val="008D59F7"/>
    <w:rsid w:val="008D5B23"/>
    <w:rsid w:val="008D60E9"/>
    <w:rsid w:val="008D619C"/>
    <w:rsid w:val="008D67AF"/>
    <w:rsid w:val="008D6AA6"/>
    <w:rsid w:val="008D7014"/>
    <w:rsid w:val="008D7057"/>
    <w:rsid w:val="008D7161"/>
    <w:rsid w:val="008D7354"/>
    <w:rsid w:val="008D7D09"/>
    <w:rsid w:val="008D7D42"/>
    <w:rsid w:val="008E0727"/>
    <w:rsid w:val="008E0FAF"/>
    <w:rsid w:val="008E12F2"/>
    <w:rsid w:val="008E13FF"/>
    <w:rsid w:val="008E1698"/>
    <w:rsid w:val="008E16DB"/>
    <w:rsid w:val="008E185F"/>
    <w:rsid w:val="008E1E21"/>
    <w:rsid w:val="008E2DEC"/>
    <w:rsid w:val="008E2EC0"/>
    <w:rsid w:val="008E3359"/>
    <w:rsid w:val="008E36A6"/>
    <w:rsid w:val="008E4E66"/>
    <w:rsid w:val="008E4EC1"/>
    <w:rsid w:val="008E4FDA"/>
    <w:rsid w:val="008E5610"/>
    <w:rsid w:val="008E57A6"/>
    <w:rsid w:val="008E584B"/>
    <w:rsid w:val="008E5DA7"/>
    <w:rsid w:val="008E6EB7"/>
    <w:rsid w:val="008E6FE9"/>
    <w:rsid w:val="008E76A5"/>
    <w:rsid w:val="008E7C38"/>
    <w:rsid w:val="008E7DBE"/>
    <w:rsid w:val="008E7DE8"/>
    <w:rsid w:val="008E7F9B"/>
    <w:rsid w:val="008F0B8F"/>
    <w:rsid w:val="008F16DD"/>
    <w:rsid w:val="008F180B"/>
    <w:rsid w:val="008F1C05"/>
    <w:rsid w:val="008F1ED3"/>
    <w:rsid w:val="008F2098"/>
    <w:rsid w:val="008F24C1"/>
    <w:rsid w:val="008F3A50"/>
    <w:rsid w:val="008F3B33"/>
    <w:rsid w:val="008F40D8"/>
    <w:rsid w:val="008F476C"/>
    <w:rsid w:val="008F49B4"/>
    <w:rsid w:val="008F51DE"/>
    <w:rsid w:val="008F53D4"/>
    <w:rsid w:val="008F5915"/>
    <w:rsid w:val="008F5AE3"/>
    <w:rsid w:val="008F5F32"/>
    <w:rsid w:val="008F61B1"/>
    <w:rsid w:val="008F6593"/>
    <w:rsid w:val="008F69BA"/>
    <w:rsid w:val="008F6FD5"/>
    <w:rsid w:val="008F75B5"/>
    <w:rsid w:val="008F7732"/>
    <w:rsid w:val="008F779B"/>
    <w:rsid w:val="008F7A64"/>
    <w:rsid w:val="008F7C49"/>
    <w:rsid w:val="0090007F"/>
    <w:rsid w:val="0090032E"/>
    <w:rsid w:val="009007A9"/>
    <w:rsid w:val="00901047"/>
    <w:rsid w:val="00901193"/>
    <w:rsid w:val="009017AA"/>
    <w:rsid w:val="009023F3"/>
    <w:rsid w:val="009025C6"/>
    <w:rsid w:val="00902B08"/>
    <w:rsid w:val="00902B3A"/>
    <w:rsid w:val="00902B93"/>
    <w:rsid w:val="0090352D"/>
    <w:rsid w:val="0090382B"/>
    <w:rsid w:val="0090392A"/>
    <w:rsid w:val="00903E87"/>
    <w:rsid w:val="009041C3"/>
    <w:rsid w:val="0090486C"/>
    <w:rsid w:val="00904ECF"/>
    <w:rsid w:val="0090502F"/>
    <w:rsid w:val="0090516D"/>
    <w:rsid w:val="00905278"/>
    <w:rsid w:val="00905567"/>
    <w:rsid w:val="00905632"/>
    <w:rsid w:val="00906525"/>
    <w:rsid w:val="00910A8B"/>
    <w:rsid w:val="00910E77"/>
    <w:rsid w:val="009110D6"/>
    <w:rsid w:val="00911700"/>
    <w:rsid w:val="0091177D"/>
    <w:rsid w:val="0091181A"/>
    <w:rsid w:val="00911C9F"/>
    <w:rsid w:val="009126EF"/>
    <w:rsid w:val="00912A13"/>
    <w:rsid w:val="00912A29"/>
    <w:rsid w:val="00912DFD"/>
    <w:rsid w:val="00912FA1"/>
    <w:rsid w:val="00912FFC"/>
    <w:rsid w:val="00913102"/>
    <w:rsid w:val="009131BA"/>
    <w:rsid w:val="0091371E"/>
    <w:rsid w:val="00913A6C"/>
    <w:rsid w:val="00914140"/>
    <w:rsid w:val="009142D3"/>
    <w:rsid w:val="009147EE"/>
    <w:rsid w:val="00914B38"/>
    <w:rsid w:val="0091569B"/>
    <w:rsid w:val="00915FEC"/>
    <w:rsid w:val="009163BD"/>
    <w:rsid w:val="009165CE"/>
    <w:rsid w:val="00916865"/>
    <w:rsid w:val="00917371"/>
    <w:rsid w:val="009173F3"/>
    <w:rsid w:val="0091778A"/>
    <w:rsid w:val="00917B73"/>
    <w:rsid w:val="00917CAE"/>
    <w:rsid w:val="009200AF"/>
    <w:rsid w:val="00920F88"/>
    <w:rsid w:val="00921B63"/>
    <w:rsid w:val="00922105"/>
    <w:rsid w:val="00922872"/>
    <w:rsid w:val="00923216"/>
    <w:rsid w:val="0092338C"/>
    <w:rsid w:val="009234F0"/>
    <w:rsid w:val="00923978"/>
    <w:rsid w:val="00923AF0"/>
    <w:rsid w:val="00923B30"/>
    <w:rsid w:val="009244E9"/>
    <w:rsid w:val="00924B4E"/>
    <w:rsid w:val="00924EF9"/>
    <w:rsid w:val="0092578F"/>
    <w:rsid w:val="00925ED5"/>
    <w:rsid w:val="0092631F"/>
    <w:rsid w:val="009267BC"/>
    <w:rsid w:val="0092682E"/>
    <w:rsid w:val="009268EC"/>
    <w:rsid w:val="009270C2"/>
    <w:rsid w:val="0092734A"/>
    <w:rsid w:val="009274D6"/>
    <w:rsid w:val="00927905"/>
    <w:rsid w:val="00930390"/>
    <w:rsid w:val="009308A8"/>
    <w:rsid w:val="00930E6E"/>
    <w:rsid w:val="009319DA"/>
    <w:rsid w:val="009320EF"/>
    <w:rsid w:val="009327BE"/>
    <w:rsid w:val="00932CD7"/>
    <w:rsid w:val="00933A5F"/>
    <w:rsid w:val="00934030"/>
    <w:rsid w:val="0093420F"/>
    <w:rsid w:val="00934376"/>
    <w:rsid w:val="00934CBC"/>
    <w:rsid w:val="0093503E"/>
    <w:rsid w:val="009353FE"/>
    <w:rsid w:val="009354B8"/>
    <w:rsid w:val="0093602C"/>
    <w:rsid w:val="009365EC"/>
    <w:rsid w:val="009367B0"/>
    <w:rsid w:val="0093684F"/>
    <w:rsid w:val="00936C06"/>
    <w:rsid w:val="00936D11"/>
    <w:rsid w:val="009371DA"/>
    <w:rsid w:val="0093758D"/>
    <w:rsid w:val="009377B5"/>
    <w:rsid w:val="00937AEA"/>
    <w:rsid w:val="00937F00"/>
    <w:rsid w:val="00937F32"/>
    <w:rsid w:val="009403E0"/>
    <w:rsid w:val="00940794"/>
    <w:rsid w:val="00942469"/>
    <w:rsid w:val="00942715"/>
    <w:rsid w:val="009427B3"/>
    <w:rsid w:val="009439FC"/>
    <w:rsid w:val="00944AAA"/>
    <w:rsid w:val="00944ECB"/>
    <w:rsid w:val="00945C0D"/>
    <w:rsid w:val="00945DAE"/>
    <w:rsid w:val="00946514"/>
    <w:rsid w:val="00946831"/>
    <w:rsid w:val="00946E07"/>
    <w:rsid w:val="00947393"/>
    <w:rsid w:val="0095021C"/>
    <w:rsid w:val="00951346"/>
    <w:rsid w:val="0095155E"/>
    <w:rsid w:val="00951953"/>
    <w:rsid w:val="00951DCA"/>
    <w:rsid w:val="009521CD"/>
    <w:rsid w:val="00952211"/>
    <w:rsid w:val="00952277"/>
    <w:rsid w:val="00952B71"/>
    <w:rsid w:val="00953391"/>
    <w:rsid w:val="00953564"/>
    <w:rsid w:val="00953702"/>
    <w:rsid w:val="00953978"/>
    <w:rsid w:val="00953B65"/>
    <w:rsid w:val="0095470B"/>
    <w:rsid w:val="00954B2B"/>
    <w:rsid w:val="00955D82"/>
    <w:rsid w:val="009565E1"/>
    <w:rsid w:val="00956814"/>
    <w:rsid w:val="0095706E"/>
    <w:rsid w:val="009573A5"/>
    <w:rsid w:val="00957AE8"/>
    <w:rsid w:val="00957D11"/>
    <w:rsid w:val="00960A56"/>
    <w:rsid w:val="00960F3D"/>
    <w:rsid w:val="00961172"/>
    <w:rsid w:val="00961948"/>
    <w:rsid w:val="00961F53"/>
    <w:rsid w:val="009621CF"/>
    <w:rsid w:val="009628E1"/>
    <w:rsid w:val="00962F04"/>
    <w:rsid w:val="00963EB3"/>
    <w:rsid w:val="00964291"/>
    <w:rsid w:val="00964460"/>
    <w:rsid w:val="009646C6"/>
    <w:rsid w:val="009648A3"/>
    <w:rsid w:val="009649FF"/>
    <w:rsid w:val="00964A35"/>
    <w:rsid w:val="00965495"/>
    <w:rsid w:val="009659C3"/>
    <w:rsid w:val="00965E68"/>
    <w:rsid w:val="00965F59"/>
    <w:rsid w:val="00965FB5"/>
    <w:rsid w:val="00966031"/>
    <w:rsid w:val="00966506"/>
    <w:rsid w:val="00966555"/>
    <w:rsid w:val="00966EF8"/>
    <w:rsid w:val="00967251"/>
    <w:rsid w:val="00967C9E"/>
    <w:rsid w:val="00967E25"/>
    <w:rsid w:val="00967EB5"/>
    <w:rsid w:val="00967EFF"/>
    <w:rsid w:val="00970943"/>
    <w:rsid w:val="009710FE"/>
    <w:rsid w:val="009713A8"/>
    <w:rsid w:val="0097174A"/>
    <w:rsid w:val="009718D3"/>
    <w:rsid w:val="009718DE"/>
    <w:rsid w:val="00972153"/>
    <w:rsid w:val="00972EBB"/>
    <w:rsid w:val="00973112"/>
    <w:rsid w:val="00973B5D"/>
    <w:rsid w:val="00974FC8"/>
    <w:rsid w:val="00975224"/>
    <w:rsid w:val="0097596C"/>
    <w:rsid w:val="00976C22"/>
    <w:rsid w:val="00976EAA"/>
    <w:rsid w:val="009775A3"/>
    <w:rsid w:val="00977764"/>
    <w:rsid w:val="009778F8"/>
    <w:rsid w:val="009779E3"/>
    <w:rsid w:val="00977C73"/>
    <w:rsid w:val="009803C5"/>
    <w:rsid w:val="00980547"/>
    <w:rsid w:val="009805A6"/>
    <w:rsid w:val="009808F6"/>
    <w:rsid w:val="00980A33"/>
    <w:rsid w:val="00980E96"/>
    <w:rsid w:val="00980EB5"/>
    <w:rsid w:val="00980FB4"/>
    <w:rsid w:val="00981ABE"/>
    <w:rsid w:val="00981BCC"/>
    <w:rsid w:val="00982512"/>
    <w:rsid w:val="00983127"/>
    <w:rsid w:val="009834DF"/>
    <w:rsid w:val="0098396C"/>
    <w:rsid w:val="00983ADC"/>
    <w:rsid w:val="009846DA"/>
    <w:rsid w:val="00984FF4"/>
    <w:rsid w:val="009859D2"/>
    <w:rsid w:val="00985C41"/>
    <w:rsid w:val="00985D39"/>
    <w:rsid w:val="00986423"/>
    <w:rsid w:val="009869F2"/>
    <w:rsid w:val="00986EB2"/>
    <w:rsid w:val="009871BD"/>
    <w:rsid w:val="00987B18"/>
    <w:rsid w:val="00990717"/>
    <w:rsid w:val="00990909"/>
    <w:rsid w:val="00990A70"/>
    <w:rsid w:val="00991230"/>
    <w:rsid w:val="009917A3"/>
    <w:rsid w:val="00991FCE"/>
    <w:rsid w:val="0099248F"/>
    <w:rsid w:val="009929AD"/>
    <w:rsid w:val="00993621"/>
    <w:rsid w:val="00993962"/>
    <w:rsid w:val="00993D43"/>
    <w:rsid w:val="00993D78"/>
    <w:rsid w:val="0099432E"/>
    <w:rsid w:val="00994B46"/>
    <w:rsid w:val="00994E05"/>
    <w:rsid w:val="00994F1D"/>
    <w:rsid w:val="00995009"/>
    <w:rsid w:val="009954D6"/>
    <w:rsid w:val="00995A57"/>
    <w:rsid w:val="00996098"/>
    <w:rsid w:val="00996CD1"/>
    <w:rsid w:val="00996E05"/>
    <w:rsid w:val="009977B5"/>
    <w:rsid w:val="00997A05"/>
    <w:rsid w:val="00997A65"/>
    <w:rsid w:val="00997D91"/>
    <w:rsid w:val="009A0178"/>
    <w:rsid w:val="009A0309"/>
    <w:rsid w:val="009A07E3"/>
    <w:rsid w:val="009A0857"/>
    <w:rsid w:val="009A0C5B"/>
    <w:rsid w:val="009A0DC2"/>
    <w:rsid w:val="009A19E1"/>
    <w:rsid w:val="009A28F3"/>
    <w:rsid w:val="009A39C4"/>
    <w:rsid w:val="009A3C19"/>
    <w:rsid w:val="009A3FCC"/>
    <w:rsid w:val="009A454B"/>
    <w:rsid w:val="009A486E"/>
    <w:rsid w:val="009A4992"/>
    <w:rsid w:val="009A4FEB"/>
    <w:rsid w:val="009A5723"/>
    <w:rsid w:val="009A5959"/>
    <w:rsid w:val="009A6A82"/>
    <w:rsid w:val="009A76E0"/>
    <w:rsid w:val="009A7715"/>
    <w:rsid w:val="009A773A"/>
    <w:rsid w:val="009A7F69"/>
    <w:rsid w:val="009A7FB3"/>
    <w:rsid w:val="009B03F9"/>
    <w:rsid w:val="009B05F5"/>
    <w:rsid w:val="009B071F"/>
    <w:rsid w:val="009B1E93"/>
    <w:rsid w:val="009B39B8"/>
    <w:rsid w:val="009B3A02"/>
    <w:rsid w:val="009B4074"/>
    <w:rsid w:val="009B40B1"/>
    <w:rsid w:val="009B41AA"/>
    <w:rsid w:val="009B4A18"/>
    <w:rsid w:val="009B4B3F"/>
    <w:rsid w:val="009B4EDE"/>
    <w:rsid w:val="009B500B"/>
    <w:rsid w:val="009B5539"/>
    <w:rsid w:val="009B5AD8"/>
    <w:rsid w:val="009B5B0E"/>
    <w:rsid w:val="009B5CCB"/>
    <w:rsid w:val="009B5F27"/>
    <w:rsid w:val="009B694A"/>
    <w:rsid w:val="009B6D7C"/>
    <w:rsid w:val="009B71E7"/>
    <w:rsid w:val="009B73B8"/>
    <w:rsid w:val="009B77FD"/>
    <w:rsid w:val="009B7825"/>
    <w:rsid w:val="009B7DED"/>
    <w:rsid w:val="009B7F27"/>
    <w:rsid w:val="009C0082"/>
    <w:rsid w:val="009C0849"/>
    <w:rsid w:val="009C1625"/>
    <w:rsid w:val="009C1DE1"/>
    <w:rsid w:val="009C1E63"/>
    <w:rsid w:val="009C1E65"/>
    <w:rsid w:val="009C217F"/>
    <w:rsid w:val="009C22FA"/>
    <w:rsid w:val="009C2A2D"/>
    <w:rsid w:val="009C315A"/>
    <w:rsid w:val="009C39AF"/>
    <w:rsid w:val="009C3E2A"/>
    <w:rsid w:val="009C42FA"/>
    <w:rsid w:val="009C4501"/>
    <w:rsid w:val="009C48D9"/>
    <w:rsid w:val="009C5018"/>
    <w:rsid w:val="009C531E"/>
    <w:rsid w:val="009C5629"/>
    <w:rsid w:val="009C575E"/>
    <w:rsid w:val="009C5AF2"/>
    <w:rsid w:val="009C5F2D"/>
    <w:rsid w:val="009C65B7"/>
    <w:rsid w:val="009C668B"/>
    <w:rsid w:val="009C6C23"/>
    <w:rsid w:val="009C6CAF"/>
    <w:rsid w:val="009C7355"/>
    <w:rsid w:val="009C772B"/>
    <w:rsid w:val="009C78C6"/>
    <w:rsid w:val="009C7AAD"/>
    <w:rsid w:val="009C7AC2"/>
    <w:rsid w:val="009C7EF2"/>
    <w:rsid w:val="009D0B2A"/>
    <w:rsid w:val="009D0DDF"/>
    <w:rsid w:val="009D13D3"/>
    <w:rsid w:val="009D1655"/>
    <w:rsid w:val="009D177B"/>
    <w:rsid w:val="009D1A6D"/>
    <w:rsid w:val="009D1ABD"/>
    <w:rsid w:val="009D209D"/>
    <w:rsid w:val="009D2F9E"/>
    <w:rsid w:val="009D3210"/>
    <w:rsid w:val="009D394D"/>
    <w:rsid w:val="009D4080"/>
    <w:rsid w:val="009D43E3"/>
    <w:rsid w:val="009D4BBC"/>
    <w:rsid w:val="009D5523"/>
    <w:rsid w:val="009D5A00"/>
    <w:rsid w:val="009D60EA"/>
    <w:rsid w:val="009D648F"/>
    <w:rsid w:val="009D6BB5"/>
    <w:rsid w:val="009D6CD4"/>
    <w:rsid w:val="009D7523"/>
    <w:rsid w:val="009D7C31"/>
    <w:rsid w:val="009E00B4"/>
    <w:rsid w:val="009E0890"/>
    <w:rsid w:val="009E089B"/>
    <w:rsid w:val="009E090A"/>
    <w:rsid w:val="009E0A8C"/>
    <w:rsid w:val="009E0F9F"/>
    <w:rsid w:val="009E106B"/>
    <w:rsid w:val="009E1BE5"/>
    <w:rsid w:val="009E1CDC"/>
    <w:rsid w:val="009E1EB2"/>
    <w:rsid w:val="009E20DD"/>
    <w:rsid w:val="009E2660"/>
    <w:rsid w:val="009E286D"/>
    <w:rsid w:val="009E30D6"/>
    <w:rsid w:val="009E33E8"/>
    <w:rsid w:val="009E3A27"/>
    <w:rsid w:val="009E3C86"/>
    <w:rsid w:val="009E3CFB"/>
    <w:rsid w:val="009E479E"/>
    <w:rsid w:val="009E47C8"/>
    <w:rsid w:val="009E4ABE"/>
    <w:rsid w:val="009E5687"/>
    <w:rsid w:val="009E5825"/>
    <w:rsid w:val="009E5EF1"/>
    <w:rsid w:val="009E62DD"/>
    <w:rsid w:val="009E63D1"/>
    <w:rsid w:val="009E6634"/>
    <w:rsid w:val="009E69A7"/>
    <w:rsid w:val="009E77EF"/>
    <w:rsid w:val="009E7F82"/>
    <w:rsid w:val="009F089F"/>
    <w:rsid w:val="009F11EC"/>
    <w:rsid w:val="009F15C3"/>
    <w:rsid w:val="009F1F45"/>
    <w:rsid w:val="009F22E0"/>
    <w:rsid w:val="009F26DF"/>
    <w:rsid w:val="009F2B03"/>
    <w:rsid w:val="009F2B13"/>
    <w:rsid w:val="009F3484"/>
    <w:rsid w:val="009F358B"/>
    <w:rsid w:val="009F4068"/>
    <w:rsid w:val="009F4791"/>
    <w:rsid w:val="009F4DF6"/>
    <w:rsid w:val="009F5118"/>
    <w:rsid w:val="009F536B"/>
    <w:rsid w:val="009F668C"/>
    <w:rsid w:val="009F6D50"/>
    <w:rsid w:val="009F751A"/>
    <w:rsid w:val="009F7658"/>
    <w:rsid w:val="009F7C4E"/>
    <w:rsid w:val="00A00312"/>
    <w:rsid w:val="00A004A5"/>
    <w:rsid w:val="00A00C9D"/>
    <w:rsid w:val="00A00ED4"/>
    <w:rsid w:val="00A01646"/>
    <w:rsid w:val="00A01712"/>
    <w:rsid w:val="00A01E9F"/>
    <w:rsid w:val="00A025AE"/>
    <w:rsid w:val="00A0294E"/>
    <w:rsid w:val="00A02CC6"/>
    <w:rsid w:val="00A02D7C"/>
    <w:rsid w:val="00A02FB4"/>
    <w:rsid w:val="00A02FB7"/>
    <w:rsid w:val="00A036C7"/>
    <w:rsid w:val="00A04487"/>
    <w:rsid w:val="00A04885"/>
    <w:rsid w:val="00A04FED"/>
    <w:rsid w:val="00A05814"/>
    <w:rsid w:val="00A05843"/>
    <w:rsid w:val="00A05892"/>
    <w:rsid w:val="00A05B82"/>
    <w:rsid w:val="00A05E0C"/>
    <w:rsid w:val="00A06AA8"/>
    <w:rsid w:val="00A06AEB"/>
    <w:rsid w:val="00A06D3F"/>
    <w:rsid w:val="00A06FF3"/>
    <w:rsid w:val="00A07128"/>
    <w:rsid w:val="00A07375"/>
    <w:rsid w:val="00A075EE"/>
    <w:rsid w:val="00A0795E"/>
    <w:rsid w:val="00A07BD1"/>
    <w:rsid w:val="00A10117"/>
    <w:rsid w:val="00A10270"/>
    <w:rsid w:val="00A11209"/>
    <w:rsid w:val="00A114C2"/>
    <w:rsid w:val="00A11674"/>
    <w:rsid w:val="00A11698"/>
    <w:rsid w:val="00A116E5"/>
    <w:rsid w:val="00A11714"/>
    <w:rsid w:val="00A11D29"/>
    <w:rsid w:val="00A11EF9"/>
    <w:rsid w:val="00A12614"/>
    <w:rsid w:val="00A12A2E"/>
    <w:rsid w:val="00A12B1F"/>
    <w:rsid w:val="00A12EC6"/>
    <w:rsid w:val="00A1307F"/>
    <w:rsid w:val="00A13882"/>
    <w:rsid w:val="00A13B01"/>
    <w:rsid w:val="00A147DB"/>
    <w:rsid w:val="00A15FEF"/>
    <w:rsid w:val="00A160BB"/>
    <w:rsid w:val="00A166AB"/>
    <w:rsid w:val="00A16AD2"/>
    <w:rsid w:val="00A16D2A"/>
    <w:rsid w:val="00A17E84"/>
    <w:rsid w:val="00A17EC0"/>
    <w:rsid w:val="00A20965"/>
    <w:rsid w:val="00A20D1C"/>
    <w:rsid w:val="00A210C2"/>
    <w:rsid w:val="00A2144B"/>
    <w:rsid w:val="00A21566"/>
    <w:rsid w:val="00A216AA"/>
    <w:rsid w:val="00A21EAA"/>
    <w:rsid w:val="00A22AF9"/>
    <w:rsid w:val="00A23181"/>
    <w:rsid w:val="00A2360D"/>
    <w:rsid w:val="00A23989"/>
    <w:rsid w:val="00A24242"/>
    <w:rsid w:val="00A24D6F"/>
    <w:rsid w:val="00A2518F"/>
    <w:rsid w:val="00A253BC"/>
    <w:rsid w:val="00A2548F"/>
    <w:rsid w:val="00A262EA"/>
    <w:rsid w:val="00A263F4"/>
    <w:rsid w:val="00A26434"/>
    <w:rsid w:val="00A2672B"/>
    <w:rsid w:val="00A26797"/>
    <w:rsid w:val="00A26A4F"/>
    <w:rsid w:val="00A26EAE"/>
    <w:rsid w:val="00A272E0"/>
    <w:rsid w:val="00A27C55"/>
    <w:rsid w:val="00A30750"/>
    <w:rsid w:val="00A30DBD"/>
    <w:rsid w:val="00A31A0D"/>
    <w:rsid w:val="00A31A15"/>
    <w:rsid w:val="00A3203C"/>
    <w:rsid w:val="00A324EC"/>
    <w:rsid w:val="00A3266C"/>
    <w:rsid w:val="00A3315C"/>
    <w:rsid w:val="00A336A7"/>
    <w:rsid w:val="00A34127"/>
    <w:rsid w:val="00A34876"/>
    <w:rsid w:val="00A349E4"/>
    <w:rsid w:val="00A35008"/>
    <w:rsid w:val="00A35DFF"/>
    <w:rsid w:val="00A363D7"/>
    <w:rsid w:val="00A36685"/>
    <w:rsid w:val="00A368DD"/>
    <w:rsid w:val="00A36C4E"/>
    <w:rsid w:val="00A3725F"/>
    <w:rsid w:val="00A37A30"/>
    <w:rsid w:val="00A37A9F"/>
    <w:rsid w:val="00A37DFA"/>
    <w:rsid w:val="00A37EEA"/>
    <w:rsid w:val="00A40594"/>
    <w:rsid w:val="00A40675"/>
    <w:rsid w:val="00A40ADE"/>
    <w:rsid w:val="00A40B60"/>
    <w:rsid w:val="00A41214"/>
    <w:rsid w:val="00A41350"/>
    <w:rsid w:val="00A41D13"/>
    <w:rsid w:val="00A41D1A"/>
    <w:rsid w:val="00A422F8"/>
    <w:rsid w:val="00A42343"/>
    <w:rsid w:val="00A4240E"/>
    <w:rsid w:val="00A424BD"/>
    <w:rsid w:val="00A4273D"/>
    <w:rsid w:val="00A42CA2"/>
    <w:rsid w:val="00A43BE5"/>
    <w:rsid w:val="00A43F14"/>
    <w:rsid w:val="00A4464D"/>
    <w:rsid w:val="00A44689"/>
    <w:rsid w:val="00A44897"/>
    <w:rsid w:val="00A44CF4"/>
    <w:rsid w:val="00A44D56"/>
    <w:rsid w:val="00A4532E"/>
    <w:rsid w:val="00A4594A"/>
    <w:rsid w:val="00A45C8F"/>
    <w:rsid w:val="00A45D5F"/>
    <w:rsid w:val="00A45F65"/>
    <w:rsid w:val="00A46467"/>
    <w:rsid w:val="00A47183"/>
    <w:rsid w:val="00A4730A"/>
    <w:rsid w:val="00A47A6A"/>
    <w:rsid w:val="00A50348"/>
    <w:rsid w:val="00A504F8"/>
    <w:rsid w:val="00A5060E"/>
    <w:rsid w:val="00A5073C"/>
    <w:rsid w:val="00A50F9E"/>
    <w:rsid w:val="00A51692"/>
    <w:rsid w:val="00A52A85"/>
    <w:rsid w:val="00A52B12"/>
    <w:rsid w:val="00A52C03"/>
    <w:rsid w:val="00A53069"/>
    <w:rsid w:val="00A531E5"/>
    <w:rsid w:val="00A53940"/>
    <w:rsid w:val="00A54073"/>
    <w:rsid w:val="00A54E66"/>
    <w:rsid w:val="00A56623"/>
    <w:rsid w:val="00A56917"/>
    <w:rsid w:val="00A56FAB"/>
    <w:rsid w:val="00A57154"/>
    <w:rsid w:val="00A575D5"/>
    <w:rsid w:val="00A57AF8"/>
    <w:rsid w:val="00A6090C"/>
    <w:rsid w:val="00A6105E"/>
    <w:rsid w:val="00A6124C"/>
    <w:rsid w:val="00A621FB"/>
    <w:rsid w:val="00A625D1"/>
    <w:rsid w:val="00A63D85"/>
    <w:rsid w:val="00A63EBF"/>
    <w:rsid w:val="00A644A8"/>
    <w:rsid w:val="00A64E26"/>
    <w:rsid w:val="00A64F60"/>
    <w:rsid w:val="00A65109"/>
    <w:rsid w:val="00A6611B"/>
    <w:rsid w:val="00A66739"/>
    <w:rsid w:val="00A668DB"/>
    <w:rsid w:val="00A66A77"/>
    <w:rsid w:val="00A670BF"/>
    <w:rsid w:val="00A676FD"/>
    <w:rsid w:val="00A67DFD"/>
    <w:rsid w:val="00A7087E"/>
    <w:rsid w:val="00A70B7F"/>
    <w:rsid w:val="00A71474"/>
    <w:rsid w:val="00A7159D"/>
    <w:rsid w:val="00A7197A"/>
    <w:rsid w:val="00A720E6"/>
    <w:rsid w:val="00A7257C"/>
    <w:rsid w:val="00A72630"/>
    <w:rsid w:val="00A72777"/>
    <w:rsid w:val="00A72D8D"/>
    <w:rsid w:val="00A72E09"/>
    <w:rsid w:val="00A72FC3"/>
    <w:rsid w:val="00A7344E"/>
    <w:rsid w:val="00A735A1"/>
    <w:rsid w:val="00A74352"/>
    <w:rsid w:val="00A74402"/>
    <w:rsid w:val="00A74952"/>
    <w:rsid w:val="00A74B5F"/>
    <w:rsid w:val="00A75269"/>
    <w:rsid w:val="00A753DC"/>
    <w:rsid w:val="00A756E4"/>
    <w:rsid w:val="00A75991"/>
    <w:rsid w:val="00A75A2A"/>
    <w:rsid w:val="00A76A62"/>
    <w:rsid w:val="00A77335"/>
    <w:rsid w:val="00A80908"/>
    <w:rsid w:val="00A80BC6"/>
    <w:rsid w:val="00A80CEA"/>
    <w:rsid w:val="00A812DD"/>
    <w:rsid w:val="00A814D8"/>
    <w:rsid w:val="00A81635"/>
    <w:rsid w:val="00A81E45"/>
    <w:rsid w:val="00A829CB"/>
    <w:rsid w:val="00A82BD5"/>
    <w:rsid w:val="00A82DC5"/>
    <w:rsid w:val="00A83022"/>
    <w:rsid w:val="00A8330A"/>
    <w:rsid w:val="00A83429"/>
    <w:rsid w:val="00A838EA"/>
    <w:rsid w:val="00A838FE"/>
    <w:rsid w:val="00A83DB0"/>
    <w:rsid w:val="00A8461E"/>
    <w:rsid w:val="00A84A4C"/>
    <w:rsid w:val="00A85F62"/>
    <w:rsid w:val="00A8604B"/>
    <w:rsid w:val="00A86A5A"/>
    <w:rsid w:val="00A86D4C"/>
    <w:rsid w:val="00A8785F"/>
    <w:rsid w:val="00A9027E"/>
    <w:rsid w:val="00A905DF"/>
    <w:rsid w:val="00A90CEB"/>
    <w:rsid w:val="00A90E1A"/>
    <w:rsid w:val="00A91478"/>
    <w:rsid w:val="00A916E2"/>
    <w:rsid w:val="00A91EB3"/>
    <w:rsid w:val="00A92030"/>
    <w:rsid w:val="00A943D6"/>
    <w:rsid w:val="00A9497D"/>
    <w:rsid w:val="00A94B13"/>
    <w:rsid w:val="00A94F85"/>
    <w:rsid w:val="00A9542F"/>
    <w:rsid w:val="00A96969"/>
    <w:rsid w:val="00A969F5"/>
    <w:rsid w:val="00A9744C"/>
    <w:rsid w:val="00A9765F"/>
    <w:rsid w:val="00A97E06"/>
    <w:rsid w:val="00A97EA6"/>
    <w:rsid w:val="00A97FE4"/>
    <w:rsid w:val="00AA02F7"/>
    <w:rsid w:val="00AA0656"/>
    <w:rsid w:val="00AA0844"/>
    <w:rsid w:val="00AA0A1F"/>
    <w:rsid w:val="00AA0E15"/>
    <w:rsid w:val="00AA1C2B"/>
    <w:rsid w:val="00AA1E4F"/>
    <w:rsid w:val="00AA2498"/>
    <w:rsid w:val="00AA29B8"/>
    <w:rsid w:val="00AA29FA"/>
    <w:rsid w:val="00AA3069"/>
    <w:rsid w:val="00AA376E"/>
    <w:rsid w:val="00AA3B7E"/>
    <w:rsid w:val="00AA3BC1"/>
    <w:rsid w:val="00AA3F9D"/>
    <w:rsid w:val="00AA5687"/>
    <w:rsid w:val="00AA5B92"/>
    <w:rsid w:val="00AA5E0E"/>
    <w:rsid w:val="00AA5FDF"/>
    <w:rsid w:val="00AA6CB2"/>
    <w:rsid w:val="00AA7705"/>
    <w:rsid w:val="00AA7DD4"/>
    <w:rsid w:val="00AB012A"/>
    <w:rsid w:val="00AB05CB"/>
    <w:rsid w:val="00AB0856"/>
    <w:rsid w:val="00AB1B92"/>
    <w:rsid w:val="00AB1C33"/>
    <w:rsid w:val="00AB203C"/>
    <w:rsid w:val="00AB20E0"/>
    <w:rsid w:val="00AB22EB"/>
    <w:rsid w:val="00AB29BB"/>
    <w:rsid w:val="00AB2ECB"/>
    <w:rsid w:val="00AB3438"/>
    <w:rsid w:val="00AB36DC"/>
    <w:rsid w:val="00AB37E3"/>
    <w:rsid w:val="00AB4300"/>
    <w:rsid w:val="00AB5D72"/>
    <w:rsid w:val="00AB5FC6"/>
    <w:rsid w:val="00AB64E4"/>
    <w:rsid w:val="00AB6A68"/>
    <w:rsid w:val="00AB6FDB"/>
    <w:rsid w:val="00AB70E8"/>
    <w:rsid w:val="00AB711A"/>
    <w:rsid w:val="00AB786E"/>
    <w:rsid w:val="00AB7FCD"/>
    <w:rsid w:val="00AC03DE"/>
    <w:rsid w:val="00AC08DC"/>
    <w:rsid w:val="00AC0E8C"/>
    <w:rsid w:val="00AC1454"/>
    <w:rsid w:val="00AC16EB"/>
    <w:rsid w:val="00AC1B19"/>
    <w:rsid w:val="00AC1FB9"/>
    <w:rsid w:val="00AC21DE"/>
    <w:rsid w:val="00AC2276"/>
    <w:rsid w:val="00AC25DB"/>
    <w:rsid w:val="00AC2614"/>
    <w:rsid w:val="00AC2A6B"/>
    <w:rsid w:val="00AC2BB5"/>
    <w:rsid w:val="00AC346C"/>
    <w:rsid w:val="00AC379A"/>
    <w:rsid w:val="00AC45AF"/>
    <w:rsid w:val="00AC4DB3"/>
    <w:rsid w:val="00AC51BA"/>
    <w:rsid w:val="00AC584D"/>
    <w:rsid w:val="00AC609D"/>
    <w:rsid w:val="00AC698F"/>
    <w:rsid w:val="00AC6F0C"/>
    <w:rsid w:val="00AC6F7E"/>
    <w:rsid w:val="00AC779C"/>
    <w:rsid w:val="00AC788F"/>
    <w:rsid w:val="00AC7AA9"/>
    <w:rsid w:val="00AC7DD4"/>
    <w:rsid w:val="00AC7F85"/>
    <w:rsid w:val="00AD02C0"/>
    <w:rsid w:val="00AD0DDD"/>
    <w:rsid w:val="00AD19EA"/>
    <w:rsid w:val="00AD2140"/>
    <w:rsid w:val="00AD2423"/>
    <w:rsid w:val="00AD27ED"/>
    <w:rsid w:val="00AD287A"/>
    <w:rsid w:val="00AD2CF3"/>
    <w:rsid w:val="00AD2EF3"/>
    <w:rsid w:val="00AD3016"/>
    <w:rsid w:val="00AD34B7"/>
    <w:rsid w:val="00AD3B17"/>
    <w:rsid w:val="00AD3E0E"/>
    <w:rsid w:val="00AD3E51"/>
    <w:rsid w:val="00AD3F16"/>
    <w:rsid w:val="00AD42A2"/>
    <w:rsid w:val="00AD48C8"/>
    <w:rsid w:val="00AD53EA"/>
    <w:rsid w:val="00AD5909"/>
    <w:rsid w:val="00AD5C55"/>
    <w:rsid w:val="00AD5E83"/>
    <w:rsid w:val="00AD6151"/>
    <w:rsid w:val="00AD6862"/>
    <w:rsid w:val="00AD6B7A"/>
    <w:rsid w:val="00AD70AB"/>
    <w:rsid w:val="00AD73BC"/>
    <w:rsid w:val="00AD7825"/>
    <w:rsid w:val="00AD7BF7"/>
    <w:rsid w:val="00AD7C3E"/>
    <w:rsid w:val="00AE015C"/>
    <w:rsid w:val="00AE0B06"/>
    <w:rsid w:val="00AE165C"/>
    <w:rsid w:val="00AE1683"/>
    <w:rsid w:val="00AE1C8F"/>
    <w:rsid w:val="00AE2372"/>
    <w:rsid w:val="00AE24CE"/>
    <w:rsid w:val="00AE2566"/>
    <w:rsid w:val="00AE2655"/>
    <w:rsid w:val="00AE2891"/>
    <w:rsid w:val="00AE2FFA"/>
    <w:rsid w:val="00AE36B2"/>
    <w:rsid w:val="00AE44E8"/>
    <w:rsid w:val="00AE4602"/>
    <w:rsid w:val="00AE46DE"/>
    <w:rsid w:val="00AE526E"/>
    <w:rsid w:val="00AE56C2"/>
    <w:rsid w:val="00AE575F"/>
    <w:rsid w:val="00AE7750"/>
    <w:rsid w:val="00AF0310"/>
    <w:rsid w:val="00AF0427"/>
    <w:rsid w:val="00AF06BB"/>
    <w:rsid w:val="00AF1072"/>
    <w:rsid w:val="00AF1074"/>
    <w:rsid w:val="00AF1157"/>
    <w:rsid w:val="00AF1223"/>
    <w:rsid w:val="00AF1390"/>
    <w:rsid w:val="00AF1C11"/>
    <w:rsid w:val="00AF23AC"/>
    <w:rsid w:val="00AF253B"/>
    <w:rsid w:val="00AF2BD6"/>
    <w:rsid w:val="00AF2C19"/>
    <w:rsid w:val="00AF2C1B"/>
    <w:rsid w:val="00AF32C2"/>
    <w:rsid w:val="00AF3A22"/>
    <w:rsid w:val="00AF3EDB"/>
    <w:rsid w:val="00AF5594"/>
    <w:rsid w:val="00AF582B"/>
    <w:rsid w:val="00AF5ED4"/>
    <w:rsid w:val="00AF6108"/>
    <w:rsid w:val="00AF69D7"/>
    <w:rsid w:val="00AF6FF2"/>
    <w:rsid w:val="00AF7589"/>
    <w:rsid w:val="00AF77A7"/>
    <w:rsid w:val="00AF7CFD"/>
    <w:rsid w:val="00AF7E8E"/>
    <w:rsid w:val="00B002A2"/>
    <w:rsid w:val="00B003A1"/>
    <w:rsid w:val="00B006F1"/>
    <w:rsid w:val="00B00929"/>
    <w:rsid w:val="00B00BF1"/>
    <w:rsid w:val="00B010EF"/>
    <w:rsid w:val="00B015A9"/>
    <w:rsid w:val="00B0191E"/>
    <w:rsid w:val="00B019B5"/>
    <w:rsid w:val="00B01AAF"/>
    <w:rsid w:val="00B01B97"/>
    <w:rsid w:val="00B01D60"/>
    <w:rsid w:val="00B01DEC"/>
    <w:rsid w:val="00B0298F"/>
    <w:rsid w:val="00B02BC5"/>
    <w:rsid w:val="00B03197"/>
    <w:rsid w:val="00B040F4"/>
    <w:rsid w:val="00B04564"/>
    <w:rsid w:val="00B046A1"/>
    <w:rsid w:val="00B049E8"/>
    <w:rsid w:val="00B04A6E"/>
    <w:rsid w:val="00B04BF9"/>
    <w:rsid w:val="00B04D94"/>
    <w:rsid w:val="00B04E1A"/>
    <w:rsid w:val="00B055EC"/>
    <w:rsid w:val="00B05729"/>
    <w:rsid w:val="00B059BE"/>
    <w:rsid w:val="00B062CB"/>
    <w:rsid w:val="00B0698C"/>
    <w:rsid w:val="00B06C13"/>
    <w:rsid w:val="00B06EB2"/>
    <w:rsid w:val="00B0719A"/>
    <w:rsid w:val="00B0728F"/>
    <w:rsid w:val="00B07523"/>
    <w:rsid w:val="00B07689"/>
    <w:rsid w:val="00B07BBF"/>
    <w:rsid w:val="00B10AE3"/>
    <w:rsid w:val="00B10E70"/>
    <w:rsid w:val="00B11042"/>
    <w:rsid w:val="00B111F3"/>
    <w:rsid w:val="00B11661"/>
    <w:rsid w:val="00B1176B"/>
    <w:rsid w:val="00B1194A"/>
    <w:rsid w:val="00B11AC5"/>
    <w:rsid w:val="00B125C9"/>
    <w:rsid w:val="00B1292D"/>
    <w:rsid w:val="00B1345D"/>
    <w:rsid w:val="00B1396D"/>
    <w:rsid w:val="00B147D6"/>
    <w:rsid w:val="00B14949"/>
    <w:rsid w:val="00B158D1"/>
    <w:rsid w:val="00B15AF1"/>
    <w:rsid w:val="00B16406"/>
    <w:rsid w:val="00B17439"/>
    <w:rsid w:val="00B17615"/>
    <w:rsid w:val="00B1766E"/>
    <w:rsid w:val="00B1775D"/>
    <w:rsid w:val="00B2036F"/>
    <w:rsid w:val="00B21474"/>
    <w:rsid w:val="00B21490"/>
    <w:rsid w:val="00B2166E"/>
    <w:rsid w:val="00B21BA9"/>
    <w:rsid w:val="00B21D7D"/>
    <w:rsid w:val="00B21E26"/>
    <w:rsid w:val="00B21F59"/>
    <w:rsid w:val="00B2211A"/>
    <w:rsid w:val="00B22604"/>
    <w:rsid w:val="00B22BC8"/>
    <w:rsid w:val="00B22F96"/>
    <w:rsid w:val="00B23831"/>
    <w:rsid w:val="00B238A9"/>
    <w:rsid w:val="00B25F4F"/>
    <w:rsid w:val="00B26070"/>
    <w:rsid w:val="00B26612"/>
    <w:rsid w:val="00B26E69"/>
    <w:rsid w:val="00B2741E"/>
    <w:rsid w:val="00B27584"/>
    <w:rsid w:val="00B27673"/>
    <w:rsid w:val="00B27D18"/>
    <w:rsid w:val="00B3003E"/>
    <w:rsid w:val="00B305ED"/>
    <w:rsid w:val="00B3083D"/>
    <w:rsid w:val="00B30B25"/>
    <w:rsid w:val="00B30E17"/>
    <w:rsid w:val="00B3207B"/>
    <w:rsid w:val="00B32517"/>
    <w:rsid w:val="00B32AD4"/>
    <w:rsid w:val="00B338C3"/>
    <w:rsid w:val="00B33D32"/>
    <w:rsid w:val="00B349B2"/>
    <w:rsid w:val="00B34D8F"/>
    <w:rsid w:val="00B34DF0"/>
    <w:rsid w:val="00B34EF9"/>
    <w:rsid w:val="00B34F02"/>
    <w:rsid w:val="00B359CF"/>
    <w:rsid w:val="00B3604E"/>
    <w:rsid w:val="00B36115"/>
    <w:rsid w:val="00B36217"/>
    <w:rsid w:val="00B3743F"/>
    <w:rsid w:val="00B374FA"/>
    <w:rsid w:val="00B379B7"/>
    <w:rsid w:val="00B37D67"/>
    <w:rsid w:val="00B37E28"/>
    <w:rsid w:val="00B37FC1"/>
    <w:rsid w:val="00B40155"/>
    <w:rsid w:val="00B40BE0"/>
    <w:rsid w:val="00B40CF5"/>
    <w:rsid w:val="00B40F85"/>
    <w:rsid w:val="00B411AD"/>
    <w:rsid w:val="00B412C5"/>
    <w:rsid w:val="00B4199E"/>
    <w:rsid w:val="00B41A1F"/>
    <w:rsid w:val="00B42499"/>
    <w:rsid w:val="00B42F59"/>
    <w:rsid w:val="00B434D3"/>
    <w:rsid w:val="00B435F9"/>
    <w:rsid w:val="00B44715"/>
    <w:rsid w:val="00B44DFF"/>
    <w:rsid w:val="00B44E8E"/>
    <w:rsid w:val="00B453C4"/>
    <w:rsid w:val="00B458BF"/>
    <w:rsid w:val="00B45FF3"/>
    <w:rsid w:val="00B46427"/>
    <w:rsid w:val="00B466BE"/>
    <w:rsid w:val="00B4675A"/>
    <w:rsid w:val="00B467C9"/>
    <w:rsid w:val="00B46A38"/>
    <w:rsid w:val="00B46E00"/>
    <w:rsid w:val="00B46EF2"/>
    <w:rsid w:val="00B46EFD"/>
    <w:rsid w:val="00B473DD"/>
    <w:rsid w:val="00B47777"/>
    <w:rsid w:val="00B477E3"/>
    <w:rsid w:val="00B47878"/>
    <w:rsid w:val="00B47BC7"/>
    <w:rsid w:val="00B47D3F"/>
    <w:rsid w:val="00B47E6D"/>
    <w:rsid w:val="00B50262"/>
    <w:rsid w:val="00B50367"/>
    <w:rsid w:val="00B509AA"/>
    <w:rsid w:val="00B50D07"/>
    <w:rsid w:val="00B50FAF"/>
    <w:rsid w:val="00B518A2"/>
    <w:rsid w:val="00B52366"/>
    <w:rsid w:val="00B5287D"/>
    <w:rsid w:val="00B528B1"/>
    <w:rsid w:val="00B52CC9"/>
    <w:rsid w:val="00B53144"/>
    <w:rsid w:val="00B53881"/>
    <w:rsid w:val="00B53D12"/>
    <w:rsid w:val="00B53F00"/>
    <w:rsid w:val="00B543F1"/>
    <w:rsid w:val="00B544A2"/>
    <w:rsid w:val="00B545C9"/>
    <w:rsid w:val="00B56434"/>
    <w:rsid w:val="00B56912"/>
    <w:rsid w:val="00B56A03"/>
    <w:rsid w:val="00B56A50"/>
    <w:rsid w:val="00B56BB1"/>
    <w:rsid w:val="00B56F29"/>
    <w:rsid w:val="00B576B5"/>
    <w:rsid w:val="00B578C1"/>
    <w:rsid w:val="00B57939"/>
    <w:rsid w:val="00B604E1"/>
    <w:rsid w:val="00B605A4"/>
    <w:rsid w:val="00B6148D"/>
    <w:rsid w:val="00B61BAF"/>
    <w:rsid w:val="00B61F1E"/>
    <w:rsid w:val="00B634A0"/>
    <w:rsid w:val="00B637F2"/>
    <w:rsid w:val="00B6380A"/>
    <w:rsid w:val="00B63B11"/>
    <w:rsid w:val="00B64339"/>
    <w:rsid w:val="00B645EF"/>
    <w:rsid w:val="00B64846"/>
    <w:rsid w:val="00B649AA"/>
    <w:rsid w:val="00B64A85"/>
    <w:rsid w:val="00B64BB3"/>
    <w:rsid w:val="00B64E30"/>
    <w:rsid w:val="00B65081"/>
    <w:rsid w:val="00B651BB"/>
    <w:rsid w:val="00B65898"/>
    <w:rsid w:val="00B65AB2"/>
    <w:rsid w:val="00B65C23"/>
    <w:rsid w:val="00B6630A"/>
    <w:rsid w:val="00B66930"/>
    <w:rsid w:val="00B66C6F"/>
    <w:rsid w:val="00B66C93"/>
    <w:rsid w:val="00B671AC"/>
    <w:rsid w:val="00B673CE"/>
    <w:rsid w:val="00B67432"/>
    <w:rsid w:val="00B6762B"/>
    <w:rsid w:val="00B7005A"/>
    <w:rsid w:val="00B70140"/>
    <w:rsid w:val="00B705C6"/>
    <w:rsid w:val="00B70CCE"/>
    <w:rsid w:val="00B7158B"/>
    <w:rsid w:val="00B71858"/>
    <w:rsid w:val="00B718E0"/>
    <w:rsid w:val="00B71A7E"/>
    <w:rsid w:val="00B71D01"/>
    <w:rsid w:val="00B722C5"/>
    <w:rsid w:val="00B72398"/>
    <w:rsid w:val="00B7253B"/>
    <w:rsid w:val="00B7277A"/>
    <w:rsid w:val="00B729B3"/>
    <w:rsid w:val="00B73CAE"/>
    <w:rsid w:val="00B740E8"/>
    <w:rsid w:val="00B744EC"/>
    <w:rsid w:val="00B750D2"/>
    <w:rsid w:val="00B75EF2"/>
    <w:rsid w:val="00B7627A"/>
    <w:rsid w:val="00B76669"/>
    <w:rsid w:val="00B767F2"/>
    <w:rsid w:val="00B77ED5"/>
    <w:rsid w:val="00B77F48"/>
    <w:rsid w:val="00B80034"/>
    <w:rsid w:val="00B80042"/>
    <w:rsid w:val="00B80A35"/>
    <w:rsid w:val="00B8136B"/>
    <w:rsid w:val="00B8196C"/>
    <w:rsid w:val="00B81AB8"/>
    <w:rsid w:val="00B81BEC"/>
    <w:rsid w:val="00B81F1F"/>
    <w:rsid w:val="00B826DA"/>
    <w:rsid w:val="00B82875"/>
    <w:rsid w:val="00B82A05"/>
    <w:rsid w:val="00B83105"/>
    <w:rsid w:val="00B8356F"/>
    <w:rsid w:val="00B83679"/>
    <w:rsid w:val="00B84751"/>
    <w:rsid w:val="00B84A87"/>
    <w:rsid w:val="00B851BB"/>
    <w:rsid w:val="00B853D6"/>
    <w:rsid w:val="00B85498"/>
    <w:rsid w:val="00B85945"/>
    <w:rsid w:val="00B859C9"/>
    <w:rsid w:val="00B85A0B"/>
    <w:rsid w:val="00B87021"/>
    <w:rsid w:val="00B87261"/>
    <w:rsid w:val="00B878BD"/>
    <w:rsid w:val="00B87DF0"/>
    <w:rsid w:val="00B9006C"/>
    <w:rsid w:val="00B90617"/>
    <w:rsid w:val="00B90662"/>
    <w:rsid w:val="00B90665"/>
    <w:rsid w:val="00B90AA2"/>
    <w:rsid w:val="00B90F17"/>
    <w:rsid w:val="00B9181D"/>
    <w:rsid w:val="00B91FA5"/>
    <w:rsid w:val="00B92781"/>
    <w:rsid w:val="00B9309A"/>
    <w:rsid w:val="00B94B02"/>
    <w:rsid w:val="00B94C66"/>
    <w:rsid w:val="00B95AE5"/>
    <w:rsid w:val="00B96062"/>
    <w:rsid w:val="00B960CA"/>
    <w:rsid w:val="00B967DB"/>
    <w:rsid w:val="00B96C47"/>
    <w:rsid w:val="00B96F7A"/>
    <w:rsid w:val="00B973CE"/>
    <w:rsid w:val="00BA0359"/>
    <w:rsid w:val="00BA0433"/>
    <w:rsid w:val="00BA0E78"/>
    <w:rsid w:val="00BA10BD"/>
    <w:rsid w:val="00BA120F"/>
    <w:rsid w:val="00BA1EE7"/>
    <w:rsid w:val="00BA220B"/>
    <w:rsid w:val="00BA2898"/>
    <w:rsid w:val="00BA344B"/>
    <w:rsid w:val="00BA3793"/>
    <w:rsid w:val="00BA3C86"/>
    <w:rsid w:val="00BA4587"/>
    <w:rsid w:val="00BA4AA0"/>
    <w:rsid w:val="00BA59DE"/>
    <w:rsid w:val="00BA5CC0"/>
    <w:rsid w:val="00BA6325"/>
    <w:rsid w:val="00BA7331"/>
    <w:rsid w:val="00BA73D3"/>
    <w:rsid w:val="00BA7414"/>
    <w:rsid w:val="00BA7563"/>
    <w:rsid w:val="00BA79A9"/>
    <w:rsid w:val="00BB0245"/>
    <w:rsid w:val="00BB055D"/>
    <w:rsid w:val="00BB0EE8"/>
    <w:rsid w:val="00BB1310"/>
    <w:rsid w:val="00BB15B9"/>
    <w:rsid w:val="00BB1796"/>
    <w:rsid w:val="00BB1F85"/>
    <w:rsid w:val="00BB2044"/>
    <w:rsid w:val="00BB2652"/>
    <w:rsid w:val="00BB275E"/>
    <w:rsid w:val="00BB29F5"/>
    <w:rsid w:val="00BB321A"/>
    <w:rsid w:val="00BB377E"/>
    <w:rsid w:val="00BB49DE"/>
    <w:rsid w:val="00BB536C"/>
    <w:rsid w:val="00BB5F02"/>
    <w:rsid w:val="00BB62B4"/>
    <w:rsid w:val="00BB6711"/>
    <w:rsid w:val="00BB67F8"/>
    <w:rsid w:val="00BB77F5"/>
    <w:rsid w:val="00BC00F1"/>
    <w:rsid w:val="00BC0793"/>
    <w:rsid w:val="00BC0AA7"/>
    <w:rsid w:val="00BC161F"/>
    <w:rsid w:val="00BC1767"/>
    <w:rsid w:val="00BC28CF"/>
    <w:rsid w:val="00BC324B"/>
    <w:rsid w:val="00BC3283"/>
    <w:rsid w:val="00BC3920"/>
    <w:rsid w:val="00BC3B9B"/>
    <w:rsid w:val="00BC3C5B"/>
    <w:rsid w:val="00BC3FEB"/>
    <w:rsid w:val="00BC48CD"/>
    <w:rsid w:val="00BC50E5"/>
    <w:rsid w:val="00BC5F65"/>
    <w:rsid w:val="00BC6BEB"/>
    <w:rsid w:val="00BC6F19"/>
    <w:rsid w:val="00BC7063"/>
    <w:rsid w:val="00BC72CC"/>
    <w:rsid w:val="00BC7746"/>
    <w:rsid w:val="00BD03A4"/>
    <w:rsid w:val="00BD0646"/>
    <w:rsid w:val="00BD07E6"/>
    <w:rsid w:val="00BD09DC"/>
    <w:rsid w:val="00BD0AD0"/>
    <w:rsid w:val="00BD0D96"/>
    <w:rsid w:val="00BD11D2"/>
    <w:rsid w:val="00BD130C"/>
    <w:rsid w:val="00BD1418"/>
    <w:rsid w:val="00BD1550"/>
    <w:rsid w:val="00BD170C"/>
    <w:rsid w:val="00BD1804"/>
    <w:rsid w:val="00BD1D78"/>
    <w:rsid w:val="00BD21DF"/>
    <w:rsid w:val="00BD2989"/>
    <w:rsid w:val="00BD2E00"/>
    <w:rsid w:val="00BD348C"/>
    <w:rsid w:val="00BD3F8C"/>
    <w:rsid w:val="00BD4057"/>
    <w:rsid w:val="00BD4272"/>
    <w:rsid w:val="00BD43BF"/>
    <w:rsid w:val="00BD462E"/>
    <w:rsid w:val="00BD580D"/>
    <w:rsid w:val="00BD65C4"/>
    <w:rsid w:val="00BD6674"/>
    <w:rsid w:val="00BD6940"/>
    <w:rsid w:val="00BD6B17"/>
    <w:rsid w:val="00BD6B6C"/>
    <w:rsid w:val="00BD7319"/>
    <w:rsid w:val="00BD734A"/>
    <w:rsid w:val="00BD79A8"/>
    <w:rsid w:val="00BD7C64"/>
    <w:rsid w:val="00BD7F0E"/>
    <w:rsid w:val="00BE006C"/>
    <w:rsid w:val="00BE00B9"/>
    <w:rsid w:val="00BE00C6"/>
    <w:rsid w:val="00BE0958"/>
    <w:rsid w:val="00BE0A2F"/>
    <w:rsid w:val="00BE0F52"/>
    <w:rsid w:val="00BE1515"/>
    <w:rsid w:val="00BE2006"/>
    <w:rsid w:val="00BE2116"/>
    <w:rsid w:val="00BE22F3"/>
    <w:rsid w:val="00BE23CD"/>
    <w:rsid w:val="00BE2674"/>
    <w:rsid w:val="00BE26AD"/>
    <w:rsid w:val="00BE27D1"/>
    <w:rsid w:val="00BE343D"/>
    <w:rsid w:val="00BE3C0E"/>
    <w:rsid w:val="00BE4120"/>
    <w:rsid w:val="00BE497A"/>
    <w:rsid w:val="00BE4A54"/>
    <w:rsid w:val="00BE4ED6"/>
    <w:rsid w:val="00BE575C"/>
    <w:rsid w:val="00BE594C"/>
    <w:rsid w:val="00BE5D5E"/>
    <w:rsid w:val="00BE66CD"/>
    <w:rsid w:val="00BE6705"/>
    <w:rsid w:val="00BE69F7"/>
    <w:rsid w:val="00BE6C56"/>
    <w:rsid w:val="00BE6D5B"/>
    <w:rsid w:val="00BE7451"/>
    <w:rsid w:val="00BE7633"/>
    <w:rsid w:val="00BE77AD"/>
    <w:rsid w:val="00BE79DB"/>
    <w:rsid w:val="00BE7A83"/>
    <w:rsid w:val="00BF03A3"/>
    <w:rsid w:val="00BF1563"/>
    <w:rsid w:val="00BF1821"/>
    <w:rsid w:val="00BF1A1F"/>
    <w:rsid w:val="00BF1C94"/>
    <w:rsid w:val="00BF288D"/>
    <w:rsid w:val="00BF3053"/>
    <w:rsid w:val="00BF349C"/>
    <w:rsid w:val="00BF3C21"/>
    <w:rsid w:val="00BF3FDD"/>
    <w:rsid w:val="00BF4CFE"/>
    <w:rsid w:val="00BF4FA4"/>
    <w:rsid w:val="00BF5169"/>
    <w:rsid w:val="00BF54D3"/>
    <w:rsid w:val="00BF5A5F"/>
    <w:rsid w:val="00BF5E0C"/>
    <w:rsid w:val="00BF667F"/>
    <w:rsid w:val="00BF670B"/>
    <w:rsid w:val="00BF68DC"/>
    <w:rsid w:val="00BF6A37"/>
    <w:rsid w:val="00BF6EBC"/>
    <w:rsid w:val="00BF71FF"/>
    <w:rsid w:val="00BF75CC"/>
    <w:rsid w:val="00BF7C38"/>
    <w:rsid w:val="00C00498"/>
    <w:rsid w:val="00C0139B"/>
    <w:rsid w:val="00C0152E"/>
    <w:rsid w:val="00C01B7C"/>
    <w:rsid w:val="00C01E9E"/>
    <w:rsid w:val="00C021A5"/>
    <w:rsid w:val="00C02280"/>
    <w:rsid w:val="00C031CC"/>
    <w:rsid w:val="00C03884"/>
    <w:rsid w:val="00C03A0D"/>
    <w:rsid w:val="00C04366"/>
    <w:rsid w:val="00C043A8"/>
    <w:rsid w:val="00C04AF3"/>
    <w:rsid w:val="00C0564F"/>
    <w:rsid w:val="00C05679"/>
    <w:rsid w:val="00C05967"/>
    <w:rsid w:val="00C05BAD"/>
    <w:rsid w:val="00C0602C"/>
    <w:rsid w:val="00C061FD"/>
    <w:rsid w:val="00C064C9"/>
    <w:rsid w:val="00C06C6C"/>
    <w:rsid w:val="00C06EC3"/>
    <w:rsid w:val="00C071E7"/>
    <w:rsid w:val="00C0725B"/>
    <w:rsid w:val="00C076EF"/>
    <w:rsid w:val="00C07FBE"/>
    <w:rsid w:val="00C1086B"/>
    <w:rsid w:val="00C10BA8"/>
    <w:rsid w:val="00C11699"/>
    <w:rsid w:val="00C11E04"/>
    <w:rsid w:val="00C11E2C"/>
    <w:rsid w:val="00C126FE"/>
    <w:rsid w:val="00C12B68"/>
    <w:rsid w:val="00C12C28"/>
    <w:rsid w:val="00C133C2"/>
    <w:rsid w:val="00C13798"/>
    <w:rsid w:val="00C137A1"/>
    <w:rsid w:val="00C13B78"/>
    <w:rsid w:val="00C13CA7"/>
    <w:rsid w:val="00C13FD4"/>
    <w:rsid w:val="00C14F06"/>
    <w:rsid w:val="00C15E70"/>
    <w:rsid w:val="00C1612A"/>
    <w:rsid w:val="00C1619A"/>
    <w:rsid w:val="00C16D62"/>
    <w:rsid w:val="00C16DB0"/>
    <w:rsid w:val="00C17566"/>
    <w:rsid w:val="00C17D24"/>
    <w:rsid w:val="00C17E72"/>
    <w:rsid w:val="00C20C2E"/>
    <w:rsid w:val="00C215FE"/>
    <w:rsid w:val="00C21799"/>
    <w:rsid w:val="00C21B06"/>
    <w:rsid w:val="00C21CB1"/>
    <w:rsid w:val="00C21CE4"/>
    <w:rsid w:val="00C22617"/>
    <w:rsid w:val="00C22A9D"/>
    <w:rsid w:val="00C22B72"/>
    <w:rsid w:val="00C22B85"/>
    <w:rsid w:val="00C2337B"/>
    <w:rsid w:val="00C237AB"/>
    <w:rsid w:val="00C23E46"/>
    <w:rsid w:val="00C23E58"/>
    <w:rsid w:val="00C23E85"/>
    <w:rsid w:val="00C25035"/>
    <w:rsid w:val="00C2548A"/>
    <w:rsid w:val="00C2554B"/>
    <w:rsid w:val="00C26254"/>
    <w:rsid w:val="00C2679C"/>
    <w:rsid w:val="00C268C0"/>
    <w:rsid w:val="00C26FD5"/>
    <w:rsid w:val="00C2783F"/>
    <w:rsid w:val="00C27A25"/>
    <w:rsid w:val="00C27F08"/>
    <w:rsid w:val="00C30743"/>
    <w:rsid w:val="00C30838"/>
    <w:rsid w:val="00C308C2"/>
    <w:rsid w:val="00C309FB"/>
    <w:rsid w:val="00C311E3"/>
    <w:rsid w:val="00C31837"/>
    <w:rsid w:val="00C31ECF"/>
    <w:rsid w:val="00C32181"/>
    <w:rsid w:val="00C323B3"/>
    <w:rsid w:val="00C32ABD"/>
    <w:rsid w:val="00C32BDD"/>
    <w:rsid w:val="00C32ED0"/>
    <w:rsid w:val="00C32FDF"/>
    <w:rsid w:val="00C330FB"/>
    <w:rsid w:val="00C3336D"/>
    <w:rsid w:val="00C33A87"/>
    <w:rsid w:val="00C33C83"/>
    <w:rsid w:val="00C34268"/>
    <w:rsid w:val="00C345F5"/>
    <w:rsid w:val="00C34A2B"/>
    <w:rsid w:val="00C35584"/>
    <w:rsid w:val="00C3598F"/>
    <w:rsid w:val="00C35A8B"/>
    <w:rsid w:val="00C36A3D"/>
    <w:rsid w:val="00C3737F"/>
    <w:rsid w:val="00C41227"/>
    <w:rsid w:val="00C414B7"/>
    <w:rsid w:val="00C4153B"/>
    <w:rsid w:val="00C41995"/>
    <w:rsid w:val="00C41FE8"/>
    <w:rsid w:val="00C42257"/>
    <w:rsid w:val="00C426D0"/>
    <w:rsid w:val="00C42C8B"/>
    <w:rsid w:val="00C42DEA"/>
    <w:rsid w:val="00C42E0F"/>
    <w:rsid w:val="00C42E17"/>
    <w:rsid w:val="00C43A93"/>
    <w:rsid w:val="00C43AD5"/>
    <w:rsid w:val="00C43D94"/>
    <w:rsid w:val="00C443B8"/>
    <w:rsid w:val="00C445BA"/>
    <w:rsid w:val="00C44A9B"/>
    <w:rsid w:val="00C44D44"/>
    <w:rsid w:val="00C4504E"/>
    <w:rsid w:val="00C4592B"/>
    <w:rsid w:val="00C45D4B"/>
    <w:rsid w:val="00C45DF8"/>
    <w:rsid w:val="00C463B1"/>
    <w:rsid w:val="00C46480"/>
    <w:rsid w:val="00C464C0"/>
    <w:rsid w:val="00C46B85"/>
    <w:rsid w:val="00C46C69"/>
    <w:rsid w:val="00C5032A"/>
    <w:rsid w:val="00C50B28"/>
    <w:rsid w:val="00C5140A"/>
    <w:rsid w:val="00C51B0E"/>
    <w:rsid w:val="00C52329"/>
    <w:rsid w:val="00C52535"/>
    <w:rsid w:val="00C53246"/>
    <w:rsid w:val="00C53476"/>
    <w:rsid w:val="00C53817"/>
    <w:rsid w:val="00C53950"/>
    <w:rsid w:val="00C53FFF"/>
    <w:rsid w:val="00C542D9"/>
    <w:rsid w:val="00C54B02"/>
    <w:rsid w:val="00C55283"/>
    <w:rsid w:val="00C553C4"/>
    <w:rsid w:val="00C554BF"/>
    <w:rsid w:val="00C55D60"/>
    <w:rsid w:val="00C55EF0"/>
    <w:rsid w:val="00C5681F"/>
    <w:rsid w:val="00C57F90"/>
    <w:rsid w:val="00C6048C"/>
    <w:rsid w:val="00C60D16"/>
    <w:rsid w:val="00C61188"/>
    <w:rsid w:val="00C61962"/>
    <w:rsid w:val="00C61D43"/>
    <w:rsid w:val="00C62076"/>
    <w:rsid w:val="00C622F1"/>
    <w:rsid w:val="00C623F1"/>
    <w:rsid w:val="00C62662"/>
    <w:rsid w:val="00C627A9"/>
    <w:rsid w:val="00C62894"/>
    <w:rsid w:val="00C629AC"/>
    <w:rsid w:val="00C6318F"/>
    <w:rsid w:val="00C63250"/>
    <w:rsid w:val="00C640A6"/>
    <w:rsid w:val="00C6452B"/>
    <w:rsid w:val="00C646CB"/>
    <w:rsid w:val="00C64859"/>
    <w:rsid w:val="00C64986"/>
    <w:rsid w:val="00C64DF9"/>
    <w:rsid w:val="00C6520E"/>
    <w:rsid w:val="00C655D9"/>
    <w:rsid w:val="00C65B8D"/>
    <w:rsid w:val="00C65F8A"/>
    <w:rsid w:val="00C6612F"/>
    <w:rsid w:val="00C6702F"/>
    <w:rsid w:val="00C6703B"/>
    <w:rsid w:val="00C67752"/>
    <w:rsid w:val="00C67915"/>
    <w:rsid w:val="00C67ADE"/>
    <w:rsid w:val="00C67E89"/>
    <w:rsid w:val="00C67ECE"/>
    <w:rsid w:val="00C705A4"/>
    <w:rsid w:val="00C707B5"/>
    <w:rsid w:val="00C708D6"/>
    <w:rsid w:val="00C70C24"/>
    <w:rsid w:val="00C71065"/>
    <w:rsid w:val="00C7176E"/>
    <w:rsid w:val="00C71873"/>
    <w:rsid w:val="00C72F38"/>
    <w:rsid w:val="00C730E7"/>
    <w:rsid w:val="00C73582"/>
    <w:rsid w:val="00C7359D"/>
    <w:rsid w:val="00C73632"/>
    <w:rsid w:val="00C7400E"/>
    <w:rsid w:val="00C74164"/>
    <w:rsid w:val="00C7417F"/>
    <w:rsid w:val="00C74342"/>
    <w:rsid w:val="00C74E50"/>
    <w:rsid w:val="00C75824"/>
    <w:rsid w:val="00C7654E"/>
    <w:rsid w:val="00C76602"/>
    <w:rsid w:val="00C76770"/>
    <w:rsid w:val="00C76CBD"/>
    <w:rsid w:val="00C76DD8"/>
    <w:rsid w:val="00C77866"/>
    <w:rsid w:val="00C77F49"/>
    <w:rsid w:val="00C8008E"/>
    <w:rsid w:val="00C80816"/>
    <w:rsid w:val="00C80CD6"/>
    <w:rsid w:val="00C80DC9"/>
    <w:rsid w:val="00C813A2"/>
    <w:rsid w:val="00C813B6"/>
    <w:rsid w:val="00C820FF"/>
    <w:rsid w:val="00C8217E"/>
    <w:rsid w:val="00C8218D"/>
    <w:rsid w:val="00C825A7"/>
    <w:rsid w:val="00C82984"/>
    <w:rsid w:val="00C82996"/>
    <w:rsid w:val="00C82BEE"/>
    <w:rsid w:val="00C83665"/>
    <w:rsid w:val="00C83A6C"/>
    <w:rsid w:val="00C8485F"/>
    <w:rsid w:val="00C852D9"/>
    <w:rsid w:val="00C85428"/>
    <w:rsid w:val="00C85926"/>
    <w:rsid w:val="00C85BD9"/>
    <w:rsid w:val="00C85C26"/>
    <w:rsid w:val="00C85C6C"/>
    <w:rsid w:val="00C85F4C"/>
    <w:rsid w:val="00C8656A"/>
    <w:rsid w:val="00C86731"/>
    <w:rsid w:val="00C867D3"/>
    <w:rsid w:val="00C86B3A"/>
    <w:rsid w:val="00C86E9B"/>
    <w:rsid w:val="00C87A93"/>
    <w:rsid w:val="00C90EA5"/>
    <w:rsid w:val="00C90F0F"/>
    <w:rsid w:val="00C91217"/>
    <w:rsid w:val="00C91796"/>
    <w:rsid w:val="00C923B4"/>
    <w:rsid w:val="00C92524"/>
    <w:rsid w:val="00C9271D"/>
    <w:rsid w:val="00C9308A"/>
    <w:rsid w:val="00C933DE"/>
    <w:rsid w:val="00C93BB5"/>
    <w:rsid w:val="00C93E38"/>
    <w:rsid w:val="00C9460E"/>
    <w:rsid w:val="00C94A50"/>
    <w:rsid w:val="00C94C4D"/>
    <w:rsid w:val="00C94EB7"/>
    <w:rsid w:val="00C951DE"/>
    <w:rsid w:val="00C96171"/>
    <w:rsid w:val="00C9667C"/>
    <w:rsid w:val="00C97B1D"/>
    <w:rsid w:val="00CA0A09"/>
    <w:rsid w:val="00CA1556"/>
    <w:rsid w:val="00CA1913"/>
    <w:rsid w:val="00CA1FD6"/>
    <w:rsid w:val="00CA2362"/>
    <w:rsid w:val="00CA31EC"/>
    <w:rsid w:val="00CA378F"/>
    <w:rsid w:val="00CA3B1A"/>
    <w:rsid w:val="00CA3FC7"/>
    <w:rsid w:val="00CA45C9"/>
    <w:rsid w:val="00CA4640"/>
    <w:rsid w:val="00CA479B"/>
    <w:rsid w:val="00CA4AFD"/>
    <w:rsid w:val="00CA4B4B"/>
    <w:rsid w:val="00CA4FEF"/>
    <w:rsid w:val="00CA5019"/>
    <w:rsid w:val="00CA5050"/>
    <w:rsid w:val="00CA52BE"/>
    <w:rsid w:val="00CA5CFD"/>
    <w:rsid w:val="00CA5D99"/>
    <w:rsid w:val="00CA5F94"/>
    <w:rsid w:val="00CA64C8"/>
    <w:rsid w:val="00CA6AEA"/>
    <w:rsid w:val="00CA6CF3"/>
    <w:rsid w:val="00CA70BB"/>
    <w:rsid w:val="00CA79A6"/>
    <w:rsid w:val="00CA7BD0"/>
    <w:rsid w:val="00CA7C14"/>
    <w:rsid w:val="00CB0494"/>
    <w:rsid w:val="00CB0518"/>
    <w:rsid w:val="00CB0A93"/>
    <w:rsid w:val="00CB1126"/>
    <w:rsid w:val="00CB13AE"/>
    <w:rsid w:val="00CB1AAA"/>
    <w:rsid w:val="00CB21AE"/>
    <w:rsid w:val="00CB296E"/>
    <w:rsid w:val="00CB2C6D"/>
    <w:rsid w:val="00CB2EF1"/>
    <w:rsid w:val="00CB3402"/>
    <w:rsid w:val="00CB35F0"/>
    <w:rsid w:val="00CB3CC2"/>
    <w:rsid w:val="00CB3CD4"/>
    <w:rsid w:val="00CB3D18"/>
    <w:rsid w:val="00CB4350"/>
    <w:rsid w:val="00CB487B"/>
    <w:rsid w:val="00CB49B4"/>
    <w:rsid w:val="00CB56B6"/>
    <w:rsid w:val="00CB5D9D"/>
    <w:rsid w:val="00CB5DE2"/>
    <w:rsid w:val="00CB5FFE"/>
    <w:rsid w:val="00CB6021"/>
    <w:rsid w:val="00CB6403"/>
    <w:rsid w:val="00CB6B44"/>
    <w:rsid w:val="00CB6EC6"/>
    <w:rsid w:val="00CB7006"/>
    <w:rsid w:val="00CB7F7B"/>
    <w:rsid w:val="00CB7F86"/>
    <w:rsid w:val="00CC015C"/>
    <w:rsid w:val="00CC09AF"/>
    <w:rsid w:val="00CC0ACE"/>
    <w:rsid w:val="00CC110A"/>
    <w:rsid w:val="00CC156E"/>
    <w:rsid w:val="00CC1D4C"/>
    <w:rsid w:val="00CC2205"/>
    <w:rsid w:val="00CC22C3"/>
    <w:rsid w:val="00CC290A"/>
    <w:rsid w:val="00CC3129"/>
    <w:rsid w:val="00CC34E9"/>
    <w:rsid w:val="00CC3BA0"/>
    <w:rsid w:val="00CC3EF8"/>
    <w:rsid w:val="00CC41D0"/>
    <w:rsid w:val="00CC4230"/>
    <w:rsid w:val="00CC4B62"/>
    <w:rsid w:val="00CC4BC1"/>
    <w:rsid w:val="00CC4EB2"/>
    <w:rsid w:val="00CC5081"/>
    <w:rsid w:val="00CC51E3"/>
    <w:rsid w:val="00CC54B0"/>
    <w:rsid w:val="00CC592C"/>
    <w:rsid w:val="00CC5A7D"/>
    <w:rsid w:val="00CC6204"/>
    <w:rsid w:val="00CC642C"/>
    <w:rsid w:val="00CC6EFE"/>
    <w:rsid w:val="00CC732F"/>
    <w:rsid w:val="00CC7C80"/>
    <w:rsid w:val="00CD08A4"/>
    <w:rsid w:val="00CD0922"/>
    <w:rsid w:val="00CD0C04"/>
    <w:rsid w:val="00CD0D6A"/>
    <w:rsid w:val="00CD0DA8"/>
    <w:rsid w:val="00CD0E9A"/>
    <w:rsid w:val="00CD15EC"/>
    <w:rsid w:val="00CD1A55"/>
    <w:rsid w:val="00CD1C2A"/>
    <w:rsid w:val="00CD271F"/>
    <w:rsid w:val="00CD2DC3"/>
    <w:rsid w:val="00CD365D"/>
    <w:rsid w:val="00CD36B6"/>
    <w:rsid w:val="00CD3CCE"/>
    <w:rsid w:val="00CD3EB1"/>
    <w:rsid w:val="00CD4791"/>
    <w:rsid w:val="00CD507A"/>
    <w:rsid w:val="00CD5445"/>
    <w:rsid w:val="00CD589F"/>
    <w:rsid w:val="00CD5C80"/>
    <w:rsid w:val="00CD636E"/>
    <w:rsid w:val="00CD6639"/>
    <w:rsid w:val="00CD6685"/>
    <w:rsid w:val="00CD6B3B"/>
    <w:rsid w:val="00CD6CAD"/>
    <w:rsid w:val="00CD6CDB"/>
    <w:rsid w:val="00CD7CA6"/>
    <w:rsid w:val="00CE00D0"/>
    <w:rsid w:val="00CE0775"/>
    <w:rsid w:val="00CE0F21"/>
    <w:rsid w:val="00CE172F"/>
    <w:rsid w:val="00CE1B6B"/>
    <w:rsid w:val="00CE1E9E"/>
    <w:rsid w:val="00CE2899"/>
    <w:rsid w:val="00CE2F8C"/>
    <w:rsid w:val="00CE3013"/>
    <w:rsid w:val="00CE3016"/>
    <w:rsid w:val="00CE3103"/>
    <w:rsid w:val="00CE327E"/>
    <w:rsid w:val="00CE35A8"/>
    <w:rsid w:val="00CE380C"/>
    <w:rsid w:val="00CE39EE"/>
    <w:rsid w:val="00CE4213"/>
    <w:rsid w:val="00CE463C"/>
    <w:rsid w:val="00CE4E95"/>
    <w:rsid w:val="00CE5637"/>
    <w:rsid w:val="00CE599E"/>
    <w:rsid w:val="00CE5AD2"/>
    <w:rsid w:val="00CE5B75"/>
    <w:rsid w:val="00CE645C"/>
    <w:rsid w:val="00CE7215"/>
    <w:rsid w:val="00CE7844"/>
    <w:rsid w:val="00CE7B8B"/>
    <w:rsid w:val="00CE7E12"/>
    <w:rsid w:val="00CE7FBF"/>
    <w:rsid w:val="00CF011D"/>
    <w:rsid w:val="00CF07CB"/>
    <w:rsid w:val="00CF17F2"/>
    <w:rsid w:val="00CF192C"/>
    <w:rsid w:val="00CF2768"/>
    <w:rsid w:val="00CF2BD3"/>
    <w:rsid w:val="00CF2C5A"/>
    <w:rsid w:val="00CF31A2"/>
    <w:rsid w:val="00CF31C1"/>
    <w:rsid w:val="00CF31D5"/>
    <w:rsid w:val="00CF33E3"/>
    <w:rsid w:val="00CF394E"/>
    <w:rsid w:val="00CF3A02"/>
    <w:rsid w:val="00CF3F87"/>
    <w:rsid w:val="00CF4E24"/>
    <w:rsid w:val="00CF55AB"/>
    <w:rsid w:val="00CF6586"/>
    <w:rsid w:val="00CF7796"/>
    <w:rsid w:val="00CF78C1"/>
    <w:rsid w:val="00CF79BD"/>
    <w:rsid w:val="00CF7BD7"/>
    <w:rsid w:val="00D001D3"/>
    <w:rsid w:val="00D0023A"/>
    <w:rsid w:val="00D00D70"/>
    <w:rsid w:val="00D01558"/>
    <w:rsid w:val="00D0161E"/>
    <w:rsid w:val="00D01795"/>
    <w:rsid w:val="00D01C69"/>
    <w:rsid w:val="00D01DA2"/>
    <w:rsid w:val="00D02072"/>
    <w:rsid w:val="00D0268B"/>
    <w:rsid w:val="00D03563"/>
    <w:rsid w:val="00D035DD"/>
    <w:rsid w:val="00D040E7"/>
    <w:rsid w:val="00D04386"/>
    <w:rsid w:val="00D049FF"/>
    <w:rsid w:val="00D04D5C"/>
    <w:rsid w:val="00D0515D"/>
    <w:rsid w:val="00D052F0"/>
    <w:rsid w:val="00D05529"/>
    <w:rsid w:val="00D05585"/>
    <w:rsid w:val="00D05D79"/>
    <w:rsid w:val="00D06154"/>
    <w:rsid w:val="00D0616F"/>
    <w:rsid w:val="00D06572"/>
    <w:rsid w:val="00D06A94"/>
    <w:rsid w:val="00D06B79"/>
    <w:rsid w:val="00D06EE5"/>
    <w:rsid w:val="00D06FD0"/>
    <w:rsid w:val="00D0705D"/>
    <w:rsid w:val="00D07A4F"/>
    <w:rsid w:val="00D07B43"/>
    <w:rsid w:val="00D07E16"/>
    <w:rsid w:val="00D10681"/>
    <w:rsid w:val="00D11544"/>
    <w:rsid w:val="00D116DD"/>
    <w:rsid w:val="00D11A07"/>
    <w:rsid w:val="00D11CA5"/>
    <w:rsid w:val="00D123D0"/>
    <w:rsid w:val="00D12942"/>
    <w:rsid w:val="00D12BB1"/>
    <w:rsid w:val="00D131DA"/>
    <w:rsid w:val="00D1381A"/>
    <w:rsid w:val="00D139A7"/>
    <w:rsid w:val="00D13BD1"/>
    <w:rsid w:val="00D14270"/>
    <w:rsid w:val="00D145A6"/>
    <w:rsid w:val="00D14DF2"/>
    <w:rsid w:val="00D15797"/>
    <w:rsid w:val="00D16062"/>
    <w:rsid w:val="00D16395"/>
    <w:rsid w:val="00D16CC9"/>
    <w:rsid w:val="00D16CF9"/>
    <w:rsid w:val="00D16F71"/>
    <w:rsid w:val="00D17C60"/>
    <w:rsid w:val="00D20302"/>
    <w:rsid w:val="00D2142E"/>
    <w:rsid w:val="00D21C5E"/>
    <w:rsid w:val="00D223DC"/>
    <w:rsid w:val="00D227AD"/>
    <w:rsid w:val="00D228ED"/>
    <w:rsid w:val="00D2295E"/>
    <w:rsid w:val="00D22CCF"/>
    <w:rsid w:val="00D22E97"/>
    <w:rsid w:val="00D23430"/>
    <w:rsid w:val="00D23E8C"/>
    <w:rsid w:val="00D24163"/>
    <w:rsid w:val="00D2481B"/>
    <w:rsid w:val="00D24A03"/>
    <w:rsid w:val="00D25267"/>
    <w:rsid w:val="00D25688"/>
    <w:rsid w:val="00D256FD"/>
    <w:rsid w:val="00D25897"/>
    <w:rsid w:val="00D259E6"/>
    <w:rsid w:val="00D25D4D"/>
    <w:rsid w:val="00D25D72"/>
    <w:rsid w:val="00D25F69"/>
    <w:rsid w:val="00D2653A"/>
    <w:rsid w:val="00D26B7F"/>
    <w:rsid w:val="00D26CF2"/>
    <w:rsid w:val="00D273AA"/>
    <w:rsid w:val="00D27DCD"/>
    <w:rsid w:val="00D315E2"/>
    <w:rsid w:val="00D3230B"/>
    <w:rsid w:val="00D3233F"/>
    <w:rsid w:val="00D32CFA"/>
    <w:rsid w:val="00D32D22"/>
    <w:rsid w:val="00D32E65"/>
    <w:rsid w:val="00D333B7"/>
    <w:rsid w:val="00D33710"/>
    <w:rsid w:val="00D33973"/>
    <w:rsid w:val="00D33FCC"/>
    <w:rsid w:val="00D33FE5"/>
    <w:rsid w:val="00D34A42"/>
    <w:rsid w:val="00D34C76"/>
    <w:rsid w:val="00D35364"/>
    <w:rsid w:val="00D35515"/>
    <w:rsid w:val="00D3565D"/>
    <w:rsid w:val="00D35EB9"/>
    <w:rsid w:val="00D3658F"/>
    <w:rsid w:val="00D36BC9"/>
    <w:rsid w:val="00D401DF"/>
    <w:rsid w:val="00D405A4"/>
    <w:rsid w:val="00D40CED"/>
    <w:rsid w:val="00D40D54"/>
    <w:rsid w:val="00D40DD4"/>
    <w:rsid w:val="00D40F0A"/>
    <w:rsid w:val="00D40F42"/>
    <w:rsid w:val="00D41487"/>
    <w:rsid w:val="00D41531"/>
    <w:rsid w:val="00D416D5"/>
    <w:rsid w:val="00D418B2"/>
    <w:rsid w:val="00D41D8D"/>
    <w:rsid w:val="00D420AF"/>
    <w:rsid w:val="00D4251C"/>
    <w:rsid w:val="00D438CD"/>
    <w:rsid w:val="00D43927"/>
    <w:rsid w:val="00D4397E"/>
    <w:rsid w:val="00D43BAA"/>
    <w:rsid w:val="00D43E83"/>
    <w:rsid w:val="00D446BC"/>
    <w:rsid w:val="00D44E15"/>
    <w:rsid w:val="00D45366"/>
    <w:rsid w:val="00D454D5"/>
    <w:rsid w:val="00D459D1"/>
    <w:rsid w:val="00D45B48"/>
    <w:rsid w:val="00D45FAE"/>
    <w:rsid w:val="00D46489"/>
    <w:rsid w:val="00D46C3B"/>
    <w:rsid w:val="00D47CB0"/>
    <w:rsid w:val="00D47DE4"/>
    <w:rsid w:val="00D50051"/>
    <w:rsid w:val="00D50773"/>
    <w:rsid w:val="00D50927"/>
    <w:rsid w:val="00D50A08"/>
    <w:rsid w:val="00D50E06"/>
    <w:rsid w:val="00D513B4"/>
    <w:rsid w:val="00D513B5"/>
    <w:rsid w:val="00D515C5"/>
    <w:rsid w:val="00D51E8F"/>
    <w:rsid w:val="00D52123"/>
    <w:rsid w:val="00D521AA"/>
    <w:rsid w:val="00D52CE5"/>
    <w:rsid w:val="00D52DE0"/>
    <w:rsid w:val="00D534E2"/>
    <w:rsid w:val="00D54244"/>
    <w:rsid w:val="00D54478"/>
    <w:rsid w:val="00D5487C"/>
    <w:rsid w:val="00D54BF5"/>
    <w:rsid w:val="00D54C35"/>
    <w:rsid w:val="00D55D43"/>
    <w:rsid w:val="00D563D5"/>
    <w:rsid w:val="00D5743C"/>
    <w:rsid w:val="00D57954"/>
    <w:rsid w:val="00D57C3F"/>
    <w:rsid w:val="00D57D6D"/>
    <w:rsid w:val="00D57EAB"/>
    <w:rsid w:val="00D60208"/>
    <w:rsid w:val="00D60281"/>
    <w:rsid w:val="00D614CB"/>
    <w:rsid w:val="00D61670"/>
    <w:rsid w:val="00D61FE6"/>
    <w:rsid w:val="00D62064"/>
    <w:rsid w:val="00D62160"/>
    <w:rsid w:val="00D6217D"/>
    <w:rsid w:val="00D62396"/>
    <w:rsid w:val="00D623EF"/>
    <w:rsid w:val="00D62B70"/>
    <w:rsid w:val="00D62E3F"/>
    <w:rsid w:val="00D63103"/>
    <w:rsid w:val="00D63793"/>
    <w:rsid w:val="00D6403D"/>
    <w:rsid w:val="00D6427D"/>
    <w:rsid w:val="00D642F5"/>
    <w:rsid w:val="00D643F3"/>
    <w:rsid w:val="00D649A3"/>
    <w:rsid w:val="00D64B6F"/>
    <w:rsid w:val="00D64EDB"/>
    <w:rsid w:val="00D6527D"/>
    <w:rsid w:val="00D65429"/>
    <w:rsid w:val="00D658EA"/>
    <w:rsid w:val="00D65E35"/>
    <w:rsid w:val="00D6654E"/>
    <w:rsid w:val="00D6702C"/>
    <w:rsid w:val="00D6742F"/>
    <w:rsid w:val="00D676CF"/>
    <w:rsid w:val="00D70400"/>
    <w:rsid w:val="00D704FF"/>
    <w:rsid w:val="00D70C63"/>
    <w:rsid w:val="00D7116D"/>
    <w:rsid w:val="00D71251"/>
    <w:rsid w:val="00D718AB"/>
    <w:rsid w:val="00D720D6"/>
    <w:rsid w:val="00D72131"/>
    <w:rsid w:val="00D7291A"/>
    <w:rsid w:val="00D72E0F"/>
    <w:rsid w:val="00D73084"/>
    <w:rsid w:val="00D730A1"/>
    <w:rsid w:val="00D7313D"/>
    <w:rsid w:val="00D732FD"/>
    <w:rsid w:val="00D7398B"/>
    <w:rsid w:val="00D74231"/>
    <w:rsid w:val="00D7445A"/>
    <w:rsid w:val="00D7470A"/>
    <w:rsid w:val="00D74744"/>
    <w:rsid w:val="00D74D67"/>
    <w:rsid w:val="00D74E71"/>
    <w:rsid w:val="00D74FFE"/>
    <w:rsid w:val="00D75054"/>
    <w:rsid w:val="00D75085"/>
    <w:rsid w:val="00D7510B"/>
    <w:rsid w:val="00D7520D"/>
    <w:rsid w:val="00D75967"/>
    <w:rsid w:val="00D75ADF"/>
    <w:rsid w:val="00D75DC7"/>
    <w:rsid w:val="00D760C5"/>
    <w:rsid w:val="00D760DE"/>
    <w:rsid w:val="00D763C7"/>
    <w:rsid w:val="00D7649C"/>
    <w:rsid w:val="00D76522"/>
    <w:rsid w:val="00D7697E"/>
    <w:rsid w:val="00D77668"/>
    <w:rsid w:val="00D77B18"/>
    <w:rsid w:val="00D77CF9"/>
    <w:rsid w:val="00D80348"/>
    <w:rsid w:val="00D80C40"/>
    <w:rsid w:val="00D8139D"/>
    <w:rsid w:val="00D8142C"/>
    <w:rsid w:val="00D81E55"/>
    <w:rsid w:val="00D81F84"/>
    <w:rsid w:val="00D82176"/>
    <w:rsid w:val="00D82359"/>
    <w:rsid w:val="00D82C98"/>
    <w:rsid w:val="00D83563"/>
    <w:rsid w:val="00D8430C"/>
    <w:rsid w:val="00D84645"/>
    <w:rsid w:val="00D847F5"/>
    <w:rsid w:val="00D84830"/>
    <w:rsid w:val="00D84DD5"/>
    <w:rsid w:val="00D85312"/>
    <w:rsid w:val="00D85717"/>
    <w:rsid w:val="00D859E7"/>
    <w:rsid w:val="00D8614B"/>
    <w:rsid w:val="00D86B96"/>
    <w:rsid w:val="00D8707C"/>
    <w:rsid w:val="00D874BF"/>
    <w:rsid w:val="00D87D1B"/>
    <w:rsid w:val="00D87E5E"/>
    <w:rsid w:val="00D90E61"/>
    <w:rsid w:val="00D91152"/>
    <w:rsid w:val="00D914ED"/>
    <w:rsid w:val="00D917B0"/>
    <w:rsid w:val="00D91A1F"/>
    <w:rsid w:val="00D91D97"/>
    <w:rsid w:val="00D91F57"/>
    <w:rsid w:val="00D9221C"/>
    <w:rsid w:val="00D9272C"/>
    <w:rsid w:val="00D92940"/>
    <w:rsid w:val="00D931F9"/>
    <w:rsid w:val="00D932B9"/>
    <w:rsid w:val="00D93367"/>
    <w:rsid w:val="00D9348D"/>
    <w:rsid w:val="00D93761"/>
    <w:rsid w:val="00D937C5"/>
    <w:rsid w:val="00D938D9"/>
    <w:rsid w:val="00D938E7"/>
    <w:rsid w:val="00D940C6"/>
    <w:rsid w:val="00D94F95"/>
    <w:rsid w:val="00D96134"/>
    <w:rsid w:val="00D96356"/>
    <w:rsid w:val="00D96787"/>
    <w:rsid w:val="00D96A9F"/>
    <w:rsid w:val="00D97065"/>
    <w:rsid w:val="00D9714B"/>
    <w:rsid w:val="00D97613"/>
    <w:rsid w:val="00D97F4F"/>
    <w:rsid w:val="00DA06AE"/>
    <w:rsid w:val="00DA0A32"/>
    <w:rsid w:val="00DA0EC7"/>
    <w:rsid w:val="00DA10BD"/>
    <w:rsid w:val="00DA120D"/>
    <w:rsid w:val="00DA13D6"/>
    <w:rsid w:val="00DA1415"/>
    <w:rsid w:val="00DA1809"/>
    <w:rsid w:val="00DA1D11"/>
    <w:rsid w:val="00DA1DB5"/>
    <w:rsid w:val="00DA20A0"/>
    <w:rsid w:val="00DA21E1"/>
    <w:rsid w:val="00DA2322"/>
    <w:rsid w:val="00DA25B9"/>
    <w:rsid w:val="00DA26F8"/>
    <w:rsid w:val="00DA3202"/>
    <w:rsid w:val="00DA3366"/>
    <w:rsid w:val="00DA3439"/>
    <w:rsid w:val="00DA36B3"/>
    <w:rsid w:val="00DA3A2D"/>
    <w:rsid w:val="00DA3A62"/>
    <w:rsid w:val="00DA3D56"/>
    <w:rsid w:val="00DA43BE"/>
    <w:rsid w:val="00DA4FB3"/>
    <w:rsid w:val="00DA50BE"/>
    <w:rsid w:val="00DA58E3"/>
    <w:rsid w:val="00DA5AA5"/>
    <w:rsid w:val="00DA62C5"/>
    <w:rsid w:val="00DA6A46"/>
    <w:rsid w:val="00DA6BEC"/>
    <w:rsid w:val="00DA6F14"/>
    <w:rsid w:val="00DA7026"/>
    <w:rsid w:val="00DA771E"/>
    <w:rsid w:val="00DA7ABF"/>
    <w:rsid w:val="00DA7B75"/>
    <w:rsid w:val="00DB03ED"/>
    <w:rsid w:val="00DB0D5E"/>
    <w:rsid w:val="00DB14E7"/>
    <w:rsid w:val="00DB19E2"/>
    <w:rsid w:val="00DB2882"/>
    <w:rsid w:val="00DB35BA"/>
    <w:rsid w:val="00DB35BC"/>
    <w:rsid w:val="00DB39A9"/>
    <w:rsid w:val="00DB3FF7"/>
    <w:rsid w:val="00DB4361"/>
    <w:rsid w:val="00DB51DA"/>
    <w:rsid w:val="00DB5BFA"/>
    <w:rsid w:val="00DB5F23"/>
    <w:rsid w:val="00DB643B"/>
    <w:rsid w:val="00DB65AF"/>
    <w:rsid w:val="00DB65FB"/>
    <w:rsid w:val="00DB6C89"/>
    <w:rsid w:val="00DB7B82"/>
    <w:rsid w:val="00DB7E97"/>
    <w:rsid w:val="00DC02A6"/>
    <w:rsid w:val="00DC06FE"/>
    <w:rsid w:val="00DC1350"/>
    <w:rsid w:val="00DC1496"/>
    <w:rsid w:val="00DC1EBB"/>
    <w:rsid w:val="00DC1FA1"/>
    <w:rsid w:val="00DC26C6"/>
    <w:rsid w:val="00DC2D8C"/>
    <w:rsid w:val="00DC34D7"/>
    <w:rsid w:val="00DC393A"/>
    <w:rsid w:val="00DC3C65"/>
    <w:rsid w:val="00DC3D2F"/>
    <w:rsid w:val="00DC3D7E"/>
    <w:rsid w:val="00DC419C"/>
    <w:rsid w:val="00DC46EC"/>
    <w:rsid w:val="00DC4783"/>
    <w:rsid w:val="00DC4B8D"/>
    <w:rsid w:val="00DC4DE1"/>
    <w:rsid w:val="00DC4F1D"/>
    <w:rsid w:val="00DC52DD"/>
    <w:rsid w:val="00DC54E9"/>
    <w:rsid w:val="00DC5ADD"/>
    <w:rsid w:val="00DC676E"/>
    <w:rsid w:val="00DC6814"/>
    <w:rsid w:val="00DC6887"/>
    <w:rsid w:val="00DC68FC"/>
    <w:rsid w:val="00DC6B8D"/>
    <w:rsid w:val="00DC7177"/>
    <w:rsid w:val="00DC7578"/>
    <w:rsid w:val="00DD002B"/>
    <w:rsid w:val="00DD0CDA"/>
    <w:rsid w:val="00DD0EB8"/>
    <w:rsid w:val="00DD0FE8"/>
    <w:rsid w:val="00DD1881"/>
    <w:rsid w:val="00DD1BEC"/>
    <w:rsid w:val="00DD21A2"/>
    <w:rsid w:val="00DD254D"/>
    <w:rsid w:val="00DD261B"/>
    <w:rsid w:val="00DD2A14"/>
    <w:rsid w:val="00DD2DFA"/>
    <w:rsid w:val="00DD2EAA"/>
    <w:rsid w:val="00DD3846"/>
    <w:rsid w:val="00DD397D"/>
    <w:rsid w:val="00DD4888"/>
    <w:rsid w:val="00DD4893"/>
    <w:rsid w:val="00DD4FF6"/>
    <w:rsid w:val="00DD50F6"/>
    <w:rsid w:val="00DD5323"/>
    <w:rsid w:val="00DD588A"/>
    <w:rsid w:val="00DD59D0"/>
    <w:rsid w:val="00DD6C5F"/>
    <w:rsid w:val="00DD6CBB"/>
    <w:rsid w:val="00DD6D24"/>
    <w:rsid w:val="00DD747E"/>
    <w:rsid w:val="00DD758F"/>
    <w:rsid w:val="00DD7702"/>
    <w:rsid w:val="00DE07B8"/>
    <w:rsid w:val="00DE0901"/>
    <w:rsid w:val="00DE09D1"/>
    <w:rsid w:val="00DE0DA5"/>
    <w:rsid w:val="00DE1289"/>
    <w:rsid w:val="00DE1BAD"/>
    <w:rsid w:val="00DE1EF3"/>
    <w:rsid w:val="00DE2284"/>
    <w:rsid w:val="00DE23DA"/>
    <w:rsid w:val="00DE24D2"/>
    <w:rsid w:val="00DE2D01"/>
    <w:rsid w:val="00DE3625"/>
    <w:rsid w:val="00DE370E"/>
    <w:rsid w:val="00DE3A0F"/>
    <w:rsid w:val="00DE3C03"/>
    <w:rsid w:val="00DE3CDB"/>
    <w:rsid w:val="00DE3E96"/>
    <w:rsid w:val="00DE3FDA"/>
    <w:rsid w:val="00DE4362"/>
    <w:rsid w:val="00DE46D2"/>
    <w:rsid w:val="00DE4C5B"/>
    <w:rsid w:val="00DE4DE9"/>
    <w:rsid w:val="00DE5BCD"/>
    <w:rsid w:val="00DE5D94"/>
    <w:rsid w:val="00DE63B9"/>
    <w:rsid w:val="00DE64B9"/>
    <w:rsid w:val="00DE692F"/>
    <w:rsid w:val="00DE725E"/>
    <w:rsid w:val="00DE7364"/>
    <w:rsid w:val="00DE7465"/>
    <w:rsid w:val="00DE79D1"/>
    <w:rsid w:val="00DE7DA6"/>
    <w:rsid w:val="00DE7E63"/>
    <w:rsid w:val="00DF0275"/>
    <w:rsid w:val="00DF05F1"/>
    <w:rsid w:val="00DF0E50"/>
    <w:rsid w:val="00DF0FFB"/>
    <w:rsid w:val="00DF17DA"/>
    <w:rsid w:val="00DF1B68"/>
    <w:rsid w:val="00DF2252"/>
    <w:rsid w:val="00DF2613"/>
    <w:rsid w:val="00DF3121"/>
    <w:rsid w:val="00DF3197"/>
    <w:rsid w:val="00DF3C99"/>
    <w:rsid w:val="00DF3F6E"/>
    <w:rsid w:val="00DF4A24"/>
    <w:rsid w:val="00DF4DB3"/>
    <w:rsid w:val="00DF5E4F"/>
    <w:rsid w:val="00DF5F77"/>
    <w:rsid w:val="00DF61D7"/>
    <w:rsid w:val="00DF6968"/>
    <w:rsid w:val="00DF6AC7"/>
    <w:rsid w:val="00DF7114"/>
    <w:rsid w:val="00DF735C"/>
    <w:rsid w:val="00DF73A6"/>
    <w:rsid w:val="00DF746C"/>
    <w:rsid w:val="00DF7785"/>
    <w:rsid w:val="00DF7A96"/>
    <w:rsid w:val="00DF7BF0"/>
    <w:rsid w:val="00DF7FE2"/>
    <w:rsid w:val="00E006EB"/>
    <w:rsid w:val="00E00C91"/>
    <w:rsid w:val="00E00F39"/>
    <w:rsid w:val="00E01759"/>
    <w:rsid w:val="00E01AF8"/>
    <w:rsid w:val="00E01B99"/>
    <w:rsid w:val="00E025CB"/>
    <w:rsid w:val="00E03499"/>
    <w:rsid w:val="00E035C1"/>
    <w:rsid w:val="00E038CC"/>
    <w:rsid w:val="00E03B40"/>
    <w:rsid w:val="00E0469A"/>
    <w:rsid w:val="00E0487B"/>
    <w:rsid w:val="00E057B3"/>
    <w:rsid w:val="00E057C4"/>
    <w:rsid w:val="00E058FD"/>
    <w:rsid w:val="00E06166"/>
    <w:rsid w:val="00E0695D"/>
    <w:rsid w:val="00E06C60"/>
    <w:rsid w:val="00E06F33"/>
    <w:rsid w:val="00E07021"/>
    <w:rsid w:val="00E07583"/>
    <w:rsid w:val="00E07BFF"/>
    <w:rsid w:val="00E100E5"/>
    <w:rsid w:val="00E104C9"/>
    <w:rsid w:val="00E10837"/>
    <w:rsid w:val="00E108D8"/>
    <w:rsid w:val="00E10999"/>
    <w:rsid w:val="00E10A5F"/>
    <w:rsid w:val="00E10B4F"/>
    <w:rsid w:val="00E1274E"/>
    <w:rsid w:val="00E12D0F"/>
    <w:rsid w:val="00E12E4A"/>
    <w:rsid w:val="00E130FC"/>
    <w:rsid w:val="00E13BFD"/>
    <w:rsid w:val="00E13CAA"/>
    <w:rsid w:val="00E14715"/>
    <w:rsid w:val="00E148F7"/>
    <w:rsid w:val="00E1522A"/>
    <w:rsid w:val="00E154DB"/>
    <w:rsid w:val="00E15A65"/>
    <w:rsid w:val="00E1613F"/>
    <w:rsid w:val="00E170E2"/>
    <w:rsid w:val="00E170FA"/>
    <w:rsid w:val="00E173B1"/>
    <w:rsid w:val="00E173F6"/>
    <w:rsid w:val="00E17FBE"/>
    <w:rsid w:val="00E20C07"/>
    <w:rsid w:val="00E21161"/>
    <w:rsid w:val="00E211FF"/>
    <w:rsid w:val="00E21261"/>
    <w:rsid w:val="00E21674"/>
    <w:rsid w:val="00E21B55"/>
    <w:rsid w:val="00E21E00"/>
    <w:rsid w:val="00E21FB3"/>
    <w:rsid w:val="00E223E9"/>
    <w:rsid w:val="00E22834"/>
    <w:rsid w:val="00E23158"/>
    <w:rsid w:val="00E232DA"/>
    <w:rsid w:val="00E23827"/>
    <w:rsid w:val="00E23CA1"/>
    <w:rsid w:val="00E244EB"/>
    <w:rsid w:val="00E252A5"/>
    <w:rsid w:val="00E252E2"/>
    <w:rsid w:val="00E2550C"/>
    <w:rsid w:val="00E259E0"/>
    <w:rsid w:val="00E26010"/>
    <w:rsid w:val="00E260F0"/>
    <w:rsid w:val="00E26444"/>
    <w:rsid w:val="00E268B2"/>
    <w:rsid w:val="00E26BC7"/>
    <w:rsid w:val="00E26C92"/>
    <w:rsid w:val="00E26E4B"/>
    <w:rsid w:val="00E27124"/>
    <w:rsid w:val="00E27959"/>
    <w:rsid w:val="00E27E85"/>
    <w:rsid w:val="00E27ED0"/>
    <w:rsid w:val="00E303E9"/>
    <w:rsid w:val="00E3079A"/>
    <w:rsid w:val="00E30B8C"/>
    <w:rsid w:val="00E314B5"/>
    <w:rsid w:val="00E31549"/>
    <w:rsid w:val="00E31A97"/>
    <w:rsid w:val="00E321F9"/>
    <w:rsid w:val="00E323B1"/>
    <w:rsid w:val="00E323EC"/>
    <w:rsid w:val="00E328D5"/>
    <w:rsid w:val="00E32FE9"/>
    <w:rsid w:val="00E3312A"/>
    <w:rsid w:val="00E34359"/>
    <w:rsid w:val="00E34959"/>
    <w:rsid w:val="00E3546E"/>
    <w:rsid w:val="00E361EA"/>
    <w:rsid w:val="00E367AF"/>
    <w:rsid w:val="00E36AA6"/>
    <w:rsid w:val="00E3711D"/>
    <w:rsid w:val="00E3730F"/>
    <w:rsid w:val="00E37698"/>
    <w:rsid w:val="00E40231"/>
    <w:rsid w:val="00E407C1"/>
    <w:rsid w:val="00E409D1"/>
    <w:rsid w:val="00E41228"/>
    <w:rsid w:val="00E416F5"/>
    <w:rsid w:val="00E42680"/>
    <w:rsid w:val="00E42A0B"/>
    <w:rsid w:val="00E42CEE"/>
    <w:rsid w:val="00E4368B"/>
    <w:rsid w:val="00E43B8E"/>
    <w:rsid w:val="00E43CF1"/>
    <w:rsid w:val="00E44797"/>
    <w:rsid w:val="00E447BA"/>
    <w:rsid w:val="00E448D7"/>
    <w:rsid w:val="00E44C81"/>
    <w:rsid w:val="00E44CF4"/>
    <w:rsid w:val="00E44DC9"/>
    <w:rsid w:val="00E45550"/>
    <w:rsid w:val="00E458CB"/>
    <w:rsid w:val="00E4597E"/>
    <w:rsid w:val="00E45D80"/>
    <w:rsid w:val="00E46280"/>
    <w:rsid w:val="00E47778"/>
    <w:rsid w:val="00E47D1C"/>
    <w:rsid w:val="00E5059B"/>
    <w:rsid w:val="00E50D9C"/>
    <w:rsid w:val="00E50F6B"/>
    <w:rsid w:val="00E513AC"/>
    <w:rsid w:val="00E513D2"/>
    <w:rsid w:val="00E51902"/>
    <w:rsid w:val="00E522AE"/>
    <w:rsid w:val="00E5242F"/>
    <w:rsid w:val="00E52680"/>
    <w:rsid w:val="00E52821"/>
    <w:rsid w:val="00E5317D"/>
    <w:rsid w:val="00E535D9"/>
    <w:rsid w:val="00E53AE6"/>
    <w:rsid w:val="00E541E3"/>
    <w:rsid w:val="00E542DE"/>
    <w:rsid w:val="00E54460"/>
    <w:rsid w:val="00E547D7"/>
    <w:rsid w:val="00E5484E"/>
    <w:rsid w:val="00E54C0D"/>
    <w:rsid w:val="00E54C5F"/>
    <w:rsid w:val="00E5661C"/>
    <w:rsid w:val="00E573FB"/>
    <w:rsid w:val="00E5756D"/>
    <w:rsid w:val="00E5768A"/>
    <w:rsid w:val="00E578A8"/>
    <w:rsid w:val="00E60896"/>
    <w:rsid w:val="00E61695"/>
    <w:rsid w:val="00E61ADA"/>
    <w:rsid w:val="00E61BB2"/>
    <w:rsid w:val="00E61C28"/>
    <w:rsid w:val="00E61F80"/>
    <w:rsid w:val="00E62392"/>
    <w:rsid w:val="00E62698"/>
    <w:rsid w:val="00E627AE"/>
    <w:rsid w:val="00E62963"/>
    <w:rsid w:val="00E62F8E"/>
    <w:rsid w:val="00E63848"/>
    <w:rsid w:val="00E63D02"/>
    <w:rsid w:val="00E63E24"/>
    <w:rsid w:val="00E64375"/>
    <w:rsid w:val="00E64422"/>
    <w:rsid w:val="00E644D5"/>
    <w:rsid w:val="00E6590D"/>
    <w:rsid w:val="00E65E6F"/>
    <w:rsid w:val="00E667C8"/>
    <w:rsid w:val="00E66983"/>
    <w:rsid w:val="00E66DE5"/>
    <w:rsid w:val="00E67692"/>
    <w:rsid w:val="00E67760"/>
    <w:rsid w:val="00E67A23"/>
    <w:rsid w:val="00E7019C"/>
    <w:rsid w:val="00E70A1D"/>
    <w:rsid w:val="00E70FCF"/>
    <w:rsid w:val="00E710A1"/>
    <w:rsid w:val="00E717DA"/>
    <w:rsid w:val="00E720C2"/>
    <w:rsid w:val="00E723E7"/>
    <w:rsid w:val="00E72404"/>
    <w:rsid w:val="00E7261C"/>
    <w:rsid w:val="00E727DF"/>
    <w:rsid w:val="00E732CB"/>
    <w:rsid w:val="00E73BE9"/>
    <w:rsid w:val="00E73E52"/>
    <w:rsid w:val="00E7418B"/>
    <w:rsid w:val="00E746E9"/>
    <w:rsid w:val="00E74F6A"/>
    <w:rsid w:val="00E75432"/>
    <w:rsid w:val="00E75DB2"/>
    <w:rsid w:val="00E761CD"/>
    <w:rsid w:val="00E7623E"/>
    <w:rsid w:val="00E7645B"/>
    <w:rsid w:val="00E76ECA"/>
    <w:rsid w:val="00E77B5C"/>
    <w:rsid w:val="00E77CEB"/>
    <w:rsid w:val="00E8007A"/>
    <w:rsid w:val="00E80B9C"/>
    <w:rsid w:val="00E8159F"/>
    <w:rsid w:val="00E817CA"/>
    <w:rsid w:val="00E81AAA"/>
    <w:rsid w:val="00E82377"/>
    <w:rsid w:val="00E82643"/>
    <w:rsid w:val="00E827CA"/>
    <w:rsid w:val="00E82D15"/>
    <w:rsid w:val="00E82ECF"/>
    <w:rsid w:val="00E832B8"/>
    <w:rsid w:val="00E834F3"/>
    <w:rsid w:val="00E8396D"/>
    <w:rsid w:val="00E83D27"/>
    <w:rsid w:val="00E83D7D"/>
    <w:rsid w:val="00E84146"/>
    <w:rsid w:val="00E84164"/>
    <w:rsid w:val="00E84CDF"/>
    <w:rsid w:val="00E84FAA"/>
    <w:rsid w:val="00E8547E"/>
    <w:rsid w:val="00E8576C"/>
    <w:rsid w:val="00E85A42"/>
    <w:rsid w:val="00E85D96"/>
    <w:rsid w:val="00E861A0"/>
    <w:rsid w:val="00E86886"/>
    <w:rsid w:val="00E86B2B"/>
    <w:rsid w:val="00E86D12"/>
    <w:rsid w:val="00E86E21"/>
    <w:rsid w:val="00E879AE"/>
    <w:rsid w:val="00E87BEF"/>
    <w:rsid w:val="00E87D5D"/>
    <w:rsid w:val="00E90479"/>
    <w:rsid w:val="00E904FE"/>
    <w:rsid w:val="00E90531"/>
    <w:rsid w:val="00E91286"/>
    <w:rsid w:val="00E913C2"/>
    <w:rsid w:val="00E91EFA"/>
    <w:rsid w:val="00E92469"/>
    <w:rsid w:val="00E928C1"/>
    <w:rsid w:val="00E928D7"/>
    <w:rsid w:val="00E92D98"/>
    <w:rsid w:val="00E9322F"/>
    <w:rsid w:val="00E93D5D"/>
    <w:rsid w:val="00E93E3B"/>
    <w:rsid w:val="00E93F70"/>
    <w:rsid w:val="00E9406A"/>
    <w:rsid w:val="00E94BE1"/>
    <w:rsid w:val="00E94E84"/>
    <w:rsid w:val="00E950A2"/>
    <w:rsid w:val="00E950E4"/>
    <w:rsid w:val="00E95117"/>
    <w:rsid w:val="00E95C92"/>
    <w:rsid w:val="00E95E4C"/>
    <w:rsid w:val="00E965D6"/>
    <w:rsid w:val="00E968D8"/>
    <w:rsid w:val="00E975C4"/>
    <w:rsid w:val="00E97633"/>
    <w:rsid w:val="00E97C63"/>
    <w:rsid w:val="00E97FE4"/>
    <w:rsid w:val="00EA0940"/>
    <w:rsid w:val="00EA11AE"/>
    <w:rsid w:val="00EA15D3"/>
    <w:rsid w:val="00EA1C42"/>
    <w:rsid w:val="00EA2964"/>
    <w:rsid w:val="00EA2A12"/>
    <w:rsid w:val="00EA2FB5"/>
    <w:rsid w:val="00EA334A"/>
    <w:rsid w:val="00EA3811"/>
    <w:rsid w:val="00EA38CB"/>
    <w:rsid w:val="00EA3B01"/>
    <w:rsid w:val="00EA3D2F"/>
    <w:rsid w:val="00EA415E"/>
    <w:rsid w:val="00EA46F8"/>
    <w:rsid w:val="00EA4A48"/>
    <w:rsid w:val="00EA4AA1"/>
    <w:rsid w:val="00EA67D6"/>
    <w:rsid w:val="00EA6DB4"/>
    <w:rsid w:val="00EA6E13"/>
    <w:rsid w:val="00EA6EF2"/>
    <w:rsid w:val="00EA7226"/>
    <w:rsid w:val="00EA744E"/>
    <w:rsid w:val="00EA7AA1"/>
    <w:rsid w:val="00EB0477"/>
    <w:rsid w:val="00EB1012"/>
    <w:rsid w:val="00EB15E2"/>
    <w:rsid w:val="00EB19D5"/>
    <w:rsid w:val="00EB1A59"/>
    <w:rsid w:val="00EB2B06"/>
    <w:rsid w:val="00EB2BF2"/>
    <w:rsid w:val="00EB303A"/>
    <w:rsid w:val="00EB326D"/>
    <w:rsid w:val="00EB43F2"/>
    <w:rsid w:val="00EB475D"/>
    <w:rsid w:val="00EB4771"/>
    <w:rsid w:val="00EB4DF8"/>
    <w:rsid w:val="00EB4E4B"/>
    <w:rsid w:val="00EB54AF"/>
    <w:rsid w:val="00EB5B0B"/>
    <w:rsid w:val="00EB5B9B"/>
    <w:rsid w:val="00EB63D8"/>
    <w:rsid w:val="00EB68F2"/>
    <w:rsid w:val="00EB6D06"/>
    <w:rsid w:val="00EB70F7"/>
    <w:rsid w:val="00EB73C9"/>
    <w:rsid w:val="00EB7449"/>
    <w:rsid w:val="00EB77E4"/>
    <w:rsid w:val="00EC011F"/>
    <w:rsid w:val="00EC0836"/>
    <w:rsid w:val="00EC1A3D"/>
    <w:rsid w:val="00EC26A0"/>
    <w:rsid w:val="00EC285D"/>
    <w:rsid w:val="00EC2C2B"/>
    <w:rsid w:val="00EC35D4"/>
    <w:rsid w:val="00EC3AEA"/>
    <w:rsid w:val="00EC3FA0"/>
    <w:rsid w:val="00EC46B3"/>
    <w:rsid w:val="00EC47B2"/>
    <w:rsid w:val="00EC60F1"/>
    <w:rsid w:val="00EC6315"/>
    <w:rsid w:val="00EC684F"/>
    <w:rsid w:val="00EC729D"/>
    <w:rsid w:val="00EC7365"/>
    <w:rsid w:val="00EC743F"/>
    <w:rsid w:val="00EC75F5"/>
    <w:rsid w:val="00EC7BCD"/>
    <w:rsid w:val="00ED07F5"/>
    <w:rsid w:val="00ED08EC"/>
    <w:rsid w:val="00ED0AAB"/>
    <w:rsid w:val="00ED0BAD"/>
    <w:rsid w:val="00ED0D85"/>
    <w:rsid w:val="00ED0F82"/>
    <w:rsid w:val="00ED135D"/>
    <w:rsid w:val="00ED13DE"/>
    <w:rsid w:val="00ED1455"/>
    <w:rsid w:val="00ED1ED0"/>
    <w:rsid w:val="00ED2963"/>
    <w:rsid w:val="00ED29F4"/>
    <w:rsid w:val="00ED2AC7"/>
    <w:rsid w:val="00ED2B58"/>
    <w:rsid w:val="00ED2FF8"/>
    <w:rsid w:val="00ED313B"/>
    <w:rsid w:val="00ED32FF"/>
    <w:rsid w:val="00ED395E"/>
    <w:rsid w:val="00ED3CD7"/>
    <w:rsid w:val="00ED408E"/>
    <w:rsid w:val="00ED4199"/>
    <w:rsid w:val="00ED5500"/>
    <w:rsid w:val="00ED55DF"/>
    <w:rsid w:val="00ED5DFC"/>
    <w:rsid w:val="00ED6DBD"/>
    <w:rsid w:val="00ED6ED1"/>
    <w:rsid w:val="00ED700B"/>
    <w:rsid w:val="00ED73A8"/>
    <w:rsid w:val="00ED7556"/>
    <w:rsid w:val="00ED7627"/>
    <w:rsid w:val="00ED78F2"/>
    <w:rsid w:val="00ED7CF1"/>
    <w:rsid w:val="00EE003C"/>
    <w:rsid w:val="00EE00E0"/>
    <w:rsid w:val="00EE0128"/>
    <w:rsid w:val="00EE0654"/>
    <w:rsid w:val="00EE07A9"/>
    <w:rsid w:val="00EE0DB0"/>
    <w:rsid w:val="00EE0F0A"/>
    <w:rsid w:val="00EE1678"/>
    <w:rsid w:val="00EE1D1A"/>
    <w:rsid w:val="00EE1DF3"/>
    <w:rsid w:val="00EE212E"/>
    <w:rsid w:val="00EE2D1D"/>
    <w:rsid w:val="00EE38CD"/>
    <w:rsid w:val="00EE3B0B"/>
    <w:rsid w:val="00EE3C74"/>
    <w:rsid w:val="00EE3C94"/>
    <w:rsid w:val="00EE54EE"/>
    <w:rsid w:val="00EE7980"/>
    <w:rsid w:val="00EF001C"/>
    <w:rsid w:val="00EF01BE"/>
    <w:rsid w:val="00EF10C5"/>
    <w:rsid w:val="00EF1A8B"/>
    <w:rsid w:val="00EF1EBA"/>
    <w:rsid w:val="00EF205B"/>
    <w:rsid w:val="00EF264C"/>
    <w:rsid w:val="00EF2701"/>
    <w:rsid w:val="00EF3190"/>
    <w:rsid w:val="00EF32EB"/>
    <w:rsid w:val="00EF3462"/>
    <w:rsid w:val="00EF3CC9"/>
    <w:rsid w:val="00EF4E3E"/>
    <w:rsid w:val="00EF53E6"/>
    <w:rsid w:val="00EF59B2"/>
    <w:rsid w:val="00EF59CB"/>
    <w:rsid w:val="00EF5AFF"/>
    <w:rsid w:val="00EF5E32"/>
    <w:rsid w:val="00EF5F12"/>
    <w:rsid w:val="00EF63C3"/>
    <w:rsid w:val="00EF648E"/>
    <w:rsid w:val="00EF6509"/>
    <w:rsid w:val="00EF6579"/>
    <w:rsid w:val="00EF6752"/>
    <w:rsid w:val="00EF6C0B"/>
    <w:rsid w:val="00EF7A63"/>
    <w:rsid w:val="00EF7BE1"/>
    <w:rsid w:val="00EF7EE1"/>
    <w:rsid w:val="00F0006F"/>
    <w:rsid w:val="00F00DE0"/>
    <w:rsid w:val="00F019C4"/>
    <w:rsid w:val="00F026A0"/>
    <w:rsid w:val="00F026DB"/>
    <w:rsid w:val="00F02F2E"/>
    <w:rsid w:val="00F039B8"/>
    <w:rsid w:val="00F04CED"/>
    <w:rsid w:val="00F04EAC"/>
    <w:rsid w:val="00F0518C"/>
    <w:rsid w:val="00F051D6"/>
    <w:rsid w:val="00F05297"/>
    <w:rsid w:val="00F05442"/>
    <w:rsid w:val="00F05902"/>
    <w:rsid w:val="00F05D7C"/>
    <w:rsid w:val="00F060F9"/>
    <w:rsid w:val="00F063A6"/>
    <w:rsid w:val="00F0640A"/>
    <w:rsid w:val="00F0661C"/>
    <w:rsid w:val="00F06B7A"/>
    <w:rsid w:val="00F06BF0"/>
    <w:rsid w:val="00F06D15"/>
    <w:rsid w:val="00F06DEB"/>
    <w:rsid w:val="00F06FDB"/>
    <w:rsid w:val="00F07558"/>
    <w:rsid w:val="00F0758C"/>
    <w:rsid w:val="00F0762D"/>
    <w:rsid w:val="00F076B6"/>
    <w:rsid w:val="00F07771"/>
    <w:rsid w:val="00F079C8"/>
    <w:rsid w:val="00F07CF3"/>
    <w:rsid w:val="00F10391"/>
    <w:rsid w:val="00F10978"/>
    <w:rsid w:val="00F10F32"/>
    <w:rsid w:val="00F10FA6"/>
    <w:rsid w:val="00F112AE"/>
    <w:rsid w:val="00F12200"/>
    <w:rsid w:val="00F1227D"/>
    <w:rsid w:val="00F1233B"/>
    <w:rsid w:val="00F12431"/>
    <w:rsid w:val="00F12EFB"/>
    <w:rsid w:val="00F12FE6"/>
    <w:rsid w:val="00F1307B"/>
    <w:rsid w:val="00F137C8"/>
    <w:rsid w:val="00F14283"/>
    <w:rsid w:val="00F142A7"/>
    <w:rsid w:val="00F144ED"/>
    <w:rsid w:val="00F14512"/>
    <w:rsid w:val="00F14800"/>
    <w:rsid w:val="00F149CD"/>
    <w:rsid w:val="00F14C41"/>
    <w:rsid w:val="00F1502F"/>
    <w:rsid w:val="00F15095"/>
    <w:rsid w:val="00F1561D"/>
    <w:rsid w:val="00F15817"/>
    <w:rsid w:val="00F15D9E"/>
    <w:rsid w:val="00F162C7"/>
    <w:rsid w:val="00F16356"/>
    <w:rsid w:val="00F1645A"/>
    <w:rsid w:val="00F1675C"/>
    <w:rsid w:val="00F168E0"/>
    <w:rsid w:val="00F169B5"/>
    <w:rsid w:val="00F16E36"/>
    <w:rsid w:val="00F171C0"/>
    <w:rsid w:val="00F17715"/>
    <w:rsid w:val="00F200F6"/>
    <w:rsid w:val="00F2081F"/>
    <w:rsid w:val="00F20A99"/>
    <w:rsid w:val="00F216FB"/>
    <w:rsid w:val="00F2209A"/>
    <w:rsid w:val="00F22131"/>
    <w:rsid w:val="00F2266D"/>
    <w:rsid w:val="00F22834"/>
    <w:rsid w:val="00F228C0"/>
    <w:rsid w:val="00F23012"/>
    <w:rsid w:val="00F231DA"/>
    <w:rsid w:val="00F23C07"/>
    <w:rsid w:val="00F23C22"/>
    <w:rsid w:val="00F23CF9"/>
    <w:rsid w:val="00F2410A"/>
    <w:rsid w:val="00F24309"/>
    <w:rsid w:val="00F24404"/>
    <w:rsid w:val="00F2474C"/>
    <w:rsid w:val="00F24869"/>
    <w:rsid w:val="00F24BF8"/>
    <w:rsid w:val="00F24BFC"/>
    <w:rsid w:val="00F24EE3"/>
    <w:rsid w:val="00F2536F"/>
    <w:rsid w:val="00F253B6"/>
    <w:rsid w:val="00F256F5"/>
    <w:rsid w:val="00F25794"/>
    <w:rsid w:val="00F2586F"/>
    <w:rsid w:val="00F259D1"/>
    <w:rsid w:val="00F25D83"/>
    <w:rsid w:val="00F262C6"/>
    <w:rsid w:val="00F2630E"/>
    <w:rsid w:val="00F2643E"/>
    <w:rsid w:val="00F26487"/>
    <w:rsid w:val="00F27162"/>
    <w:rsid w:val="00F27454"/>
    <w:rsid w:val="00F27A82"/>
    <w:rsid w:val="00F302E7"/>
    <w:rsid w:val="00F303E4"/>
    <w:rsid w:val="00F30412"/>
    <w:rsid w:val="00F30D4F"/>
    <w:rsid w:val="00F30E4A"/>
    <w:rsid w:val="00F311C1"/>
    <w:rsid w:val="00F3129A"/>
    <w:rsid w:val="00F31838"/>
    <w:rsid w:val="00F31A60"/>
    <w:rsid w:val="00F31D57"/>
    <w:rsid w:val="00F31DB5"/>
    <w:rsid w:val="00F31F5C"/>
    <w:rsid w:val="00F32672"/>
    <w:rsid w:val="00F32677"/>
    <w:rsid w:val="00F32979"/>
    <w:rsid w:val="00F33168"/>
    <w:rsid w:val="00F34156"/>
    <w:rsid w:val="00F347D3"/>
    <w:rsid w:val="00F34CA6"/>
    <w:rsid w:val="00F35178"/>
    <w:rsid w:val="00F35362"/>
    <w:rsid w:val="00F358C7"/>
    <w:rsid w:val="00F36C2F"/>
    <w:rsid w:val="00F37B5D"/>
    <w:rsid w:val="00F40389"/>
    <w:rsid w:val="00F40C43"/>
    <w:rsid w:val="00F40ECF"/>
    <w:rsid w:val="00F40F26"/>
    <w:rsid w:val="00F4198F"/>
    <w:rsid w:val="00F41B00"/>
    <w:rsid w:val="00F41D4E"/>
    <w:rsid w:val="00F4259E"/>
    <w:rsid w:val="00F42849"/>
    <w:rsid w:val="00F4289C"/>
    <w:rsid w:val="00F42ACA"/>
    <w:rsid w:val="00F42F01"/>
    <w:rsid w:val="00F430A3"/>
    <w:rsid w:val="00F4312E"/>
    <w:rsid w:val="00F4315D"/>
    <w:rsid w:val="00F43298"/>
    <w:rsid w:val="00F43426"/>
    <w:rsid w:val="00F44526"/>
    <w:rsid w:val="00F44E12"/>
    <w:rsid w:val="00F4557A"/>
    <w:rsid w:val="00F45D07"/>
    <w:rsid w:val="00F46EAF"/>
    <w:rsid w:val="00F474FA"/>
    <w:rsid w:val="00F503F2"/>
    <w:rsid w:val="00F50791"/>
    <w:rsid w:val="00F50931"/>
    <w:rsid w:val="00F50B1D"/>
    <w:rsid w:val="00F50D4E"/>
    <w:rsid w:val="00F51A69"/>
    <w:rsid w:val="00F52197"/>
    <w:rsid w:val="00F52747"/>
    <w:rsid w:val="00F52D15"/>
    <w:rsid w:val="00F53199"/>
    <w:rsid w:val="00F5346D"/>
    <w:rsid w:val="00F539AD"/>
    <w:rsid w:val="00F53CD6"/>
    <w:rsid w:val="00F54497"/>
    <w:rsid w:val="00F54860"/>
    <w:rsid w:val="00F54F26"/>
    <w:rsid w:val="00F5591D"/>
    <w:rsid w:val="00F559AD"/>
    <w:rsid w:val="00F55F9F"/>
    <w:rsid w:val="00F55FDF"/>
    <w:rsid w:val="00F5605D"/>
    <w:rsid w:val="00F5651A"/>
    <w:rsid w:val="00F56BCD"/>
    <w:rsid w:val="00F56C2E"/>
    <w:rsid w:val="00F57577"/>
    <w:rsid w:val="00F579AB"/>
    <w:rsid w:val="00F601D6"/>
    <w:rsid w:val="00F60A83"/>
    <w:rsid w:val="00F60AFB"/>
    <w:rsid w:val="00F60C3D"/>
    <w:rsid w:val="00F61296"/>
    <w:rsid w:val="00F6153F"/>
    <w:rsid w:val="00F616F4"/>
    <w:rsid w:val="00F61D10"/>
    <w:rsid w:val="00F61E40"/>
    <w:rsid w:val="00F62216"/>
    <w:rsid w:val="00F622C5"/>
    <w:rsid w:val="00F63155"/>
    <w:rsid w:val="00F63C0D"/>
    <w:rsid w:val="00F64198"/>
    <w:rsid w:val="00F6444A"/>
    <w:rsid w:val="00F64492"/>
    <w:rsid w:val="00F645B6"/>
    <w:rsid w:val="00F6497E"/>
    <w:rsid w:val="00F64EA7"/>
    <w:rsid w:val="00F64F46"/>
    <w:rsid w:val="00F6628A"/>
    <w:rsid w:val="00F66535"/>
    <w:rsid w:val="00F6666B"/>
    <w:rsid w:val="00F66E64"/>
    <w:rsid w:val="00F6716C"/>
    <w:rsid w:val="00F67352"/>
    <w:rsid w:val="00F701B5"/>
    <w:rsid w:val="00F708CB"/>
    <w:rsid w:val="00F70A4C"/>
    <w:rsid w:val="00F713C4"/>
    <w:rsid w:val="00F714CF"/>
    <w:rsid w:val="00F716F2"/>
    <w:rsid w:val="00F71785"/>
    <w:rsid w:val="00F71931"/>
    <w:rsid w:val="00F71B83"/>
    <w:rsid w:val="00F72246"/>
    <w:rsid w:val="00F72625"/>
    <w:rsid w:val="00F7269C"/>
    <w:rsid w:val="00F72DBB"/>
    <w:rsid w:val="00F72F28"/>
    <w:rsid w:val="00F7332F"/>
    <w:rsid w:val="00F736D9"/>
    <w:rsid w:val="00F73D95"/>
    <w:rsid w:val="00F73E65"/>
    <w:rsid w:val="00F73F71"/>
    <w:rsid w:val="00F74C54"/>
    <w:rsid w:val="00F7524E"/>
    <w:rsid w:val="00F75373"/>
    <w:rsid w:val="00F75883"/>
    <w:rsid w:val="00F77637"/>
    <w:rsid w:val="00F77669"/>
    <w:rsid w:val="00F80394"/>
    <w:rsid w:val="00F8074D"/>
    <w:rsid w:val="00F81077"/>
    <w:rsid w:val="00F81505"/>
    <w:rsid w:val="00F8162C"/>
    <w:rsid w:val="00F826E8"/>
    <w:rsid w:val="00F82924"/>
    <w:rsid w:val="00F829BA"/>
    <w:rsid w:val="00F82DF3"/>
    <w:rsid w:val="00F82E76"/>
    <w:rsid w:val="00F8302E"/>
    <w:rsid w:val="00F83080"/>
    <w:rsid w:val="00F83204"/>
    <w:rsid w:val="00F841D1"/>
    <w:rsid w:val="00F843BF"/>
    <w:rsid w:val="00F84683"/>
    <w:rsid w:val="00F84795"/>
    <w:rsid w:val="00F84C62"/>
    <w:rsid w:val="00F84DC9"/>
    <w:rsid w:val="00F853CD"/>
    <w:rsid w:val="00F8574F"/>
    <w:rsid w:val="00F8588C"/>
    <w:rsid w:val="00F85981"/>
    <w:rsid w:val="00F85C41"/>
    <w:rsid w:val="00F8613A"/>
    <w:rsid w:val="00F866C4"/>
    <w:rsid w:val="00F86704"/>
    <w:rsid w:val="00F86F05"/>
    <w:rsid w:val="00F8787B"/>
    <w:rsid w:val="00F87B2E"/>
    <w:rsid w:val="00F87ED1"/>
    <w:rsid w:val="00F90B3C"/>
    <w:rsid w:val="00F913AA"/>
    <w:rsid w:val="00F91A45"/>
    <w:rsid w:val="00F92738"/>
    <w:rsid w:val="00F92EF3"/>
    <w:rsid w:val="00F934D8"/>
    <w:rsid w:val="00F93515"/>
    <w:rsid w:val="00F93664"/>
    <w:rsid w:val="00F9368E"/>
    <w:rsid w:val="00F939B5"/>
    <w:rsid w:val="00F942BD"/>
    <w:rsid w:val="00F94381"/>
    <w:rsid w:val="00F95770"/>
    <w:rsid w:val="00F95A03"/>
    <w:rsid w:val="00F95FF9"/>
    <w:rsid w:val="00F965EB"/>
    <w:rsid w:val="00F966E8"/>
    <w:rsid w:val="00F96B34"/>
    <w:rsid w:val="00F96B67"/>
    <w:rsid w:val="00F978FC"/>
    <w:rsid w:val="00F9798C"/>
    <w:rsid w:val="00FA04EF"/>
    <w:rsid w:val="00FA0566"/>
    <w:rsid w:val="00FA0911"/>
    <w:rsid w:val="00FA0B02"/>
    <w:rsid w:val="00FA12E7"/>
    <w:rsid w:val="00FA1CF2"/>
    <w:rsid w:val="00FA258F"/>
    <w:rsid w:val="00FA289A"/>
    <w:rsid w:val="00FA2CB5"/>
    <w:rsid w:val="00FA302F"/>
    <w:rsid w:val="00FA3136"/>
    <w:rsid w:val="00FA327D"/>
    <w:rsid w:val="00FA36C6"/>
    <w:rsid w:val="00FA3B02"/>
    <w:rsid w:val="00FA4301"/>
    <w:rsid w:val="00FA4EA9"/>
    <w:rsid w:val="00FA5418"/>
    <w:rsid w:val="00FA55F1"/>
    <w:rsid w:val="00FA5C4D"/>
    <w:rsid w:val="00FA5CFE"/>
    <w:rsid w:val="00FA6071"/>
    <w:rsid w:val="00FA626E"/>
    <w:rsid w:val="00FA7A79"/>
    <w:rsid w:val="00FB0130"/>
    <w:rsid w:val="00FB056D"/>
    <w:rsid w:val="00FB067C"/>
    <w:rsid w:val="00FB06E8"/>
    <w:rsid w:val="00FB0D05"/>
    <w:rsid w:val="00FB0D20"/>
    <w:rsid w:val="00FB1090"/>
    <w:rsid w:val="00FB13E2"/>
    <w:rsid w:val="00FB1652"/>
    <w:rsid w:val="00FB1BDD"/>
    <w:rsid w:val="00FB2146"/>
    <w:rsid w:val="00FB2A85"/>
    <w:rsid w:val="00FB2C27"/>
    <w:rsid w:val="00FB2D23"/>
    <w:rsid w:val="00FB3154"/>
    <w:rsid w:val="00FB37B4"/>
    <w:rsid w:val="00FB3CB9"/>
    <w:rsid w:val="00FB4AA1"/>
    <w:rsid w:val="00FB4D9D"/>
    <w:rsid w:val="00FB4DED"/>
    <w:rsid w:val="00FB4FA6"/>
    <w:rsid w:val="00FB5373"/>
    <w:rsid w:val="00FB5B43"/>
    <w:rsid w:val="00FB5C69"/>
    <w:rsid w:val="00FB5CDC"/>
    <w:rsid w:val="00FB610C"/>
    <w:rsid w:val="00FB6233"/>
    <w:rsid w:val="00FB75DE"/>
    <w:rsid w:val="00FB7BFC"/>
    <w:rsid w:val="00FC00F0"/>
    <w:rsid w:val="00FC01B8"/>
    <w:rsid w:val="00FC0271"/>
    <w:rsid w:val="00FC0338"/>
    <w:rsid w:val="00FC0B30"/>
    <w:rsid w:val="00FC0B99"/>
    <w:rsid w:val="00FC0D49"/>
    <w:rsid w:val="00FC203A"/>
    <w:rsid w:val="00FC2652"/>
    <w:rsid w:val="00FC28CC"/>
    <w:rsid w:val="00FC2CC6"/>
    <w:rsid w:val="00FC2FFE"/>
    <w:rsid w:val="00FC357B"/>
    <w:rsid w:val="00FC3C2A"/>
    <w:rsid w:val="00FC3E3F"/>
    <w:rsid w:val="00FC44EE"/>
    <w:rsid w:val="00FC4646"/>
    <w:rsid w:val="00FC4B4B"/>
    <w:rsid w:val="00FC50D4"/>
    <w:rsid w:val="00FC59AC"/>
    <w:rsid w:val="00FC630E"/>
    <w:rsid w:val="00FC69DB"/>
    <w:rsid w:val="00FC6E5C"/>
    <w:rsid w:val="00FC70B9"/>
    <w:rsid w:val="00FC7C59"/>
    <w:rsid w:val="00FD0138"/>
    <w:rsid w:val="00FD020E"/>
    <w:rsid w:val="00FD04CA"/>
    <w:rsid w:val="00FD0561"/>
    <w:rsid w:val="00FD0656"/>
    <w:rsid w:val="00FD0BA7"/>
    <w:rsid w:val="00FD0F32"/>
    <w:rsid w:val="00FD10C8"/>
    <w:rsid w:val="00FD1202"/>
    <w:rsid w:val="00FD1596"/>
    <w:rsid w:val="00FD1968"/>
    <w:rsid w:val="00FD1C58"/>
    <w:rsid w:val="00FD219F"/>
    <w:rsid w:val="00FD2639"/>
    <w:rsid w:val="00FD27FE"/>
    <w:rsid w:val="00FD2FCB"/>
    <w:rsid w:val="00FD34C1"/>
    <w:rsid w:val="00FD3604"/>
    <w:rsid w:val="00FD3656"/>
    <w:rsid w:val="00FD365A"/>
    <w:rsid w:val="00FD3B28"/>
    <w:rsid w:val="00FD3F9B"/>
    <w:rsid w:val="00FD4024"/>
    <w:rsid w:val="00FD47C1"/>
    <w:rsid w:val="00FD4AD6"/>
    <w:rsid w:val="00FD4E2B"/>
    <w:rsid w:val="00FD50F8"/>
    <w:rsid w:val="00FD60BD"/>
    <w:rsid w:val="00FD65B6"/>
    <w:rsid w:val="00FD67DA"/>
    <w:rsid w:val="00FD6B85"/>
    <w:rsid w:val="00FD6BC2"/>
    <w:rsid w:val="00FD6CA0"/>
    <w:rsid w:val="00FD7595"/>
    <w:rsid w:val="00FD7628"/>
    <w:rsid w:val="00FD78EE"/>
    <w:rsid w:val="00FD7A31"/>
    <w:rsid w:val="00FE0870"/>
    <w:rsid w:val="00FE0E14"/>
    <w:rsid w:val="00FE199D"/>
    <w:rsid w:val="00FE1D83"/>
    <w:rsid w:val="00FE2067"/>
    <w:rsid w:val="00FE2848"/>
    <w:rsid w:val="00FE2B40"/>
    <w:rsid w:val="00FE3811"/>
    <w:rsid w:val="00FE3837"/>
    <w:rsid w:val="00FE38E1"/>
    <w:rsid w:val="00FE3916"/>
    <w:rsid w:val="00FE4322"/>
    <w:rsid w:val="00FE4D25"/>
    <w:rsid w:val="00FE5AFD"/>
    <w:rsid w:val="00FE5D2D"/>
    <w:rsid w:val="00FE6B5B"/>
    <w:rsid w:val="00FE6B94"/>
    <w:rsid w:val="00FE7414"/>
    <w:rsid w:val="00FE741D"/>
    <w:rsid w:val="00FE7A9B"/>
    <w:rsid w:val="00FF03AB"/>
    <w:rsid w:val="00FF0AE5"/>
    <w:rsid w:val="00FF0E00"/>
    <w:rsid w:val="00FF1878"/>
    <w:rsid w:val="00FF18F2"/>
    <w:rsid w:val="00FF2B9D"/>
    <w:rsid w:val="00FF2D44"/>
    <w:rsid w:val="00FF2F06"/>
    <w:rsid w:val="00FF2F79"/>
    <w:rsid w:val="00FF315C"/>
    <w:rsid w:val="00FF3245"/>
    <w:rsid w:val="00FF3993"/>
    <w:rsid w:val="00FF3A39"/>
    <w:rsid w:val="00FF3B54"/>
    <w:rsid w:val="00FF3B77"/>
    <w:rsid w:val="00FF3DF8"/>
    <w:rsid w:val="00FF3F10"/>
    <w:rsid w:val="00FF41F5"/>
    <w:rsid w:val="00FF45DE"/>
    <w:rsid w:val="00FF4D63"/>
    <w:rsid w:val="00FF5306"/>
    <w:rsid w:val="00FF5CD1"/>
    <w:rsid w:val="00FF5F0C"/>
    <w:rsid w:val="00FF6080"/>
    <w:rsid w:val="00FF6565"/>
    <w:rsid w:val="00FF6591"/>
    <w:rsid w:val="00FF7A53"/>
    <w:rsid w:val="00FF7A7D"/>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6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46679F"/>
    <w:pPr>
      <w:keepNext/>
      <w:keepLines/>
      <w:outlineLvl w:val="3"/>
    </w:pPr>
    <w:rPr>
      <w:rFonts w:cs="Arial"/>
      <w:b/>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0603A2"/>
    <w:rPr>
      <w:rFonts w:cs="Arial"/>
      <w:b/>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qFormat/>
    <w:rsid w:val="00635EE5"/>
    <w:pPr>
      <w:framePr w:hSpace="180" w:wrap="around" w:vAnchor="text" w:hAnchor="margin" w:y="15"/>
      <w:numPr>
        <w:numId w:val="0"/>
      </w:numPr>
    </w:pPr>
  </w:style>
  <w:style w:type="character" w:customStyle="1" w:styleId="BulletChar">
    <w:name w:val="Bullet Char"/>
    <w:basedOn w:val="BulletsChar"/>
    <w:link w:val="Bullet"/>
    <w:rsid w:val="00635EE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pPr>
      <w:framePr w:wrap="around"/>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 w:type="character" w:customStyle="1" w:styleId="ck-blurred">
    <w:name w:val="ck-blurred"/>
    <w:basedOn w:val="DefaultParagraphFont"/>
    <w:rsid w:val="00E60896"/>
  </w:style>
  <w:style w:type="paragraph" w:customStyle="1" w:styleId="ck-placeholder">
    <w:name w:val="ck-placeholder"/>
    <w:basedOn w:val="Normal"/>
    <w:rsid w:val="00E60896"/>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28456058">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62022889">
      <w:bodyDiv w:val="1"/>
      <w:marLeft w:val="0"/>
      <w:marRight w:val="0"/>
      <w:marTop w:val="0"/>
      <w:marBottom w:val="0"/>
      <w:divBdr>
        <w:top w:val="none" w:sz="0" w:space="0" w:color="auto"/>
        <w:left w:val="none" w:sz="0" w:space="0" w:color="auto"/>
        <w:bottom w:val="none" w:sz="0" w:space="0" w:color="auto"/>
        <w:right w:val="none" w:sz="0" w:space="0" w:color="auto"/>
      </w:divBdr>
    </w:div>
    <w:div w:id="71202098">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53764589">
      <w:bodyDiv w:val="1"/>
      <w:marLeft w:val="0"/>
      <w:marRight w:val="0"/>
      <w:marTop w:val="0"/>
      <w:marBottom w:val="0"/>
      <w:divBdr>
        <w:top w:val="none" w:sz="0" w:space="0" w:color="auto"/>
        <w:left w:val="none" w:sz="0" w:space="0" w:color="auto"/>
        <w:bottom w:val="none" w:sz="0" w:space="0" w:color="auto"/>
        <w:right w:val="none" w:sz="0" w:space="0" w:color="auto"/>
      </w:divBdr>
    </w:div>
    <w:div w:id="159001815">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168522945">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64185238">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394596285">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463036996">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699360762">
      <w:bodyDiv w:val="1"/>
      <w:marLeft w:val="0"/>
      <w:marRight w:val="0"/>
      <w:marTop w:val="0"/>
      <w:marBottom w:val="0"/>
      <w:divBdr>
        <w:top w:val="none" w:sz="0" w:space="0" w:color="auto"/>
        <w:left w:val="none" w:sz="0" w:space="0" w:color="auto"/>
        <w:bottom w:val="none" w:sz="0" w:space="0" w:color="auto"/>
        <w:right w:val="none" w:sz="0" w:space="0" w:color="auto"/>
      </w:divBdr>
    </w:div>
    <w:div w:id="706639377">
      <w:bodyDiv w:val="1"/>
      <w:marLeft w:val="0"/>
      <w:marRight w:val="0"/>
      <w:marTop w:val="0"/>
      <w:marBottom w:val="0"/>
      <w:divBdr>
        <w:top w:val="none" w:sz="0" w:space="0" w:color="auto"/>
        <w:left w:val="none" w:sz="0" w:space="0" w:color="auto"/>
        <w:bottom w:val="none" w:sz="0" w:space="0" w:color="auto"/>
        <w:right w:val="none" w:sz="0" w:space="0" w:color="auto"/>
      </w:divBdr>
    </w:div>
    <w:div w:id="744258446">
      <w:bodyDiv w:val="1"/>
      <w:marLeft w:val="0"/>
      <w:marRight w:val="0"/>
      <w:marTop w:val="0"/>
      <w:marBottom w:val="0"/>
      <w:divBdr>
        <w:top w:val="none" w:sz="0" w:space="0" w:color="auto"/>
        <w:left w:val="none" w:sz="0" w:space="0" w:color="auto"/>
        <w:bottom w:val="none" w:sz="0" w:space="0" w:color="auto"/>
        <w:right w:val="none" w:sz="0" w:space="0" w:color="auto"/>
      </w:divBdr>
    </w:div>
    <w:div w:id="755134353">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867066006">
      <w:bodyDiv w:val="1"/>
      <w:marLeft w:val="0"/>
      <w:marRight w:val="0"/>
      <w:marTop w:val="0"/>
      <w:marBottom w:val="0"/>
      <w:divBdr>
        <w:top w:val="none" w:sz="0" w:space="0" w:color="auto"/>
        <w:left w:val="none" w:sz="0" w:space="0" w:color="auto"/>
        <w:bottom w:val="none" w:sz="0" w:space="0" w:color="auto"/>
        <w:right w:val="none" w:sz="0" w:space="0" w:color="auto"/>
      </w:divBdr>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4728632">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157957233">
      <w:bodyDiv w:val="1"/>
      <w:marLeft w:val="0"/>
      <w:marRight w:val="0"/>
      <w:marTop w:val="0"/>
      <w:marBottom w:val="0"/>
      <w:divBdr>
        <w:top w:val="none" w:sz="0" w:space="0" w:color="auto"/>
        <w:left w:val="none" w:sz="0" w:space="0" w:color="auto"/>
        <w:bottom w:val="none" w:sz="0" w:space="0" w:color="auto"/>
        <w:right w:val="none" w:sz="0" w:space="0" w:color="auto"/>
      </w:divBdr>
    </w:div>
    <w:div w:id="1161583011">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0186277">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368724">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52746660">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31545773">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7398413">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324413">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715807328">
      <w:bodyDiv w:val="1"/>
      <w:marLeft w:val="0"/>
      <w:marRight w:val="0"/>
      <w:marTop w:val="0"/>
      <w:marBottom w:val="0"/>
      <w:divBdr>
        <w:top w:val="none" w:sz="0" w:space="0" w:color="auto"/>
        <w:left w:val="none" w:sz="0" w:space="0" w:color="auto"/>
        <w:bottom w:val="none" w:sz="0" w:space="0" w:color="auto"/>
        <w:right w:val="none" w:sz="0" w:space="0" w:color="auto"/>
      </w:divBdr>
    </w:div>
    <w:div w:id="1868441223">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1990593617">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091465847">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36176528">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spi.spnet.local/policescotland/policing-our-communities/Documents/Vision%20and%20Plan/Three%20Year%20Business%20Plan.pdf" TargetMode="External"/><Relationship Id="rId42" Type="http://schemas.openxmlformats.org/officeDocument/2006/relationships/image" Target="media/image22.png"/><Relationship Id="rId47" Type="http://schemas.openxmlformats.org/officeDocument/2006/relationships/image" Target="media/image27.emf"/><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yperlink" Target="https://www.scotland.police.uk/about-us/how-we-do-it/our-2030-vision-and-three-year-plan/" TargetMode="Externa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customXml" Target="../customXml/item5.xml"/><Relationship Id="rId90" Type="http://schemas.openxmlformats.org/officeDocument/2006/relationships/image" Target="media/image70.png"/><Relationship Id="rId95" Type="http://schemas.openxmlformats.org/officeDocument/2006/relationships/header" Target="header2.xml"/><Relationship Id="rId22" Type="http://schemas.openxmlformats.org/officeDocument/2006/relationships/hyperlink" Target="https://www.gov.scot/publications/suspected-drug-deaths-scotland-october-december-2024/pages/1/" TargetMode="External"/><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yperlink" Target="https://www.scotland.police.uk/about-us/what-we-do/how-we-are-performing/"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scotland.police.uk/about-us/how-we-do-it/strategic-planning/"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phubs.spnet.local/sites/corporate-services/analysis-and-performance/apu-dalmarnock/APP%20DCC%20DCO%20Plans/2024-25/APP/Annual%20Police%20Plan%202024-25.pd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cid:image001.png@01DBAFB6.4F80A060"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hyperlink" Target="https://www.scotland.police.uk/about-us/what-we-do/how-we-are-performing/" TargetMode="External"/><Relationship Id="rId2" Type="http://schemas.openxmlformats.org/officeDocument/2006/relationships/customXml" Target="../customXml/item2.xml"/><Relationship Id="rId29" Type="http://schemas.openxmlformats.org/officeDocument/2006/relationships/hyperlink" Target="https://www.scotland.police.uk/about-us/how-we-do-it/stop-and-search/data-publication/" TargetMode="External"/><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3.png"/><Relationship Id="rId14" Type="http://schemas.openxmlformats.org/officeDocument/2006/relationships/hyperlink" Target="https://www.scotland.police.uk/spa-media/u55jyhyb/performance-framework-report-24-25.pdf"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hyperlink" Target="https://www.scotland.police.uk/about-us/what-we-do/how-we-are-performing/" TargetMode="External"/><Relationship Id="rId98" Type="http://schemas.openxmlformats.org/officeDocument/2006/relationships/header" Target="header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2.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4.xml><?xml version="1.0" encoding="utf-8"?>
<ds:datastoreItem xmlns:ds="http://schemas.openxmlformats.org/officeDocument/2006/customXml" ds:itemID="{CF009EF4-C31E-4EEB-BA94-5CFF95F929ED}">
  <ds:schemaRefs>
    <ds:schemaRef ds:uri="http://schemas.openxmlformats.org/package/2006/metadata/core-propertie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322eb64b-2ec8-46fd-817b-73c63f822af1"/>
    <ds:schemaRef ds:uri="http://schemas.microsoft.com/office/2006/documentManagement/types"/>
    <ds:schemaRef ds:uri="5ce8f9be-fcf3-483e-8aa2-da494d347403"/>
    <ds:schemaRef ds:uri="http://purl.org/dc/terms/"/>
  </ds:schemaRefs>
</ds:datastoreItem>
</file>

<file path=customXml/itemProps5.xml><?xml version="1.0" encoding="utf-8"?>
<ds:datastoreItem xmlns:ds="http://schemas.openxmlformats.org/officeDocument/2006/customXml" ds:itemID="{87187A1B-D0D5-4206-9FFA-D0CD18198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15158</Words>
  <Characters>86404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101360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2</cp:revision>
  <cp:lastPrinted>2021-07-13T13:57:00Z</cp:lastPrinted>
  <dcterms:created xsi:type="dcterms:W3CDTF">2025-06-03T09:35:00Z</dcterms:created>
  <dcterms:modified xsi:type="dcterms:W3CDTF">2025-06-03T09:35:00Z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