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A76F80">
              <w:t>0300</w:t>
            </w:r>
          </w:p>
          <w:p w:rsidR="00B17211" w:rsidRDefault="00456324" w:rsidP="006D5799">
            <w:r w:rsidRPr="007F490F">
              <w:rPr>
                <w:rStyle w:val="Heading2Char"/>
              </w:rPr>
              <w:t>Respon</w:t>
            </w:r>
            <w:r w:rsidR="007D55F6">
              <w:rPr>
                <w:rStyle w:val="Heading2Char"/>
              </w:rPr>
              <w:t>ded to:</w:t>
            </w:r>
            <w:r w:rsidR="007F490F">
              <w:t xml:space="preserve">  </w:t>
            </w:r>
            <w:r w:rsidR="00B17211">
              <w:t>xx</w:t>
            </w:r>
            <w:r w:rsidR="006D5799">
              <w:t xml:space="preserve"> February</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A76F80" w:rsidRPr="00C12C86" w:rsidRDefault="00A76F80" w:rsidP="004C495C">
      <w:pPr>
        <w:pStyle w:val="Heading2"/>
        <w:rPr>
          <w:rFonts w:eastAsia="Times New Roman"/>
        </w:rPr>
      </w:pPr>
      <w:r w:rsidRPr="00C12C86">
        <w:rPr>
          <w:rFonts w:eastAsia="Times New Roman"/>
        </w:rPr>
        <w:t>All information relating to traffic volumes, road traffic accidents, for road number A9 Perth to Inverness</w:t>
      </w:r>
      <w:r w:rsidR="00C12C86">
        <w:rPr>
          <w:rFonts w:eastAsia="Times New Roman"/>
        </w:rPr>
        <w:t>.</w:t>
      </w:r>
      <w:r w:rsidRPr="00C12C86">
        <w:rPr>
          <w:rFonts w:eastAsia="Times New Roman"/>
        </w:rPr>
        <w:t xml:space="preserve"> </w:t>
      </w:r>
      <w:r w:rsidR="001C749B">
        <w:rPr>
          <w:rFonts w:eastAsia="Times New Roman"/>
        </w:rPr>
        <w:t xml:space="preserve"> </w:t>
      </w:r>
      <w:r w:rsidRPr="00C12C86">
        <w:rPr>
          <w:rFonts w:eastAsia="Times New Roman"/>
        </w:rPr>
        <w:t>I would like to be provided with all reports from 2011 to 2022, by month, by year, relating to the above roads for the following</w:t>
      </w:r>
      <w:proofErr w:type="gramStart"/>
      <w:r w:rsidRPr="00C12C86">
        <w:rPr>
          <w:rFonts w:eastAsia="Times New Roman"/>
        </w:rPr>
        <w:t>:</w:t>
      </w:r>
      <w:proofErr w:type="gramEnd"/>
      <w:r w:rsidR="001C749B">
        <w:rPr>
          <w:rFonts w:eastAsia="Times New Roman"/>
        </w:rPr>
        <w:br/>
      </w:r>
      <w:r w:rsidRPr="00C12C86">
        <w:rPr>
          <w:rFonts w:eastAsia="Times New Roman"/>
        </w:rPr>
        <w:t xml:space="preserve">Also if available traffic volumes for the same road for the same dates </w:t>
      </w:r>
    </w:p>
    <w:p w:rsidR="004C495C" w:rsidRPr="004C495C" w:rsidRDefault="004C495C" w:rsidP="004C495C">
      <w:r>
        <w:t xml:space="preserve">First of all, I would advise you that information regarding traffic volumes is </w:t>
      </w:r>
      <w:r>
        <w:rPr>
          <w:i/>
        </w:rPr>
        <w:t xml:space="preserve">not held </w:t>
      </w:r>
      <w:r>
        <w:t xml:space="preserve">by </w:t>
      </w:r>
      <w:r w:rsidRPr="004C495C">
        <w:t>Police Scotland</w:t>
      </w:r>
      <w:r>
        <w:t xml:space="preserve"> and section 17 of the Act therefore applies.  You may wish to contact Transport Scotland - </w:t>
      </w:r>
      <w:hyperlink r:id="rId9" w:history="1">
        <w:r w:rsidRPr="004C495C">
          <w:rPr>
            <w:rStyle w:val="Hyperlink"/>
          </w:rPr>
          <w:t>info@transport.gov.scot</w:t>
        </w:r>
      </w:hyperlink>
    </w:p>
    <w:p w:rsidR="00496A08" w:rsidRPr="004C495C" w:rsidRDefault="004C495C" w:rsidP="004C495C">
      <w:r>
        <w:t>In relation to road traffic incidents and collisions, please refer to the t</w:t>
      </w:r>
      <w:r w:rsidR="00A06EEB">
        <w:t>able</w:t>
      </w:r>
      <w:r>
        <w:t>s below</w:t>
      </w:r>
      <w:r w:rsidR="00057BC4" w:rsidRPr="00057BC4">
        <w:t>.</w:t>
      </w:r>
      <w:r>
        <w:t xml:space="preserve">  </w:t>
      </w:r>
      <w:r>
        <w:br/>
        <w:t xml:space="preserve">You should note that </w:t>
      </w:r>
      <w:r>
        <w:rPr>
          <w:i/>
        </w:rPr>
        <w:t xml:space="preserve">incident </w:t>
      </w:r>
      <w:r>
        <w:t>data is only available for the period February 2018 to date, following the introduction at that point of our national STORM incident recording system.</w:t>
      </w:r>
    </w:p>
    <w:p w:rsidR="004C495C" w:rsidRDefault="004C495C" w:rsidP="00793DD5"/>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w:t>
      </w:r>
      <w:proofErr w:type="gramStart"/>
      <w:r w:rsidRPr="007C470A">
        <w:t>2</w:t>
      </w:r>
      <w:proofErr w:type="gramEnd"/>
      <w:r w:rsidRPr="007C470A">
        <w:t xml:space="preserve">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w:t>
      </w:r>
      <w:proofErr w:type="spellStart"/>
      <w:r w:rsidRPr="007C470A">
        <w:t>Kinburn</w:t>
      </w:r>
      <w:proofErr w:type="spellEnd"/>
      <w:r w:rsidRPr="007C470A">
        <w:t xml:space="preserve"> Castle, </w:t>
      </w:r>
      <w:proofErr w:type="spellStart"/>
      <w:r w:rsidRPr="007C470A">
        <w:t>Doubledykes</w:t>
      </w:r>
      <w:proofErr w:type="spellEnd"/>
      <w:r w:rsidRPr="007C470A">
        <w:t xml:space="preserve">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rsidR="00057BC4" w:rsidRDefault="007F490F" w:rsidP="00057BC4">
      <w:pPr>
        <w:jc w:val="both"/>
      </w:pPr>
      <w:r>
        <w:t>Every effort has been taken to ensure our response is as accessible as possible. If you require this response to be provided in an alternative format, please let us know.</w:t>
      </w:r>
    </w:p>
    <w:p w:rsidR="001C749B" w:rsidRDefault="001C749B" w:rsidP="00057BC4">
      <w:pPr>
        <w:jc w:val="both"/>
        <w:rPr>
          <w:b/>
        </w:rPr>
      </w:pPr>
    </w:p>
    <w:p w:rsidR="00057BC4" w:rsidRDefault="00057BC4" w:rsidP="00057BC4">
      <w:pPr>
        <w:jc w:val="both"/>
        <w:rPr>
          <w:b/>
        </w:rPr>
      </w:pPr>
      <w:r w:rsidRPr="00A06EEB">
        <w:rPr>
          <w:b/>
        </w:rPr>
        <w:lastRenderedPageBreak/>
        <w:t>Road Traffic Collisions on the A9 Perth to Inverness</w:t>
      </w:r>
      <w:r w:rsidR="005906B8">
        <w:rPr>
          <w:b/>
        </w:rPr>
        <w:t xml:space="preserve"> </w:t>
      </w:r>
      <w:r w:rsidRPr="00A06EEB">
        <w:rPr>
          <w:b/>
        </w:rPr>
        <w:t>(by collision severity)</w:t>
      </w:r>
      <w:r w:rsidR="00A06EEB" w:rsidRPr="00A06EEB">
        <w:rPr>
          <w:b/>
        </w:rPr>
        <w:t xml:space="preserve">, </w:t>
      </w:r>
      <w:r w:rsidR="004C495C">
        <w:rPr>
          <w:b/>
        </w:rPr>
        <w:t xml:space="preserve">1 </w:t>
      </w:r>
      <w:r w:rsidR="00A06EEB" w:rsidRPr="00A06EEB">
        <w:rPr>
          <w:b/>
        </w:rPr>
        <w:t xml:space="preserve">January 2011 </w:t>
      </w:r>
      <w:r w:rsidR="004C495C">
        <w:rPr>
          <w:b/>
        </w:rPr>
        <w:t>to</w:t>
      </w:r>
      <w:r w:rsidR="00A06EEB" w:rsidRPr="00A06EEB">
        <w:rPr>
          <w:b/>
        </w:rPr>
        <w:t xml:space="preserve"> 31 December 2022 </w:t>
      </w:r>
    </w:p>
    <w:tbl>
      <w:tblPr>
        <w:tblStyle w:val="TableGrid"/>
        <w:tblW w:w="10426" w:type="dxa"/>
        <w:tblLook w:val="04A0" w:firstRow="1" w:lastRow="0" w:firstColumn="1" w:lastColumn="0" w:noHBand="0" w:noVBand="1"/>
        <w:tblCaption w:val="RT Data"/>
        <w:tblDescription w:val="Road Traffic Collisions A9 Perth to Inverness"/>
      </w:tblPr>
      <w:tblGrid>
        <w:gridCol w:w="1230"/>
        <w:gridCol w:w="750"/>
        <w:gridCol w:w="750"/>
        <w:gridCol w:w="809"/>
        <w:gridCol w:w="750"/>
        <w:gridCol w:w="750"/>
        <w:gridCol w:w="768"/>
        <w:gridCol w:w="750"/>
        <w:gridCol w:w="809"/>
        <w:gridCol w:w="750"/>
        <w:gridCol w:w="810"/>
        <w:gridCol w:w="750"/>
        <w:gridCol w:w="750"/>
      </w:tblGrid>
      <w:tr w:rsidR="004C495C" w:rsidRPr="004C495C" w:rsidTr="004C495C">
        <w:trPr>
          <w:cantSplit/>
          <w:trHeight w:val="318"/>
          <w:tblHeader/>
        </w:trPr>
        <w:tc>
          <w:tcPr>
            <w:tcW w:w="1230" w:type="dxa"/>
            <w:shd w:val="clear" w:color="auto" w:fill="D9D9D9" w:themeFill="background1" w:themeFillShade="D9"/>
          </w:tcPr>
          <w:p w:rsidR="004C495C" w:rsidRPr="004C495C" w:rsidRDefault="004C495C" w:rsidP="004C495C">
            <w:pPr>
              <w:jc w:val="both"/>
              <w:rPr>
                <w:b/>
                <w:bCs/>
              </w:rPr>
            </w:pPr>
            <w:r w:rsidRPr="004C495C">
              <w:rPr>
                <w:b/>
                <w:bCs/>
              </w:rPr>
              <w:t>Severity</w:t>
            </w:r>
          </w:p>
        </w:tc>
        <w:tc>
          <w:tcPr>
            <w:tcW w:w="750" w:type="dxa"/>
            <w:shd w:val="clear" w:color="auto" w:fill="D9D9D9" w:themeFill="background1" w:themeFillShade="D9"/>
          </w:tcPr>
          <w:p w:rsidR="004C495C" w:rsidRPr="004C495C" w:rsidRDefault="004C495C" w:rsidP="004C495C">
            <w:pPr>
              <w:jc w:val="both"/>
              <w:rPr>
                <w:b/>
                <w:bCs/>
              </w:rPr>
            </w:pPr>
            <w:r w:rsidRPr="004C495C">
              <w:rPr>
                <w:b/>
                <w:bCs/>
              </w:rPr>
              <w:t>2011</w:t>
            </w:r>
          </w:p>
        </w:tc>
        <w:tc>
          <w:tcPr>
            <w:tcW w:w="750" w:type="dxa"/>
            <w:shd w:val="clear" w:color="auto" w:fill="D9D9D9" w:themeFill="background1" w:themeFillShade="D9"/>
          </w:tcPr>
          <w:p w:rsidR="004C495C" w:rsidRPr="004C495C" w:rsidRDefault="004C495C" w:rsidP="004C495C">
            <w:pPr>
              <w:jc w:val="both"/>
              <w:rPr>
                <w:b/>
                <w:bCs/>
              </w:rPr>
            </w:pPr>
            <w:r w:rsidRPr="004C495C">
              <w:rPr>
                <w:b/>
                <w:bCs/>
              </w:rPr>
              <w:t>2012</w:t>
            </w:r>
          </w:p>
        </w:tc>
        <w:tc>
          <w:tcPr>
            <w:tcW w:w="809" w:type="dxa"/>
            <w:shd w:val="clear" w:color="auto" w:fill="D9D9D9" w:themeFill="background1" w:themeFillShade="D9"/>
          </w:tcPr>
          <w:p w:rsidR="004C495C" w:rsidRPr="004C495C" w:rsidRDefault="004C495C" w:rsidP="004C495C">
            <w:pPr>
              <w:jc w:val="both"/>
              <w:rPr>
                <w:b/>
                <w:bCs/>
              </w:rPr>
            </w:pPr>
            <w:r w:rsidRPr="004C495C">
              <w:rPr>
                <w:b/>
                <w:bCs/>
              </w:rPr>
              <w:t>2013</w:t>
            </w:r>
          </w:p>
        </w:tc>
        <w:tc>
          <w:tcPr>
            <w:tcW w:w="750" w:type="dxa"/>
            <w:shd w:val="clear" w:color="auto" w:fill="D9D9D9" w:themeFill="background1" w:themeFillShade="D9"/>
          </w:tcPr>
          <w:p w:rsidR="004C495C" w:rsidRPr="004C495C" w:rsidRDefault="004C495C" w:rsidP="004C495C">
            <w:pPr>
              <w:jc w:val="both"/>
              <w:rPr>
                <w:b/>
                <w:bCs/>
              </w:rPr>
            </w:pPr>
            <w:r w:rsidRPr="004C495C">
              <w:rPr>
                <w:b/>
                <w:bCs/>
              </w:rPr>
              <w:t>2014</w:t>
            </w:r>
          </w:p>
        </w:tc>
        <w:tc>
          <w:tcPr>
            <w:tcW w:w="750" w:type="dxa"/>
            <w:shd w:val="clear" w:color="auto" w:fill="D9D9D9" w:themeFill="background1" w:themeFillShade="D9"/>
          </w:tcPr>
          <w:p w:rsidR="004C495C" w:rsidRPr="004C495C" w:rsidRDefault="004C495C" w:rsidP="004C495C">
            <w:pPr>
              <w:jc w:val="both"/>
              <w:rPr>
                <w:b/>
                <w:bCs/>
              </w:rPr>
            </w:pPr>
            <w:r w:rsidRPr="004C495C">
              <w:rPr>
                <w:b/>
                <w:bCs/>
              </w:rPr>
              <w:t>2015</w:t>
            </w:r>
          </w:p>
        </w:tc>
        <w:tc>
          <w:tcPr>
            <w:tcW w:w="768" w:type="dxa"/>
            <w:shd w:val="clear" w:color="auto" w:fill="D9D9D9" w:themeFill="background1" w:themeFillShade="D9"/>
          </w:tcPr>
          <w:p w:rsidR="004C495C" w:rsidRPr="004C495C" w:rsidRDefault="004C495C" w:rsidP="004C495C">
            <w:pPr>
              <w:jc w:val="both"/>
              <w:rPr>
                <w:b/>
                <w:bCs/>
              </w:rPr>
            </w:pPr>
            <w:r w:rsidRPr="004C495C">
              <w:rPr>
                <w:b/>
                <w:bCs/>
              </w:rPr>
              <w:t>2016</w:t>
            </w:r>
          </w:p>
        </w:tc>
        <w:tc>
          <w:tcPr>
            <w:tcW w:w="750" w:type="dxa"/>
            <w:shd w:val="clear" w:color="auto" w:fill="D9D9D9" w:themeFill="background1" w:themeFillShade="D9"/>
          </w:tcPr>
          <w:p w:rsidR="004C495C" w:rsidRPr="004C495C" w:rsidRDefault="004C495C" w:rsidP="004C495C">
            <w:pPr>
              <w:jc w:val="both"/>
              <w:rPr>
                <w:b/>
                <w:bCs/>
              </w:rPr>
            </w:pPr>
            <w:r w:rsidRPr="004C495C">
              <w:rPr>
                <w:b/>
                <w:bCs/>
              </w:rPr>
              <w:t>2017</w:t>
            </w:r>
          </w:p>
        </w:tc>
        <w:tc>
          <w:tcPr>
            <w:tcW w:w="809" w:type="dxa"/>
            <w:shd w:val="clear" w:color="auto" w:fill="D9D9D9" w:themeFill="background1" w:themeFillShade="D9"/>
          </w:tcPr>
          <w:p w:rsidR="004C495C" w:rsidRPr="004C495C" w:rsidRDefault="004C495C" w:rsidP="004C495C">
            <w:pPr>
              <w:jc w:val="both"/>
              <w:rPr>
                <w:b/>
                <w:bCs/>
              </w:rPr>
            </w:pPr>
            <w:r w:rsidRPr="004C495C">
              <w:rPr>
                <w:b/>
                <w:bCs/>
              </w:rPr>
              <w:t>2018</w:t>
            </w:r>
          </w:p>
        </w:tc>
        <w:tc>
          <w:tcPr>
            <w:tcW w:w="750" w:type="dxa"/>
            <w:shd w:val="clear" w:color="auto" w:fill="D9D9D9" w:themeFill="background1" w:themeFillShade="D9"/>
          </w:tcPr>
          <w:p w:rsidR="004C495C" w:rsidRPr="004C495C" w:rsidRDefault="004C495C" w:rsidP="004C495C">
            <w:pPr>
              <w:jc w:val="both"/>
              <w:rPr>
                <w:b/>
                <w:bCs/>
              </w:rPr>
            </w:pPr>
            <w:r w:rsidRPr="004C495C">
              <w:rPr>
                <w:b/>
                <w:bCs/>
              </w:rPr>
              <w:t>2019</w:t>
            </w:r>
          </w:p>
        </w:tc>
        <w:tc>
          <w:tcPr>
            <w:tcW w:w="810" w:type="dxa"/>
            <w:shd w:val="clear" w:color="auto" w:fill="D9D9D9" w:themeFill="background1" w:themeFillShade="D9"/>
          </w:tcPr>
          <w:p w:rsidR="004C495C" w:rsidRPr="004C495C" w:rsidRDefault="004C495C" w:rsidP="004C495C">
            <w:pPr>
              <w:jc w:val="both"/>
              <w:rPr>
                <w:b/>
                <w:bCs/>
              </w:rPr>
            </w:pPr>
            <w:r w:rsidRPr="004C495C">
              <w:rPr>
                <w:b/>
                <w:bCs/>
              </w:rPr>
              <w:t>2020</w:t>
            </w:r>
          </w:p>
        </w:tc>
        <w:tc>
          <w:tcPr>
            <w:tcW w:w="750" w:type="dxa"/>
            <w:shd w:val="clear" w:color="auto" w:fill="D9D9D9" w:themeFill="background1" w:themeFillShade="D9"/>
          </w:tcPr>
          <w:p w:rsidR="004C495C" w:rsidRPr="004C495C" w:rsidRDefault="004C495C" w:rsidP="004C495C">
            <w:pPr>
              <w:jc w:val="both"/>
              <w:rPr>
                <w:b/>
                <w:bCs/>
              </w:rPr>
            </w:pPr>
            <w:r w:rsidRPr="004C495C">
              <w:rPr>
                <w:b/>
                <w:bCs/>
              </w:rPr>
              <w:t>2021</w:t>
            </w:r>
          </w:p>
        </w:tc>
        <w:tc>
          <w:tcPr>
            <w:tcW w:w="750" w:type="dxa"/>
            <w:shd w:val="clear" w:color="auto" w:fill="D9D9D9" w:themeFill="background1" w:themeFillShade="D9"/>
          </w:tcPr>
          <w:p w:rsidR="004C495C" w:rsidRPr="004C495C" w:rsidRDefault="004C495C" w:rsidP="004C495C">
            <w:pPr>
              <w:jc w:val="both"/>
              <w:rPr>
                <w:b/>
                <w:bCs/>
              </w:rPr>
            </w:pPr>
            <w:r w:rsidRPr="004C495C">
              <w:rPr>
                <w:b/>
                <w:bCs/>
              </w:rPr>
              <w:t>2022</w:t>
            </w:r>
          </w:p>
        </w:tc>
      </w:tr>
      <w:tr w:rsidR="004C495C" w:rsidRPr="004C495C" w:rsidTr="004C495C">
        <w:trPr>
          <w:trHeight w:val="300"/>
        </w:trPr>
        <w:tc>
          <w:tcPr>
            <w:tcW w:w="1230" w:type="dxa"/>
            <w:noWrap/>
            <w:hideMark/>
          </w:tcPr>
          <w:p w:rsidR="004C495C" w:rsidRPr="004C495C" w:rsidRDefault="004C495C" w:rsidP="004C495C">
            <w:pPr>
              <w:jc w:val="both"/>
            </w:pPr>
            <w:r w:rsidRPr="004C495C">
              <w:t>Fatal</w:t>
            </w:r>
          </w:p>
        </w:tc>
        <w:tc>
          <w:tcPr>
            <w:tcW w:w="750" w:type="dxa"/>
            <w:noWrap/>
            <w:hideMark/>
          </w:tcPr>
          <w:p w:rsidR="004C495C" w:rsidRPr="004C495C" w:rsidRDefault="004C495C" w:rsidP="004C495C">
            <w:pPr>
              <w:jc w:val="both"/>
            </w:pPr>
            <w:r w:rsidRPr="004C495C">
              <w:t>7</w:t>
            </w:r>
          </w:p>
        </w:tc>
        <w:tc>
          <w:tcPr>
            <w:tcW w:w="750" w:type="dxa"/>
            <w:noWrap/>
            <w:hideMark/>
          </w:tcPr>
          <w:p w:rsidR="004C495C" w:rsidRPr="004C495C" w:rsidRDefault="004C495C" w:rsidP="004C495C">
            <w:pPr>
              <w:jc w:val="both"/>
            </w:pPr>
            <w:r w:rsidRPr="004C495C">
              <w:t>5</w:t>
            </w:r>
          </w:p>
        </w:tc>
        <w:tc>
          <w:tcPr>
            <w:tcW w:w="809" w:type="dxa"/>
            <w:noWrap/>
            <w:hideMark/>
          </w:tcPr>
          <w:p w:rsidR="004C495C" w:rsidRPr="004C495C" w:rsidRDefault="004C495C" w:rsidP="004C495C">
            <w:pPr>
              <w:jc w:val="both"/>
            </w:pPr>
            <w:r w:rsidRPr="004C495C">
              <w:t>4</w:t>
            </w:r>
          </w:p>
        </w:tc>
        <w:tc>
          <w:tcPr>
            <w:tcW w:w="750" w:type="dxa"/>
            <w:noWrap/>
            <w:hideMark/>
          </w:tcPr>
          <w:p w:rsidR="004C495C" w:rsidRPr="004C495C" w:rsidRDefault="004C495C" w:rsidP="004C495C">
            <w:pPr>
              <w:jc w:val="both"/>
            </w:pPr>
            <w:r w:rsidRPr="004C495C">
              <w:t>3</w:t>
            </w:r>
          </w:p>
        </w:tc>
        <w:tc>
          <w:tcPr>
            <w:tcW w:w="750" w:type="dxa"/>
            <w:noWrap/>
            <w:hideMark/>
          </w:tcPr>
          <w:p w:rsidR="004C495C" w:rsidRPr="004C495C" w:rsidRDefault="004C495C" w:rsidP="004C495C">
            <w:pPr>
              <w:jc w:val="both"/>
            </w:pPr>
            <w:r w:rsidRPr="004C495C">
              <w:t>3</w:t>
            </w:r>
          </w:p>
        </w:tc>
        <w:tc>
          <w:tcPr>
            <w:tcW w:w="768" w:type="dxa"/>
            <w:noWrap/>
            <w:hideMark/>
          </w:tcPr>
          <w:p w:rsidR="004C495C" w:rsidRPr="004C495C" w:rsidRDefault="004C495C" w:rsidP="004C495C">
            <w:pPr>
              <w:jc w:val="both"/>
            </w:pPr>
            <w:r w:rsidRPr="004C495C">
              <w:t>4</w:t>
            </w:r>
          </w:p>
        </w:tc>
        <w:tc>
          <w:tcPr>
            <w:tcW w:w="750" w:type="dxa"/>
            <w:noWrap/>
            <w:hideMark/>
          </w:tcPr>
          <w:p w:rsidR="004C495C" w:rsidRPr="004C495C" w:rsidRDefault="004C495C" w:rsidP="004C495C">
            <w:pPr>
              <w:jc w:val="both"/>
            </w:pPr>
            <w:r w:rsidRPr="004C495C">
              <w:t>4</w:t>
            </w:r>
          </w:p>
        </w:tc>
        <w:tc>
          <w:tcPr>
            <w:tcW w:w="809" w:type="dxa"/>
            <w:noWrap/>
            <w:hideMark/>
          </w:tcPr>
          <w:p w:rsidR="004C495C" w:rsidRPr="004C495C" w:rsidRDefault="004C495C" w:rsidP="004C495C">
            <w:pPr>
              <w:jc w:val="both"/>
            </w:pPr>
            <w:r w:rsidRPr="004C495C">
              <w:t>6</w:t>
            </w:r>
          </w:p>
        </w:tc>
        <w:tc>
          <w:tcPr>
            <w:tcW w:w="750" w:type="dxa"/>
            <w:noWrap/>
            <w:hideMark/>
          </w:tcPr>
          <w:p w:rsidR="004C495C" w:rsidRPr="004C495C" w:rsidRDefault="004C495C" w:rsidP="004C495C">
            <w:pPr>
              <w:jc w:val="both"/>
            </w:pPr>
            <w:r w:rsidRPr="004C495C">
              <w:t>1</w:t>
            </w:r>
          </w:p>
        </w:tc>
        <w:tc>
          <w:tcPr>
            <w:tcW w:w="810" w:type="dxa"/>
            <w:noWrap/>
            <w:hideMark/>
          </w:tcPr>
          <w:p w:rsidR="004C495C" w:rsidRPr="004C495C" w:rsidRDefault="004C495C" w:rsidP="004C495C">
            <w:pPr>
              <w:jc w:val="both"/>
            </w:pPr>
            <w:r w:rsidRPr="004C495C">
              <w:t>1</w:t>
            </w:r>
          </w:p>
        </w:tc>
        <w:tc>
          <w:tcPr>
            <w:tcW w:w="750" w:type="dxa"/>
            <w:noWrap/>
            <w:hideMark/>
          </w:tcPr>
          <w:p w:rsidR="004C495C" w:rsidRPr="004C495C" w:rsidRDefault="004C495C" w:rsidP="004C495C">
            <w:pPr>
              <w:jc w:val="both"/>
            </w:pPr>
            <w:r w:rsidRPr="004C495C">
              <w:t>1</w:t>
            </w:r>
          </w:p>
        </w:tc>
        <w:tc>
          <w:tcPr>
            <w:tcW w:w="750" w:type="dxa"/>
            <w:noWrap/>
            <w:hideMark/>
          </w:tcPr>
          <w:p w:rsidR="004C495C" w:rsidRPr="004C495C" w:rsidRDefault="004C495C" w:rsidP="004C495C">
            <w:pPr>
              <w:jc w:val="both"/>
            </w:pPr>
            <w:r w:rsidRPr="004C495C">
              <w:t>8</w:t>
            </w:r>
          </w:p>
        </w:tc>
      </w:tr>
      <w:tr w:rsidR="004C495C" w:rsidRPr="004C495C" w:rsidTr="004C495C">
        <w:trPr>
          <w:trHeight w:val="300"/>
        </w:trPr>
        <w:tc>
          <w:tcPr>
            <w:tcW w:w="1230" w:type="dxa"/>
            <w:noWrap/>
            <w:hideMark/>
          </w:tcPr>
          <w:p w:rsidR="004C495C" w:rsidRPr="004C495C" w:rsidRDefault="004C495C" w:rsidP="004C495C">
            <w:pPr>
              <w:jc w:val="both"/>
            </w:pPr>
            <w:r w:rsidRPr="004C495C">
              <w:t xml:space="preserve">Serious </w:t>
            </w:r>
          </w:p>
        </w:tc>
        <w:tc>
          <w:tcPr>
            <w:tcW w:w="750" w:type="dxa"/>
            <w:noWrap/>
            <w:hideMark/>
          </w:tcPr>
          <w:p w:rsidR="004C495C" w:rsidRPr="004C495C" w:rsidRDefault="004C495C" w:rsidP="004C495C">
            <w:pPr>
              <w:jc w:val="both"/>
            </w:pPr>
            <w:r w:rsidRPr="004C495C">
              <w:t>6</w:t>
            </w:r>
          </w:p>
        </w:tc>
        <w:tc>
          <w:tcPr>
            <w:tcW w:w="750" w:type="dxa"/>
            <w:noWrap/>
            <w:hideMark/>
          </w:tcPr>
          <w:p w:rsidR="004C495C" w:rsidRPr="004C495C" w:rsidRDefault="004C495C" w:rsidP="004C495C">
            <w:pPr>
              <w:jc w:val="both"/>
            </w:pPr>
            <w:r w:rsidRPr="004C495C">
              <w:t>10</w:t>
            </w:r>
          </w:p>
        </w:tc>
        <w:tc>
          <w:tcPr>
            <w:tcW w:w="809" w:type="dxa"/>
            <w:noWrap/>
            <w:hideMark/>
          </w:tcPr>
          <w:p w:rsidR="004C495C" w:rsidRPr="004C495C" w:rsidRDefault="004C495C" w:rsidP="004C495C">
            <w:pPr>
              <w:jc w:val="both"/>
            </w:pPr>
            <w:r w:rsidRPr="004C495C">
              <w:t>10</w:t>
            </w:r>
          </w:p>
        </w:tc>
        <w:tc>
          <w:tcPr>
            <w:tcW w:w="750" w:type="dxa"/>
            <w:noWrap/>
            <w:hideMark/>
          </w:tcPr>
          <w:p w:rsidR="004C495C" w:rsidRPr="004C495C" w:rsidRDefault="004C495C" w:rsidP="004C495C">
            <w:pPr>
              <w:jc w:val="both"/>
            </w:pPr>
            <w:r w:rsidRPr="004C495C">
              <w:t>9</w:t>
            </w:r>
          </w:p>
        </w:tc>
        <w:tc>
          <w:tcPr>
            <w:tcW w:w="750" w:type="dxa"/>
            <w:noWrap/>
            <w:hideMark/>
          </w:tcPr>
          <w:p w:rsidR="004C495C" w:rsidRPr="004C495C" w:rsidRDefault="004C495C" w:rsidP="004C495C">
            <w:pPr>
              <w:jc w:val="both"/>
            </w:pPr>
            <w:r w:rsidRPr="004C495C">
              <w:t>6</w:t>
            </w:r>
          </w:p>
        </w:tc>
        <w:tc>
          <w:tcPr>
            <w:tcW w:w="768" w:type="dxa"/>
            <w:noWrap/>
            <w:hideMark/>
          </w:tcPr>
          <w:p w:rsidR="004C495C" w:rsidRPr="004C495C" w:rsidRDefault="004C495C" w:rsidP="004C495C">
            <w:pPr>
              <w:jc w:val="both"/>
            </w:pPr>
            <w:r w:rsidRPr="004C495C">
              <w:t>7</w:t>
            </w:r>
          </w:p>
        </w:tc>
        <w:tc>
          <w:tcPr>
            <w:tcW w:w="750" w:type="dxa"/>
            <w:noWrap/>
            <w:hideMark/>
          </w:tcPr>
          <w:p w:rsidR="004C495C" w:rsidRPr="004C495C" w:rsidRDefault="004C495C" w:rsidP="004C495C">
            <w:pPr>
              <w:jc w:val="both"/>
            </w:pPr>
            <w:r w:rsidRPr="004C495C">
              <w:t>9</w:t>
            </w:r>
          </w:p>
        </w:tc>
        <w:tc>
          <w:tcPr>
            <w:tcW w:w="809" w:type="dxa"/>
            <w:noWrap/>
            <w:hideMark/>
          </w:tcPr>
          <w:p w:rsidR="004C495C" w:rsidRPr="004C495C" w:rsidRDefault="004C495C" w:rsidP="004C495C">
            <w:pPr>
              <w:jc w:val="both"/>
            </w:pPr>
            <w:r w:rsidRPr="004C495C">
              <w:t>9</w:t>
            </w:r>
          </w:p>
        </w:tc>
        <w:tc>
          <w:tcPr>
            <w:tcW w:w="750" w:type="dxa"/>
            <w:noWrap/>
            <w:hideMark/>
          </w:tcPr>
          <w:p w:rsidR="004C495C" w:rsidRPr="004C495C" w:rsidRDefault="004C495C" w:rsidP="004C495C">
            <w:pPr>
              <w:jc w:val="both"/>
            </w:pPr>
            <w:r w:rsidRPr="004C495C">
              <w:t>15</w:t>
            </w:r>
          </w:p>
        </w:tc>
        <w:tc>
          <w:tcPr>
            <w:tcW w:w="810" w:type="dxa"/>
            <w:noWrap/>
            <w:hideMark/>
          </w:tcPr>
          <w:p w:rsidR="004C495C" w:rsidRPr="004C495C" w:rsidRDefault="004C495C" w:rsidP="004C495C">
            <w:pPr>
              <w:jc w:val="both"/>
            </w:pPr>
            <w:r w:rsidRPr="004C495C">
              <w:t>10</w:t>
            </w:r>
          </w:p>
        </w:tc>
        <w:tc>
          <w:tcPr>
            <w:tcW w:w="750" w:type="dxa"/>
            <w:noWrap/>
            <w:hideMark/>
          </w:tcPr>
          <w:p w:rsidR="004C495C" w:rsidRPr="004C495C" w:rsidRDefault="004C495C" w:rsidP="004C495C">
            <w:pPr>
              <w:jc w:val="both"/>
            </w:pPr>
            <w:r w:rsidRPr="004C495C">
              <w:t>12</w:t>
            </w:r>
          </w:p>
        </w:tc>
        <w:tc>
          <w:tcPr>
            <w:tcW w:w="750" w:type="dxa"/>
            <w:noWrap/>
            <w:hideMark/>
          </w:tcPr>
          <w:p w:rsidR="004C495C" w:rsidRPr="004C495C" w:rsidRDefault="004C495C" w:rsidP="004C495C">
            <w:pPr>
              <w:jc w:val="both"/>
            </w:pPr>
            <w:r w:rsidRPr="004C495C">
              <w:t>14</w:t>
            </w:r>
          </w:p>
        </w:tc>
      </w:tr>
      <w:tr w:rsidR="004C495C" w:rsidRPr="004C495C" w:rsidTr="004C495C">
        <w:trPr>
          <w:trHeight w:val="300"/>
        </w:trPr>
        <w:tc>
          <w:tcPr>
            <w:tcW w:w="1230" w:type="dxa"/>
            <w:noWrap/>
            <w:hideMark/>
          </w:tcPr>
          <w:p w:rsidR="004C495C" w:rsidRPr="004C495C" w:rsidRDefault="004C495C" w:rsidP="004C495C">
            <w:pPr>
              <w:jc w:val="both"/>
            </w:pPr>
            <w:r w:rsidRPr="004C495C">
              <w:t>Slight</w:t>
            </w:r>
          </w:p>
        </w:tc>
        <w:tc>
          <w:tcPr>
            <w:tcW w:w="750" w:type="dxa"/>
            <w:noWrap/>
            <w:hideMark/>
          </w:tcPr>
          <w:p w:rsidR="004C495C" w:rsidRPr="004C495C" w:rsidRDefault="004C495C" w:rsidP="004C495C">
            <w:pPr>
              <w:jc w:val="both"/>
            </w:pPr>
            <w:r w:rsidRPr="004C495C">
              <w:t>35</w:t>
            </w:r>
          </w:p>
        </w:tc>
        <w:tc>
          <w:tcPr>
            <w:tcW w:w="750" w:type="dxa"/>
            <w:noWrap/>
            <w:hideMark/>
          </w:tcPr>
          <w:p w:rsidR="004C495C" w:rsidRPr="004C495C" w:rsidRDefault="004C495C" w:rsidP="004C495C">
            <w:pPr>
              <w:jc w:val="both"/>
            </w:pPr>
            <w:r w:rsidRPr="004C495C">
              <w:t>33</w:t>
            </w:r>
          </w:p>
        </w:tc>
        <w:tc>
          <w:tcPr>
            <w:tcW w:w="809" w:type="dxa"/>
            <w:noWrap/>
            <w:hideMark/>
          </w:tcPr>
          <w:p w:rsidR="004C495C" w:rsidRPr="004C495C" w:rsidRDefault="004C495C" w:rsidP="004C495C">
            <w:pPr>
              <w:jc w:val="both"/>
            </w:pPr>
            <w:r w:rsidRPr="004C495C">
              <w:t>27</w:t>
            </w:r>
          </w:p>
        </w:tc>
        <w:tc>
          <w:tcPr>
            <w:tcW w:w="750" w:type="dxa"/>
            <w:noWrap/>
            <w:hideMark/>
          </w:tcPr>
          <w:p w:rsidR="004C495C" w:rsidRPr="004C495C" w:rsidRDefault="004C495C" w:rsidP="004C495C">
            <w:pPr>
              <w:jc w:val="both"/>
            </w:pPr>
            <w:r w:rsidRPr="004C495C">
              <w:t>28</w:t>
            </w:r>
          </w:p>
        </w:tc>
        <w:tc>
          <w:tcPr>
            <w:tcW w:w="750" w:type="dxa"/>
            <w:noWrap/>
            <w:hideMark/>
          </w:tcPr>
          <w:p w:rsidR="004C495C" w:rsidRPr="004C495C" w:rsidRDefault="004C495C" w:rsidP="004C495C">
            <w:pPr>
              <w:jc w:val="both"/>
            </w:pPr>
            <w:r w:rsidRPr="004C495C">
              <w:t>25</w:t>
            </w:r>
          </w:p>
        </w:tc>
        <w:tc>
          <w:tcPr>
            <w:tcW w:w="768" w:type="dxa"/>
            <w:noWrap/>
            <w:hideMark/>
          </w:tcPr>
          <w:p w:rsidR="004C495C" w:rsidRPr="004C495C" w:rsidRDefault="004C495C" w:rsidP="004C495C">
            <w:pPr>
              <w:jc w:val="both"/>
            </w:pPr>
            <w:r w:rsidRPr="004C495C">
              <w:t>24</w:t>
            </w:r>
          </w:p>
        </w:tc>
        <w:tc>
          <w:tcPr>
            <w:tcW w:w="750" w:type="dxa"/>
            <w:noWrap/>
            <w:hideMark/>
          </w:tcPr>
          <w:p w:rsidR="004C495C" w:rsidRPr="004C495C" w:rsidRDefault="004C495C" w:rsidP="004C495C">
            <w:pPr>
              <w:jc w:val="both"/>
            </w:pPr>
            <w:r w:rsidRPr="004C495C">
              <w:t>29</w:t>
            </w:r>
          </w:p>
        </w:tc>
        <w:tc>
          <w:tcPr>
            <w:tcW w:w="809" w:type="dxa"/>
            <w:noWrap/>
            <w:hideMark/>
          </w:tcPr>
          <w:p w:rsidR="004C495C" w:rsidRPr="004C495C" w:rsidRDefault="004C495C" w:rsidP="004C495C">
            <w:pPr>
              <w:jc w:val="both"/>
            </w:pPr>
            <w:r w:rsidRPr="004C495C">
              <w:t>38</w:t>
            </w:r>
          </w:p>
        </w:tc>
        <w:tc>
          <w:tcPr>
            <w:tcW w:w="750" w:type="dxa"/>
            <w:noWrap/>
            <w:hideMark/>
          </w:tcPr>
          <w:p w:rsidR="004C495C" w:rsidRPr="004C495C" w:rsidRDefault="004C495C" w:rsidP="004C495C">
            <w:pPr>
              <w:jc w:val="both"/>
            </w:pPr>
            <w:r w:rsidRPr="004C495C">
              <w:t>19</w:t>
            </w:r>
          </w:p>
        </w:tc>
        <w:tc>
          <w:tcPr>
            <w:tcW w:w="810" w:type="dxa"/>
            <w:noWrap/>
            <w:hideMark/>
          </w:tcPr>
          <w:p w:rsidR="004C495C" w:rsidRPr="004C495C" w:rsidRDefault="004C495C" w:rsidP="004C495C">
            <w:pPr>
              <w:jc w:val="both"/>
            </w:pPr>
            <w:r w:rsidRPr="004C495C">
              <w:t>7</w:t>
            </w:r>
          </w:p>
        </w:tc>
        <w:tc>
          <w:tcPr>
            <w:tcW w:w="750" w:type="dxa"/>
            <w:noWrap/>
            <w:hideMark/>
          </w:tcPr>
          <w:p w:rsidR="004C495C" w:rsidRPr="004C495C" w:rsidRDefault="004C495C" w:rsidP="004C495C">
            <w:pPr>
              <w:jc w:val="both"/>
            </w:pPr>
            <w:r w:rsidRPr="004C495C">
              <w:t>19</w:t>
            </w:r>
          </w:p>
        </w:tc>
        <w:tc>
          <w:tcPr>
            <w:tcW w:w="750" w:type="dxa"/>
            <w:noWrap/>
            <w:hideMark/>
          </w:tcPr>
          <w:p w:rsidR="004C495C" w:rsidRPr="004C495C" w:rsidRDefault="004C495C" w:rsidP="004C495C">
            <w:pPr>
              <w:jc w:val="both"/>
            </w:pPr>
            <w:r w:rsidRPr="004C495C">
              <w:t>11</w:t>
            </w:r>
          </w:p>
        </w:tc>
      </w:tr>
      <w:tr w:rsidR="004C495C" w:rsidRPr="004C495C" w:rsidTr="004C495C">
        <w:trPr>
          <w:trHeight w:val="330"/>
        </w:trPr>
        <w:tc>
          <w:tcPr>
            <w:tcW w:w="1230" w:type="dxa"/>
            <w:noWrap/>
            <w:hideMark/>
          </w:tcPr>
          <w:p w:rsidR="004C495C" w:rsidRPr="004C495C" w:rsidRDefault="004C495C" w:rsidP="004C495C">
            <w:pPr>
              <w:jc w:val="both"/>
              <w:rPr>
                <w:bCs/>
              </w:rPr>
            </w:pPr>
            <w:r w:rsidRPr="004C495C">
              <w:rPr>
                <w:bCs/>
              </w:rPr>
              <w:t>Total</w:t>
            </w:r>
          </w:p>
        </w:tc>
        <w:tc>
          <w:tcPr>
            <w:tcW w:w="750" w:type="dxa"/>
            <w:noWrap/>
            <w:hideMark/>
          </w:tcPr>
          <w:p w:rsidR="004C495C" w:rsidRPr="004C495C" w:rsidRDefault="004C495C" w:rsidP="004C495C">
            <w:pPr>
              <w:jc w:val="both"/>
              <w:rPr>
                <w:bCs/>
              </w:rPr>
            </w:pPr>
            <w:r w:rsidRPr="004C495C">
              <w:rPr>
                <w:bCs/>
              </w:rPr>
              <w:t>48</w:t>
            </w:r>
          </w:p>
        </w:tc>
        <w:tc>
          <w:tcPr>
            <w:tcW w:w="750" w:type="dxa"/>
            <w:noWrap/>
            <w:hideMark/>
          </w:tcPr>
          <w:p w:rsidR="004C495C" w:rsidRPr="004C495C" w:rsidRDefault="004C495C" w:rsidP="004C495C">
            <w:pPr>
              <w:jc w:val="both"/>
              <w:rPr>
                <w:bCs/>
              </w:rPr>
            </w:pPr>
            <w:r w:rsidRPr="004C495C">
              <w:rPr>
                <w:bCs/>
              </w:rPr>
              <w:t>48</w:t>
            </w:r>
          </w:p>
        </w:tc>
        <w:tc>
          <w:tcPr>
            <w:tcW w:w="809" w:type="dxa"/>
            <w:noWrap/>
            <w:hideMark/>
          </w:tcPr>
          <w:p w:rsidR="004C495C" w:rsidRPr="004C495C" w:rsidRDefault="004C495C" w:rsidP="004C495C">
            <w:pPr>
              <w:jc w:val="both"/>
              <w:rPr>
                <w:bCs/>
              </w:rPr>
            </w:pPr>
            <w:r w:rsidRPr="004C495C">
              <w:rPr>
                <w:bCs/>
              </w:rPr>
              <w:t>41</w:t>
            </w:r>
          </w:p>
        </w:tc>
        <w:tc>
          <w:tcPr>
            <w:tcW w:w="750" w:type="dxa"/>
            <w:noWrap/>
            <w:hideMark/>
          </w:tcPr>
          <w:p w:rsidR="004C495C" w:rsidRPr="004C495C" w:rsidRDefault="004C495C" w:rsidP="004C495C">
            <w:pPr>
              <w:jc w:val="both"/>
              <w:rPr>
                <w:bCs/>
              </w:rPr>
            </w:pPr>
            <w:r w:rsidRPr="004C495C">
              <w:rPr>
                <w:bCs/>
              </w:rPr>
              <w:t>40</w:t>
            </w:r>
          </w:p>
        </w:tc>
        <w:tc>
          <w:tcPr>
            <w:tcW w:w="750" w:type="dxa"/>
            <w:noWrap/>
            <w:hideMark/>
          </w:tcPr>
          <w:p w:rsidR="004C495C" w:rsidRPr="004C495C" w:rsidRDefault="004C495C" w:rsidP="004C495C">
            <w:pPr>
              <w:jc w:val="both"/>
              <w:rPr>
                <w:bCs/>
              </w:rPr>
            </w:pPr>
            <w:r w:rsidRPr="004C495C">
              <w:rPr>
                <w:bCs/>
              </w:rPr>
              <w:t>34</w:t>
            </w:r>
          </w:p>
        </w:tc>
        <w:tc>
          <w:tcPr>
            <w:tcW w:w="768" w:type="dxa"/>
            <w:noWrap/>
            <w:hideMark/>
          </w:tcPr>
          <w:p w:rsidR="004C495C" w:rsidRPr="004C495C" w:rsidRDefault="004C495C" w:rsidP="004C495C">
            <w:pPr>
              <w:jc w:val="both"/>
              <w:rPr>
                <w:bCs/>
              </w:rPr>
            </w:pPr>
            <w:r w:rsidRPr="004C495C">
              <w:rPr>
                <w:bCs/>
              </w:rPr>
              <w:t>35</w:t>
            </w:r>
          </w:p>
        </w:tc>
        <w:tc>
          <w:tcPr>
            <w:tcW w:w="750" w:type="dxa"/>
            <w:noWrap/>
            <w:hideMark/>
          </w:tcPr>
          <w:p w:rsidR="004C495C" w:rsidRPr="004C495C" w:rsidRDefault="004C495C" w:rsidP="004C495C">
            <w:pPr>
              <w:jc w:val="both"/>
              <w:rPr>
                <w:bCs/>
              </w:rPr>
            </w:pPr>
            <w:r w:rsidRPr="004C495C">
              <w:rPr>
                <w:bCs/>
              </w:rPr>
              <w:t>42</w:t>
            </w:r>
          </w:p>
        </w:tc>
        <w:tc>
          <w:tcPr>
            <w:tcW w:w="809" w:type="dxa"/>
            <w:noWrap/>
            <w:hideMark/>
          </w:tcPr>
          <w:p w:rsidR="004C495C" w:rsidRPr="004C495C" w:rsidRDefault="004C495C" w:rsidP="004C495C">
            <w:pPr>
              <w:jc w:val="both"/>
              <w:rPr>
                <w:bCs/>
              </w:rPr>
            </w:pPr>
            <w:r w:rsidRPr="004C495C">
              <w:rPr>
                <w:bCs/>
              </w:rPr>
              <w:t>53</w:t>
            </w:r>
          </w:p>
        </w:tc>
        <w:tc>
          <w:tcPr>
            <w:tcW w:w="750" w:type="dxa"/>
            <w:noWrap/>
            <w:hideMark/>
          </w:tcPr>
          <w:p w:rsidR="004C495C" w:rsidRPr="004C495C" w:rsidRDefault="004C495C" w:rsidP="004C495C">
            <w:pPr>
              <w:jc w:val="both"/>
              <w:rPr>
                <w:bCs/>
              </w:rPr>
            </w:pPr>
            <w:r w:rsidRPr="004C495C">
              <w:rPr>
                <w:bCs/>
              </w:rPr>
              <w:t>35</w:t>
            </w:r>
          </w:p>
        </w:tc>
        <w:tc>
          <w:tcPr>
            <w:tcW w:w="810" w:type="dxa"/>
            <w:noWrap/>
            <w:hideMark/>
          </w:tcPr>
          <w:p w:rsidR="004C495C" w:rsidRPr="004C495C" w:rsidRDefault="004C495C" w:rsidP="004C495C">
            <w:pPr>
              <w:jc w:val="both"/>
              <w:rPr>
                <w:bCs/>
              </w:rPr>
            </w:pPr>
            <w:r w:rsidRPr="004C495C">
              <w:rPr>
                <w:bCs/>
              </w:rPr>
              <w:t>18</w:t>
            </w:r>
          </w:p>
        </w:tc>
        <w:tc>
          <w:tcPr>
            <w:tcW w:w="750" w:type="dxa"/>
            <w:noWrap/>
            <w:hideMark/>
          </w:tcPr>
          <w:p w:rsidR="004C495C" w:rsidRPr="004C495C" w:rsidRDefault="004C495C" w:rsidP="004C495C">
            <w:pPr>
              <w:jc w:val="both"/>
              <w:rPr>
                <w:bCs/>
              </w:rPr>
            </w:pPr>
            <w:r w:rsidRPr="004C495C">
              <w:rPr>
                <w:bCs/>
              </w:rPr>
              <w:t>32</w:t>
            </w:r>
          </w:p>
        </w:tc>
        <w:tc>
          <w:tcPr>
            <w:tcW w:w="750" w:type="dxa"/>
            <w:noWrap/>
            <w:hideMark/>
          </w:tcPr>
          <w:p w:rsidR="004C495C" w:rsidRPr="004C495C" w:rsidRDefault="004C495C" w:rsidP="004C495C">
            <w:pPr>
              <w:jc w:val="both"/>
              <w:rPr>
                <w:bCs/>
              </w:rPr>
            </w:pPr>
            <w:r w:rsidRPr="004C495C">
              <w:rPr>
                <w:bCs/>
              </w:rPr>
              <w:t>33</w:t>
            </w:r>
          </w:p>
        </w:tc>
      </w:tr>
    </w:tbl>
    <w:p w:rsidR="004C495C" w:rsidRDefault="004C495C" w:rsidP="00057BC4">
      <w:pPr>
        <w:jc w:val="both"/>
      </w:pPr>
      <w:r w:rsidRPr="00475339">
        <w:t xml:space="preserve">All statistics are provisional and should be treated as management information. </w:t>
      </w:r>
      <w:r>
        <w:br/>
      </w:r>
      <w:r w:rsidRPr="00475339">
        <w:t>All data have been extracted from Police Scotland internal systems and are correct as at 13/02/2022.</w:t>
      </w:r>
    </w:p>
    <w:p w:rsidR="004C495C" w:rsidRPr="004C495C" w:rsidRDefault="004C495C" w:rsidP="004C495C">
      <w:pPr>
        <w:jc w:val="both"/>
        <w:rPr>
          <w:iCs/>
        </w:rPr>
      </w:pPr>
      <w:r w:rsidRPr="004C495C">
        <w:rPr>
          <w:iCs/>
        </w:rPr>
        <w:t>Please note that a reportable collision is defined under Section 170 of the Road Traffic Act 1988 and describes the legal responsibility on those drivers involved to report the matter to the police.  Where those involved exchange personal details, there is no legal requirement to report a collision to the police and this applies particularly to non-injury collisions.</w:t>
      </w:r>
    </w:p>
    <w:p w:rsidR="004C495C" w:rsidRPr="004C495C" w:rsidRDefault="004C495C" w:rsidP="004C495C">
      <w:pPr>
        <w:jc w:val="both"/>
        <w:rPr>
          <w:bCs/>
          <w:iCs/>
        </w:rPr>
      </w:pPr>
      <w:r w:rsidRPr="004C495C">
        <w:rPr>
          <w:bCs/>
          <w:iCs/>
        </w:rPr>
        <w:t>As such, there may have been other collisions within the location of your request, which were not reported to Police Scotland, nor which required a collision report to be created, and will therefore not be included within the statistics.</w:t>
      </w:r>
    </w:p>
    <w:p w:rsidR="007F490F" w:rsidRDefault="007F490F" w:rsidP="00793DD5"/>
    <w:p w:rsidR="00A76F80" w:rsidRDefault="004C495C" w:rsidP="00793DD5">
      <w:pPr>
        <w:rPr>
          <w:b/>
        </w:rPr>
      </w:pPr>
      <w:r>
        <w:rPr>
          <w:b/>
        </w:rPr>
        <w:t>STORM</w:t>
      </w:r>
      <w:r w:rsidR="00057BC4" w:rsidRPr="00A06EEB">
        <w:rPr>
          <w:b/>
        </w:rPr>
        <w:t xml:space="preserve"> </w:t>
      </w:r>
      <w:r>
        <w:rPr>
          <w:b/>
        </w:rPr>
        <w:t xml:space="preserve">Road Traffic </w:t>
      </w:r>
      <w:r w:rsidR="00057BC4" w:rsidRPr="00A06EEB">
        <w:rPr>
          <w:b/>
        </w:rPr>
        <w:t>Incidents on the A9 P</w:t>
      </w:r>
      <w:r w:rsidR="005906B8">
        <w:rPr>
          <w:b/>
        </w:rPr>
        <w:t>erth to Inverness</w:t>
      </w:r>
      <w:r>
        <w:rPr>
          <w:b/>
        </w:rPr>
        <w:t>, February 2018 to 31 December 2022</w:t>
      </w:r>
    </w:p>
    <w:tbl>
      <w:tblPr>
        <w:tblStyle w:val="TableGrid"/>
        <w:tblW w:w="7144" w:type="dxa"/>
        <w:tblLook w:val="04A0" w:firstRow="1" w:lastRow="0" w:firstColumn="1" w:lastColumn="0" w:noHBand="0" w:noVBand="1"/>
        <w:tblCaption w:val="STORM"/>
        <w:tblDescription w:val="Traffic Collision and Road Traffic Matter Incidents on the A9 Perth to Inverness"/>
      </w:tblPr>
      <w:tblGrid>
        <w:gridCol w:w="2724"/>
        <w:gridCol w:w="884"/>
        <w:gridCol w:w="884"/>
        <w:gridCol w:w="884"/>
        <w:gridCol w:w="884"/>
        <w:gridCol w:w="884"/>
      </w:tblGrid>
      <w:tr w:rsidR="004C495C" w:rsidRPr="004C495C" w:rsidTr="004C495C">
        <w:trPr>
          <w:cantSplit/>
          <w:trHeight w:val="318"/>
          <w:tblHeader/>
        </w:trPr>
        <w:tc>
          <w:tcPr>
            <w:tcW w:w="2724" w:type="dxa"/>
            <w:shd w:val="clear" w:color="auto" w:fill="D9D9D9" w:themeFill="background1" w:themeFillShade="D9"/>
          </w:tcPr>
          <w:p w:rsidR="004C495C" w:rsidRPr="004C495C" w:rsidRDefault="004C495C" w:rsidP="004C495C">
            <w:pPr>
              <w:rPr>
                <w:b/>
                <w:bCs/>
              </w:rPr>
            </w:pPr>
            <w:r w:rsidRPr="004C495C">
              <w:rPr>
                <w:b/>
                <w:bCs/>
              </w:rPr>
              <w:t>Initial incident type</w:t>
            </w:r>
          </w:p>
        </w:tc>
        <w:tc>
          <w:tcPr>
            <w:tcW w:w="884" w:type="dxa"/>
            <w:shd w:val="clear" w:color="auto" w:fill="D9D9D9" w:themeFill="background1" w:themeFillShade="D9"/>
          </w:tcPr>
          <w:p w:rsidR="004C495C" w:rsidRPr="004C495C" w:rsidRDefault="004C495C" w:rsidP="004C495C">
            <w:pPr>
              <w:rPr>
                <w:b/>
                <w:bCs/>
              </w:rPr>
            </w:pPr>
            <w:r w:rsidRPr="004C495C">
              <w:rPr>
                <w:b/>
                <w:bCs/>
              </w:rPr>
              <w:t>2018</w:t>
            </w:r>
          </w:p>
        </w:tc>
        <w:tc>
          <w:tcPr>
            <w:tcW w:w="884" w:type="dxa"/>
            <w:shd w:val="clear" w:color="auto" w:fill="D9D9D9" w:themeFill="background1" w:themeFillShade="D9"/>
          </w:tcPr>
          <w:p w:rsidR="004C495C" w:rsidRPr="004C495C" w:rsidRDefault="004C495C" w:rsidP="004C495C">
            <w:pPr>
              <w:rPr>
                <w:b/>
                <w:bCs/>
              </w:rPr>
            </w:pPr>
            <w:r w:rsidRPr="004C495C">
              <w:rPr>
                <w:b/>
                <w:bCs/>
              </w:rPr>
              <w:t>2019</w:t>
            </w:r>
          </w:p>
        </w:tc>
        <w:tc>
          <w:tcPr>
            <w:tcW w:w="884" w:type="dxa"/>
            <w:shd w:val="clear" w:color="auto" w:fill="D9D9D9" w:themeFill="background1" w:themeFillShade="D9"/>
          </w:tcPr>
          <w:p w:rsidR="004C495C" w:rsidRPr="004C495C" w:rsidRDefault="004C495C" w:rsidP="004C495C">
            <w:pPr>
              <w:rPr>
                <w:b/>
                <w:bCs/>
              </w:rPr>
            </w:pPr>
            <w:r w:rsidRPr="004C495C">
              <w:rPr>
                <w:b/>
                <w:bCs/>
              </w:rPr>
              <w:t>2020</w:t>
            </w:r>
          </w:p>
        </w:tc>
        <w:tc>
          <w:tcPr>
            <w:tcW w:w="884" w:type="dxa"/>
            <w:shd w:val="clear" w:color="auto" w:fill="D9D9D9" w:themeFill="background1" w:themeFillShade="D9"/>
          </w:tcPr>
          <w:p w:rsidR="004C495C" w:rsidRPr="004C495C" w:rsidRDefault="004C495C" w:rsidP="004C495C">
            <w:pPr>
              <w:rPr>
                <w:b/>
                <w:bCs/>
              </w:rPr>
            </w:pPr>
            <w:r w:rsidRPr="004C495C">
              <w:rPr>
                <w:b/>
                <w:bCs/>
              </w:rPr>
              <w:t>2021</w:t>
            </w:r>
          </w:p>
        </w:tc>
        <w:tc>
          <w:tcPr>
            <w:tcW w:w="884" w:type="dxa"/>
            <w:shd w:val="clear" w:color="auto" w:fill="D9D9D9" w:themeFill="background1" w:themeFillShade="D9"/>
          </w:tcPr>
          <w:p w:rsidR="004C495C" w:rsidRPr="004C495C" w:rsidRDefault="004C495C" w:rsidP="004C495C">
            <w:pPr>
              <w:rPr>
                <w:b/>
                <w:bCs/>
              </w:rPr>
            </w:pPr>
            <w:r w:rsidRPr="004C495C">
              <w:rPr>
                <w:b/>
                <w:bCs/>
              </w:rPr>
              <w:t>2022</w:t>
            </w:r>
          </w:p>
        </w:tc>
      </w:tr>
      <w:tr w:rsidR="004C495C" w:rsidRPr="004C495C" w:rsidTr="004C495C">
        <w:trPr>
          <w:trHeight w:val="300"/>
        </w:trPr>
        <w:tc>
          <w:tcPr>
            <w:tcW w:w="2724" w:type="dxa"/>
            <w:noWrap/>
            <w:hideMark/>
          </w:tcPr>
          <w:p w:rsidR="004C495C" w:rsidRPr="004C495C" w:rsidRDefault="004C495C" w:rsidP="004C495C">
            <w:r w:rsidRPr="004C495C">
              <w:t>Road traffic collision</w:t>
            </w:r>
          </w:p>
        </w:tc>
        <w:tc>
          <w:tcPr>
            <w:tcW w:w="884" w:type="dxa"/>
            <w:noWrap/>
            <w:hideMark/>
          </w:tcPr>
          <w:p w:rsidR="004C495C" w:rsidRPr="004C495C" w:rsidRDefault="004C495C" w:rsidP="004C495C">
            <w:r w:rsidRPr="004C495C">
              <w:t>96</w:t>
            </w:r>
          </w:p>
        </w:tc>
        <w:tc>
          <w:tcPr>
            <w:tcW w:w="884" w:type="dxa"/>
            <w:noWrap/>
            <w:hideMark/>
          </w:tcPr>
          <w:p w:rsidR="004C495C" w:rsidRPr="004C495C" w:rsidRDefault="004C495C" w:rsidP="004C495C">
            <w:r w:rsidRPr="004C495C">
              <w:t>133</w:t>
            </w:r>
          </w:p>
        </w:tc>
        <w:tc>
          <w:tcPr>
            <w:tcW w:w="884" w:type="dxa"/>
            <w:noWrap/>
            <w:hideMark/>
          </w:tcPr>
          <w:p w:rsidR="004C495C" w:rsidRPr="004C495C" w:rsidRDefault="004C495C" w:rsidP="004C495C">
            <w:r w:rsidRPr="004C495C">
              <w:t>83</w:t>
            </w:r>
          </w:p>
        </w:tc>
        <w:tc>
          <w:tcPr>
            <w:tcW w:w="884" w:type="dxa"/>
            <w:noWrap/>
            <w:hideMark/>
          </w:tcPr>
          <w:p w:rsidR="004C495C" w:rsidRPr="004C495C" w:rsidRDefault="004C495C" w:rsidP="004C495C">
            <w:r w:rsidRPr="004C495C">
              <w:t>104</w:t>
            </w:r>
          </w:p>
        </w:tc>
        <w:tc>
          <w:tcPr>
            <w:tcW w:w="884" w:type="dxa"/>
            <w:noWrap/>
            <w:hideMark/>
          </w:tcPr>
          <w:p w:rsidR="004C495C" w:rsidRPr="004C495C" w:rsidRDefault="004C495C" w:rsidP="004C495C">
            <w:r w:rsidRPr="004C495C">
              <w:t>159</w:t>
            </w:r>
          </w:p>
        </w:tc>
      </w:tr>
      <w:tr w:rsidR="004C495C" w:rsidRPr="004C495C" w:rsidTr="004C495C">
        <w:trPr>
          <w:trHeight w:val="300"/>
        </w:trPr>
        <w:tc>
          <w:tcPr>
            <w:tcW w:w="2724" w:type="dxa"/>
            <w:noWrap/>
            <w:hideMark/>
          </w:tcPr>
          <w:p w:rsidR="004C495C" w:rsidRPr="004C495C" w:rsidRDefault="004C495C" w:rsidP="004C495C">
            <w:r w:rsidRPr="004C495C">
              <w:t>Road traffic matter</w:t>
            </w:r>
          </w:p>
        </w:tc>
        <w:tc>
          <w:tcPr>
            <w:tcW w:w="884" w:type="dxa"/>
            <w:noWrap/>
            <w:hideMark/>
          </w:tcPr>
          <w:p w:rsidR="004C495C" w:rsidRPr="004C495C" w:rsidRDefault="004C495C" w:rsidP="004C495C">
            <w:r w:rsidRPr="004C495C">
              <w:t>592</w:t>
            </w:r>
          </w:p>
        </w:tc>
        <w:tc>
          <w:tcPr>
            <w:tcW w:w="884" w:type="dxa"/>
            <w:noWrap/>
            <w:hideMark/>
          </w:tcPr>
          <w:p w:rsidR="004C495C" w:rsidRPr="004C495C" w:rsidRDefault="004C495C" w:rsidP="004C495C">
            <w:r w:rsidRPr="004C495C">
              <w:t>620</w:t>
            </w:r>
          </w:p>
        </w:tc>
        <w:tc>
          <w:tcPr>
            <w:tcW w:w="884" w:type="dxa"/>
            <w:noWrap/>
            <w:hideMark/>
          </w:tcPr>
          <w:p w:rsidR="004C495C" w:rsidRPr="004C495C" w:rsidRDefault="004C495C" w:rsidP="004C495C">
            <w:r w:rsidRPr="004C495C">
              <w:t>359</w:t>
            </w:r>
          </w:p>
        </w:tc>
        <w:tc>
          <w:tcPr>
            <w:tcW w:w="884" w:type="dxa"/>
            <w:noWrap/>
            <w:hideMark/>
          </w:tcPr>
          <w:p w:rsidR="004C495C" w:rsidRPr="004C495C" w:rsidRDefault="004C495C" w:rsidP="004C495C">
            <w:r w:rsidRPr="004C495C">
              <w:t>452</w:t>
            </w:r>
          </w:p>
        </w:tc>
        <w:tc>
          <w:tcPr>
            <w:tcW w:w="884" w:type="dxa"/>
            <w:noWrap/>
            <w:hideMark/>
          </w:tcPr>
          <w:p w:rsidR="004C495C" w:rsidRPr="004C495C" w:rsidRDefault="004C495C" w:rsidP="004C495C">
            <w:r w:rsidRPr="004C495C">
              <w:t>575</w:t>
            </w:r>
          </w:p>
        </w:tc>
      </w:tr>
    </w:tbl>
    <w:p w:rsidR="00475339" w:rsidRDefault="00475339" w:rsidP="00793DD5">
      <w:r w:rsidRPr="00475339">
        <w:t xml:space="preserve">All statistics are provisional and should be treated as management information. </w:t>
      </w:r>
      <w:r w:rsidR="004C495C">
        <w:br/>
      </w:r>
      <w:r w:rsidRPr="00475339">
        <w:t>All data have been extracted from Police Scotland internal systems and are correct as at 13/02/2022.</w:t>
      </w:r>
      <w:bookmarkStart w:id="0" w:name="_GoBack"/>
      <w:bookmarkEnd w:id="0"/>
    </w:p>
    <w:p w:rsidR="00A06EEB" w:rsidRDefault="00A06EEB" w:rsidP="00793DD5"/>
    <w:sectPr w:rsidR="00A06EEB" w:rsidSect="004C495C">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7533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2" name="Picture 12"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w:t>
    </w:r>
    <w:proofErr w:type="spellStart"/>
    <w:r>
      <w:rPr>
        <w:sz w:val="16"/>
        <w:szCs w:val="16"/>
      </w:rPr>
      <w:t>PoliceScotland</w:t>
    </w:r>
    <w:proofErr w:type="spellEnd"/>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3" name="Picture 13"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7533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7533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75339">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7533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75339">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57BC4"/>
    <w:rsid w:val="00090F3B"/>
    <w:rsid w:val="000E6526"/>
    <w:rsid w:val="00141533"/>
    <w:rsid w:val="00167528"/>
    <w:rsid w:val="00195CC4"/>
    <w:rsid w:val="001C749B"/>
    <w:rsid w:val="00253DF6"/>
    <w:rsid w:val="00255F1E"/>
    <w:rsid w:val="0033616B"/>
    <w:rsid w:val="0036503B"/>
    <w:rsid w:val="003D6D03"/>
    <w:rsid w:val="003E12CA"/>
    <w:rsid w:val="004010DC"/>
    <w:rsid w:val="004341F0"/>
    <w:rsid w:val="00456324"/>
    <w:rsid w:val="00475339"/>
    <w:rsid w:val="00475460"/>
    <w:rsid w:val="00490317"/>
    <w:rsid w:val="00491644"/>
    <w:rsid w:val="00496A08"/>
    <w:rsid w:val="004C495C"/>
    <w:rsid w:val="004E1605"/>
    <w:rsid w:val="004F653C"/>
    <w:rsid w:val="00540A52"/>
    <w:rsid w:val="00557306"/>
    <w:rsid w:val="005906B8"/>
    <w:rsid w:val="006D5799"/>
    <w:rsid w:val="00750D83"/>
    <w:rsid w:val="00793DD5"/>
    <w:rsid w:val="007D55F6"/>
    <w:rsid w:val="007F490F"/>
    <w:rsid w:val="0086779C"/>
    <w:rsid w:val="00874BFD"/>
    <w:rsid w:val="008964EF"/>
    <w:rsid w:val="009631A4"/>
    <w:rsid w:val="00977296"/>
    <w:rsid w:val="00A06EEB"/>
    <w:rsid w:val="00A25E93"/>
    <w:rsid w:val="00A320FF"/>
    <w:rsid w:val="00A70AC0"/>
    <w:rsid w:val="00A76F80"/>
    <w:rsid w:val="00AC443C"/>
    <w:rsid w:val="00B11A55"/>
    <w:rsid w:val="00B17211"/>
    <w:rsid w:val="00B461B2"/>
    <w:rsid w:val="00B71B3C"/>
    <w:rsid w:val="00BC389E"/>
    <w:rsid w:val="00BF6B81"/>
    <w:rsid w:val="00C077A8"/>
    <w:rsid w:val="00C12C86"/>
    <w:rsid w:val="00C606A2"/>
    <w:rsid w:val="00C63872"/>
    <w:rsid w:val="00C84948"/>
    <w:rsid w:val="00CF1111"/>
    <w:rsid w:val="00D05706"/>
    <w:rsid w:val="00D27DC5"/>
    <w:rsid w:val="00D47E36"/>
    <w:rsid w:val="00E55D79"/>
    <w:rsid w:val="00EF4761"/>
    <w:rsid w:val="00F81A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BodyText">
    <w:name w:val="Body Text"/>
    <w:basedOn w:val="Normal"/>
    <w:link w:val="BodyTextChar"/>
    <w:rsid w:val="00A06EEB"/>
    <w:pPr>
      <w:tabs>
        <w:tab w:val="left" w:pos="5400"/>
      </w:tabs>
      <w:spacing w:before="0" w:after="0" w:line="240" w:lineRule="auto"/>
      <w:outlineLvl w:val="0"/>
    </w:pPr>
    <w:rPr>
      <w:rFonts w:eastAsia="Times New Roman"/>
      <w:bCs/>
      <w:lang w:eastAsia="en-GB"/>
    </w:rPr>
  </w:style>
  <w:style w:type="character" w:customStyle="1" w:styleId="BodyTextChar">
    <w:name w:val="Body Text Char"/>
    <w:basedOn w:val="DefaultParagraphFont"/>
    <w:link w:val="BodyText"/>
    <w:rsid w:val="00A06EEB"/>
    <w:rPr>
      <w:rFonts w:eastAsia="Times New Roman"/>
      <w:bC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55154">
      <w:bodyDiv w:val="1"/>
      <w:marLeft w:val="0"/>
      <w:marRight w:val="0"/>
      <w:marTop w:val="0"/>
      <w:marBottom w:val="0"/>
      <w:divBdr>
        <w:top w:val="none" w:sz="0" w:space="0" w:color="auto"/>
        <w:left w:val="none" w:sz="0" w:space="0" w:color="auto"/>
        <w:bottom w:val="none" w:sz="0" w:space="0" w:color="auto"/>
        <w:right w:val="none" w:sz="0" w:space="0" w:color="auto"/>
      </w:divBdr>
    </w:div>
    <w:div w:id="181751594">
      <w:bodyDiv w:val="1"/>
      <w:marLeft w:val="0"/>
      <w:marRight w:val="0"/>
      <w:marTop w:val="0"/>
      <w:marBottom w:val="0"/>
      <w:divBdr>
        <w:top w:val="none" w:sz="0" w:space="0" w:color="auto"/>
        <w:left w:val="none" w:sz="0" w:space="0" w:color="auto"/>
        <w:bottom w:val="none" w:sz="0" w:space="0" w:color="auto"/>
        <w:right w:val="none" w:sz="0" w:space="0" w:color="auto"/>
      </w:divBdr>
    </w:div>
    <w:div w:id="189996145">
      <w:bodyDiv w:val="1"/>
      <w:marLeft w:val="0"/>
      <w:marRight w:val="0"/>
      <w:marTop w:val="0"/>
      <w:marBottom w:val="0"/>
      <w:divBdr>
        <w:top w:val="none" w:sz="0" w:space="0" w:color="auto"/>
        <w:left w:val="none" w:sz="0" w:space="0" w:color="auto"/>
        <w:bottom w:val="none" w:sz="0" w:space="0" w:color="auto"/>
        <w:right w:val="none" w:sz="0" w:space="0" w:color="auto"/>
      </w:divBdr>
    </w:div>
    <w:div w:id="716121006">
      <w:bodyDiv w:val="1"/>
      <w:marLeft w:val="0"/>
      <w:marRight w:val="0"/>
      <w:marTop w:val="0"/>
      <w:marBottom w:val="0"/>
      <w:divBdr>
        <w:top w:val="none" w:sz="0" w:space="0" w:color="auto"/>
        <w:left w:val="none" w:sz="0" w:space="0" w:color="auto"/>
        <w:bottom w:val="none" w:sz="0" w:space="0" w:color="auto"/>
        <w:right w:val="none" w:sz="0" w:space="0" w:color="auto"/>
      </w:divBdr>
    </w:div>
    <w:div w:id="846209063">
      <w:bodyDiv w:val="1"/>
      <w:marLeft w:val="0"/>
      <w:marRight w:val="0"/>
      <w:marTop w:val="0"/>
      <w:marBottom w:val="0"/>
      <w:divBdr>
        <w:top w:val="none" w:sz="0" w:space="0" w:color="auto"/>
        <w:left w:val="none" w:sz="0" w:space="0" w:color="auto"/>
        <w:bottom w:val="none" w:sz="0" w:space="0" w:color="auto"/>
        <w:right w:val="none" w:sz="0" w:space="0" w:color="auto"/>
      </w:divBdr>
    </w:div>
    <w:div w:id="997459827">
      <w:bodyDiv w:val="1"/>
      <w:marLeft w:val="0"/>
      <w:marRight w:val="0"/>
      <w:marTop w:val="0"/>
      <w:marBottom w:val="0"/>
      <w:divBdr>
        <w:top w:val="none" w:sz="0" w:space="0" w:color="auto"/>
        <w:left w:val="none" w:sz="0" w:space="0" w:color="auto"/>
        <w:bottom w:val="none" w:sz="0" w:space="0" w:color="auto"/>
        <w:right w:val="none" w:sz="0" w:space="0" w:color="auto"/>
      </w:divBdr>
    </w:div>
    <w:div w:id="1470824691">
      <w:bodyDiv w:val="1"/>
      <w:marLeft w:val="0"/>
      <w:marRight w:val="0"/>
      <w:marTop w:val="0"/>
      <w:marBottom w:val="0"/>
      <w:divBdr>
        <w:top w:val="none" w:sz="0" w:space="0" w:color="auto"/>
        <w:left w:val="none" w:sz="0" w:space="0" w:color="auto"/>
        <w:bottom w:val="none" w:sz="0" w:space="0" w:color="auto"/>
        <w:right w:val="none" w:sz="0" w:space="0" w:color="auto"/>
      </w:divBdr>
    </w:div>
    <w:div w:id="1739284898">
      <w:bodyDiv w:val="1"/>
      <w:marLeft w:val="0"/>
      <w:marRight w:val="0"/>
      <w:marTop w:val="0"/>
      <w:marBottom w:val="0"/>
      <w:divBdr>
        <w:top w:val="none" w:sz="0" w:space="0" w:color="auto"/>
        <w:left w:val="none" w:sz="0" w:space="0" w:color="auto"/>
        <w:bottom w:val="none" w:sz="0" w:space="0" w:color="auto"/>
        <w:right w:val="none" w:sz="0" w:space="0" w:color="auto"/>
      </w:divBdr>
    </w:div>
    <w:div w:id="1815760232">
      <w:bodyDiv w:val="1"/>
      <w:marLeft w:val="0"/>
      <w:marRight w:val="0"/>
      <w:marTop w:val="0"/>
      <w:marBottom w:val="0"/>
      <w:divBdr>
        <w:top w:val="none" w:sz="0" w:space="0" w:color="auto"/>
        <w:left w:val="none" w:sz="0" w:space="0" w:color="auto"/>
        <w:bottom w:val="none" w:sz="0" w:space="0" w:color="auto"/>
        <w:right w:val="none" w:sz="0" w:space="0" w:color="auto"/>
      </w:divBdr>
    </w:div>
    <w:div w:id="1950775702">
      <w:bodyDiv w:val="1"/>
      <w:marLeft w:val="0"/>
      <w:marRight w:val="0"/>
      <w:marTop w:val="0"/>
      <w:marBottom w:val="0"/>
      <w:divBdr>
        <w:top w:val="none" w:sz="0" w:space="0" w:color="auto"/>
        <w:left w:val="none" w:sz="0" w:space="0" w:color="auto"/>
        <w:bottom w:val="none" w:sz="0" w:space="0" w:color="auto"/>
        <w:right w:val="none" w:sz="0" w:space="0" w:color="auto"/>
      </w:divBdr>
    </w:div>
    <w:div w:id="1979605171">
      <w:bodyDiv w:val="1"/>
      <w:marLeft w:val="0"/>
      <w:marRight w:val="0"/>
      <w:marTop w:val="0"/>
      <w:marBottom w:val="0"/>
      <w:divBdr>
        <w:top w:val="none" w:sz="0" w:space="0" w:color="auto"/>
        <w:left w:val="none" w:sz="0" w:space="0" w:color="auto"/>
        <w:bottom w:val="none" w:sz="0" w:space="0" w:color="auto"/>
        <w:right w:val="none" w:sz="0" w:space="0" w:color="auto"/>
      </w:divBdr>
    </w:div>
    <w:div w:id="204212300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spublicknowledge.info/Appea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info@transport.gov.scot"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718BD-46B1-4A43-AF70-DC223C550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2</Pages>
  <Words>561</Words>
  <Characters>3201</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2021-10-06T12:31:00Z</dcterms:created>
  <dcterms:modified xsi:type="dcterms:W3CDTF">2023-02-22T14:14:00Z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