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20BC1F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340EB">
              <w:t>07</w:t>
            </w:r>
            <w:r w:rsidR="00277AB2">
              <w:t>60</w:t>
            </w:r>
          </w:p>
          <w:p w14:paraId="34BDABA6" w14:textId="77E5B1C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27D5">
              <w:t>17</w:t>
            </w:r>
            <w:r w:rsidR="006D5799">
              <w:t xml:space="preserve"> </w:t>
            </w:r>
            <w:r w:rsidR="007340EB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863025" w14:textId="77777777" w:rsidR="00BA0743" w:rsidRDefault="00BA0743" w:rsidP="00BA0743">
      <w:pPr>
        <w:pStyle w:val="Heading2"/>
      </w:pPr>
      <w:r w:rsidRPr="00BA0743">
        <w:t xml:space="preserve">Please can you provide, for the area covered by Scotland Police (Glasgow), the total number of offences recorded in 2024 to motorists for having a registration plate that was mark obscured / indistinguishable? </w:t>
      </w:r>
    </w:p>
    <w:p w14:paraId="34BDABAB" w14:textId="756EDAF9" w:rsidR="00255F1E" w:rsidRDefault="007340EB" w:rsidP="00793DD5">
      <w:pPr>
        <w:tabs>
          <w:tab w:val="left" w:pos="5400"/>
        </w:tabs>
      </w:pPr>
      <w:r>
        <w:t xml:space="preserve">In response to your request, the table below details fixed penalty notices issued </w:t>
      </w:r>
      <w:r w:rsidR="00D84661">
        <w:t>in 2024 for</w:t>
      </w:r>
      <w:r>
        <w:t xml:space="preserve"> the offences </w:t>
      </w:r>
      <w:r w:rsidR="007943DC">
        <w:t xml:space="preserve">of Obscured Number/Hackney Plate and Registration Mark (Size, Shape or Character of Letter) </w:t>
      </w:r>
      <w:r w:rsidR="007943DC" w:rsidRPr="007943DC">
        <w:t xml:space="preserve">in accordance with the Scottish Government Justice Department (SGJD) offence </w:t>
      </w:r>
      <w:r w:rsidR="00D84661">
        <w:t>classifications.</w:t>
      </w:r>
      <w:r w:rsidR="00C22338">
        <w:t xml:space="preserve">  The data </w:t>
      </w:r>
      <w:r w:rsidR="004F0CAB">
        <w:t>is</w:t>
      </w:r>
      <w:r w:rsidR="00C22338">
        <w:t xml:space="preserve"> broken down by Police Scotland Division.</w:t>
      </w:r>
    </w:p>
    <w:tbl>
      <w:tblPr>
        <w:tblStyle w:val="TableGrid"/>
        <w:tblW w:w="9921" w:type="dxa"/>
        <w:tblLook w:val="04A0" w:firstRow="1" w:lastRow="0" w:firstColumn="1" w:lastColumn="0" w:noHBand="0" w:noVBand="1"/>
        <w:tblCaption w:val="No's of fixed penalty notices issued in 2024 for the offences of Obscured Number/Hackney Plate and Registration Mark (Size, Shape or Character of Letter) "/>
        <w:tblDescription w:val="No's of fixed penalty notices issued in 2024 for the offences of Obscured Number/Hackney Plate and Registration Mark (Size, Shape or Character of Letter) "/>
      </w:tblPr>
      <w:tblGrid>
        <w:gridCol w:w="4106"/>
        <w:gridCol w:w="2410"/>
        <w:gridCol w:w="3405"/>
      </w:tblGrid>
      <w:tr w:rsidR="00BA0743" w:rsidRPr="00557306" w14:paraId="34BDABB1" w14:textId="77777777" w:rsidTr="004F0CAB">
        <w:trPr>
          <w:trHeight w:val="628"/>
          <w:tblHeader/>
        </w:trPr>
        <w:tc>
          <w:tcPr>
            <w:tcW w:w="4106" w:type="dxa"/>
            <w:shd w:val="clear" w:color="auto" w:fill="D9D9D9" w:themeFill="background1" w:themeFillShade="D9"/>
          </w:tcPr>
          <w:p w14:paraId="34BDABAC" w14:textId="1D520415" w:rsidR="00BA0743" w:rsidRPr="00557306" w:rsidRDefault="00BA0743" w:rsidP="004F0CAB">
            <w:pPr>
              <w:pStyle w:val="Heading2"/>
              <w:spacing w:line="240" w:lineRule="auto"/>
            </w:pPr>
            <w:r>
              <w:t>Division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F89F2A3" w14:textId="2861E4E8" w:rsidR="00BA0743" w:rsidRDefault="00BA0743" w:rsidP="004F0CAB">
            <w:pPr>
              <w:pStyle w:val="Heading2"/>
              <w:spacing w:line="240" w:lineRule="auto"/>
              <w:jc w:val="center"/>
            </w:pPr>
            <w:r>
              <w:t>Obscured Number/</w:t>
            </w:r>
            <w:r w:rsidR="004F0CAB">
              <w:t xml:space="preserve"> </w:t>
            </w:r>
            <w:r>
              <w:t>Hackney Plate</w:t>
            </w:r>
          </w:p>
        </w:tc>
        <w:tc>
          <w:tcPr>
            <w:tcW w:w="3405" w:type="dxa"/>
            <w:shd w:val="clear" w:color="auto" w:fill="D9D9D9" w:themeFill="background1" w:themeFillShade="D9"/>
          </w:tcPr>
          <w:p w14:paraId="34BDABAD" w14:textId="18705462" w:rsidR="00BA0743" w:rsidRPr="00557306" w:rsidRDefault="00BA0743" w:rsidP="004F0CAB">
            <w:pPr>
              <w:pStyle w:val="Heading2"/>
              <w:spacing w:line="240" w:lineRule="auto"/>
              <w:jc w:val="center"/>
            </w:pPr>
            <w:r>
              <w:t>Registration Mark (Size, Shape or Character of Letter)</w:t>
            </w:r>
          </w:p>
        </w:tc>
      </w:tr>
      <w:tr w:rsidR="004E39E1" w14:paraId="34BDABB7" w14:textId="77777777" w:rsidTr="004F0CAB">
        <w:tc>
          <w:tcPr>
            <w:tcW w:w="4106" w:type="dxa"/>
          </w:tcPr>
          <w:p w14:paraId="34BDABB2" w14:textId="60D5BE18" w:rsidR="004E39E1" w:rsidRDefault="004E39E1" w:rsidP="004F0CAB">
            <w:pPr>
              <w:tabs>
                <w:tab w:val="left" w:pos="5400"/>
              </w:tabs>
              <w:spacing w:line="240" w:lineRule="auto"/>
            </w:pPr>
            <w:r w:rsidRPr="00125E3F">
              <w:t>Aberdeen, Aberdeenshire &amp; Moray</w:t>
            </w:r>
          </w:p>
        </w:tc>
        <w:tc>
          <w:tcPr>
            <w:tcW w:w="2410" w:type="dxa"/>
          </w:tcPr>
          <w:p w14:paraId="7DA60395" w14:textId="33878706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14</w:t>
            </w:r>
          </w:p>
        </w:tc>
        <w:tc>
          <w:tcPr>
            <w:tcW w:w="3405" w:type="dxa"/>
          </w:tcPr>
          <w:p w14:paraId="34BDABB3" w14:textId="2BC8DF06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112</w:t>
            </w:r>
          </w:p>
        </w:tc>
      </w:tr>
      <w:tr w:rsidR="004E39E1" w14:paraId="330A64FA" w14:textId="77777777" w:rsidTr="004F0CAB">
        <w:tc>
          <w:tcPr>
            <w:tcW w:w="4106" w:type="dxa"/>
          </w:tcPr>
          <w:p w14:paraId="2F2DC867" w14:textId="315F6E60" w:rsidR="004E39E1" w:rsidRDefault="004E39E1" w:rsidP="004F0CAB">
            <w:pPr>
              <w:tabs>
                <w:tab w:val="left" w:pos="5400"/>
              </w:tabs>
              <w:spacing w:line="240" w:lineRule="auto"/>
            </w:pPr>
            <w:r w:rsidRPr="00125E3F">
              <w:t>Forth Valley</w:t>
            </w:r>
          </w:p>
        </w:tc>
        <w:tc>
          <w:tcPr>
            <w:tcW w:w="2410" w:type="dxa"/>
          </w:tcPr>
          <w:p w14:paraId="28A61CD5" w14:textId="7153C2C6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405" w:type="dxa"/>
          </w:tcPr>
          <w:p w14:paraId="0A6DD829" w14:textId="055FA597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29</w:t>
            </w:r>
          </w:p>
        </w:tc>
      </w:tr>
      <w:tr w:rsidR="004E39E1" w14:paraId="05F30898" w14:textId="77777777" w:rsidTr="004F0CAB">
        <w:tc>
          <w:tcPr>
            <w:tcW w:w="4106" w:type="dxa"/>
          </w:tcPr>
          <w:p w14:paraId="122B167C" w14:textId="573EAB7A" w:rsidR="004E39E1" w:rsidRDefault="004E39E1" w:rsidP="004F0CAB">
            <w:pPr>
              <w:tabs>
                <w:tab w:val="left" w:pos="5400"/>
              </w:tabs>
              <w:spacing w:line="240" w:lineRule="auto"/>
            </w:pPr>
            <w:r w:rsidRPr="00125E3F">
              <w:t>Tayside</w:t>
            </w:r>
          </w:p>
        </w:tc>
        <w:tc>
          <w:tcPr>
            <w:tcW w:w="2410" w:type="dxa"/>
          </w:tcPr>
          <w:p w14:paraId="1A0A5284" w14:textId="35641EB7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9</w:t>
            </w:r>
          </w:p>
        </w:tc>
        <w:tc>
          <w:tcPr>
            <w:tcW w:w="3405" w:type="dxa"/>
          </w:tcPr>
          <w:p w14:paraId="190C3FA9" w14:textId="26397514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89</w:t>
            </w:r>
          </w:p>
        </w:tc>
      </w:tr>
      <w:tr w:rsidR="004E39E1" w14:paraId="68B6E40B" w14:textId="77777777" w:rsidTr="004F0CAB">
        <w:tc>
          <w:tcPr>
            <w:tcW w:w="4106" w:type="dxa"/>
          </w:tcPr>
          <w:p w14:paraId="579D6CA9" w14:textId="15AF88CC" w:rsidR="004E39E1" w:rsidRDefault="004E39E1" w:rsidP="004F0CAB">
            <w:pPr>
              <w:tabs>
                <w:tab w:val="left" w:pos="5400"/>
              </w:tabs>
              <w:spacing w:line="240" w:lineRule="auto"/>
            </w:pPr>
            <w:r w:rsidRPr="00125E3F">
              <w:t>Edinburgh</w:t>
            </w:r>
          </w:p>
        </w:tc>
        <w:tc>
          <w:tcPr>
            <w:tcW w:w="2410" w:type="dxa"/>
          </w:tcPr>
          <w:p w14:paraId="4D5E6723" w14:textId="77777777" w:rsidR="004E39E1" w:rsidRDefault="004E39E1" w:rsidP="004F0CAB">
            <w:pPr>
              <w:tabs>
                <w:tab w:val="left" w:pos="5400"/>
              </w:tabs>
              <w:spacing w:line="240" w:lineRule="auto"/>
              <w:jc w:val="center"/>
            </w:pPr>
          </w:p>
        </w:tc>
        <w:tc>
          <w:tcPr>
            <w:tcW w:w="3405" w:type="dxa"/>
          </w:tcPr>
          <w:p w14:paraId="39A77817" w14:textId="7F6D5EAE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20</w:t>
            </w:r>
          </w:p>
        </w:tc>
      </w:tr>
      <w:tr w:rsidR="004E39E1" w14:paraId="6CDB59CE" w14:textId="77777777" w:rsidTr="004F0CAB">
        <w:tc>
          <w:tcPr>
            <w:tcW w:w="4106" w:type="dxa"/>
          </w:tcPr>
          <w:p w14:paraId="75730AED" w14:textId="64C03E97" w:rsidR="004E39E1" w:rsidRDefault="004E39E1" w:rsidP="004F0CAB">
            <w:pPr>
              <w:tabs>
                <w:tab w:val="left" w:pos="5400"/>
              </w:tabs>
              <w:spacing w:line="240" w:lineRule="auto"/>
            </w:pPr>
            <w:r w:rsidRPr="00125E3F">
              <w:t>Greater Glasgow</w:t>
            </w:r>
          </w:p>
        </w:tc>
        <w:tc>
          <w:tcPr>
            <w:tcW w:w="2410" w:type="dxa"/>
          </w:tcPr>
          <w:p w14:paraId="59772939" w14:textId="5CFB24D3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3405" w:type="dxa"/>
          </w:tcPr>
          <w:p w14:paraId="4B7544C0" w14:textId="7948AA0E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213</w:t>
            </w:r>
          </w:p>
        </w:tc>
      </w:tr>
      <w:tr w:rsidR="004E39E1" w14:paraId="38D18B7E" w14:textId="77777777" w:rsidTr="004F0CAB">
        <w:tc>
          <w:tcPr>
            <w:tcW w:w="4106" w:type="dxa"/>
          </w:tcPr>
          <w:p w14:paraId="36112ECB" w14:textId="7625C7CB" w:rsidR="004E39E1" w:rsidRDefault="004E39E1" w:rsidP="004F0CAB">
            <w:pPr>
              <w:tabs>
                <w:tab w:val="left" w:pos="5400"/>
              </w:tabs>
              <w:spacing w:line="240" w:lineRule="auto"/>
            </w:pPr>
            <w:r w:rsidRPr="00125E3F">
              <w:t>Lothian &amp; Scottish Borders</w:t>
            </w:r>
          </w:p>
        </w:tc>
        <w:tc>
          <w:tcPr>
            <w:tcW w:w="2410" w:type="dxa"/>
          </w:tcPr>
          <w:p w14:paraId="4C3CFE6F" w14:textId="29C0A465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  <w:tc>
          <w:tcPr>
            <w:tcW w:w="3405" w:type="dxa"/>
          </w:tcPr>
          <w:p w14:paraId="5AF9B640" w14:textId="73B0CF26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</w:tr>
      <w:tr w:rsidR="004E39E1" w14:paraId="2C33FFC4" w14:textId="77777777" w:rsidTr="004F0CAB">
        <w:tc>
          <w:tcPr>
            <w:tcW w:w="4106" w:type="dxa"/>
          </w:tcPr>
          <w:p w14:paraId="59E13D3C" w14:textId="791C097B" w:rsidR="004E39E1" w:rsidRDefault="004E39E1" w:rsidP="004F0CAB">
            <w:pPr>
              <w:tabs>
                <w:tab w:val="left" w:pos="5400"/>
              </w:tabs>
              <w:spacing w:line="240" w:lineRule="auto"/>
            </w:pPr>
            <w:r w:rsidRPr="00125E3F">
              <w:t>Renfrewshire &amp; Inverclyde</w:t>
            </w:r>
          </w:p>
        </w:tc>
        <w:tc>
          <w:tcPr>
            <w:tcW w:w="2410" w:type="dxa"/>
          </w:tcPr>
          <w:p w14:paraId="30F7062F" w14:textId="5E6F8630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3405" w:type="dxa"/>
          </w:tcPr>
          <w:p w14:paraId="0FB4F552" w14:textId="034039A3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55</w:t>
            </w:r>
          </w:p>
        </w:tc>
      </w:tr>
      <w:tr w:rsidR="004E39E1" w14:paraId="71251397" w14:textId="77777777" w:rsidTr="004F0CAB">
        <w:tc>
          <w:tcPr>
            <w:tcW w:w="4106" w:type="dxa"/>
          </w:tcPr>
          <w:p w14:paraId="61E7C5C9" w14:textId="6EDAA61F" w:rsidR="004E39E1" w:rsidRDefault="004E39E1" w:rsidP="004F0CAB">
            <w:pPr>
              <w:tabs>
                <w:tab w:val="left" w:pos="5400"/>
              </w:tabs>
              <w:spacing w:line="240" w:lineRule="auto"/>
            </w:pPr>
            <w:r w:rsidRPr="00125E3F">
              <w:t>Argyle &amp; West Dunbartonshire</w:t>
            </w:r>
          </w:p>
        </w:tc>
        <w:tc>
          <w:tcPr>
            <w:tcW w:w="2410" w:type="dxa"/>
          </w:tcPr>
          <w:p w14:paraId="139BAA15" w14:textId="64A45ABE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  <w:tc>
          <w:tcPr>
            <w:tcW w:w="3405" w:type="dxa"/>
          </w:tcPr>
          <w:p w14:paraId="55D896FC" w14:textId="79FC8C6D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29</w:t>
            </w:r>
          </w:p>
        </w:tc>
      </w:tr>
      <w:tr w:rsidR="004E39E1" w14:paraId="345D3F57" w14:textId="77777777" w:rsidTr="004F0CAB">
        <w:tc>
          <w:tcPr>
            <w:tcW w:w="4106" w:type="dxa"/>
          </w:tcPr>
          <w:p w14:paraId="7EB9D4ED" w14:textId="5655AC43" w:rsidR="004E39E1" w:rsidRDefault="004E39E1" w:rsidP="004F0CAB">
            <w:pPr>
              <w:tabs>
                <w:tab w:val="left" w:pos="5400"/>
              </w:tabs>
              <w:spacing w:line="240" w:lineRule="auto"/>
            </w:pPr>
            <w:r w:rsidRPr="00125E3F">
              <w:t>Northern</w:t>
            </w:r>
          </w:p>
        </w:tc>
        <w:tc>
          <w:tcPr>
            <w:tcW w:w="2410" w:type="dxa"/>
          </w:tcPr>
          <w:p w14:paraId="3A2A75CB" w14:textId="103A125A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3405" w:type="dxa"/>
          </w:tcPr>
          <w:p w14:paraId="09F5C397" w14:textId="7F0E8C18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50</w:t>
            </w:r>
          </w:p>
        </w:tc>
      </w:tr>
      <w:tr w:rsidR="004E39E1" w14:paraId="53B4819D" w14:textId="77777777" w:rsidTr="004F0CAB">
        <w:tc>
          <w:tcPr>
            <w:tcW w:w="4106" w:type="dxa"/>
          </w:tcPr>
          <w:p w14:paraId="7853AB05" w14:textId="09A18A27" w:rsidR="004E39E1" w:rsidRDefault="004E39E1" w:rsidP="004F0CAB">
            <w:pPr>
              <w:tabs>
                <w:tab w:val="left" w:pos="5400"/>
              </w:tabs>
              <w:spacing w:line="240" w:lineRule="auto"/>
            </w:pPr>
            <w:r w:rsidRPr="00125E3F">
              <w:t>Fife</w:t>
            </w:r>
          </w:p>
        </w:tc>
        <w:tc>
          <w:tcPr>
            <w:tcW w:w="2410" w:type="dxa"/>
          </w:tcPr>
          <w:p w14:paraId="3CD4C46B" w14:textId="1EDECCAE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3405" w:type="dxa"/>
          </w:tcPr>
          <w:p w14:paraId="49802266" w14:textId="6C21724C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7</w:t>
            </w:r>
          </w:p>
        </w:tc>
      </w:tr>
      <w:tr w:rsidR="004E39E1" w14:paraId="3DA368E7" w14:textId="77777777" w:rsidTr="004F0CAB">
        <w:tc>
          <w:tcPr>
            <w:tcW w:w="4106" w:type="dxa"/>
          </w:tcPr>
          <w:p w14:paraId="4EDD46B7" w14:textId="2AD9D65E" w:rsidR="004E39E1" w:rsidRDefault="004E39E1" w:rsidP="004F0CAB">
            <w:pPr>
              <w:tabs>
                <w:tab w:val="left" w:pos="5400"/>
              </w:tabs>
              <w:spacing w:line="240" w:lineRule="auto"/>
            </w:pPr>
            <w:r w:rsidRPr="00125E3F">
              <w:t>Lanarkshire</w:t>
            </w:r>
          </w:p>
        </w:tc>
        <w:tc>
          <w:tcPr>
            <w:tcW w:w="2410" w:type="dxa"/>
          </w:tcPr>
          <w:p w14:paraId="19EEBCCA" w14:textId="645EFBB6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5</w:t>
            </w:r>
          </w:p>
        </w:tc>
        <w:tc>
          <w:tcPr>
            <w:tcW w:w="3405" w:type="dxa"/>
          </w:tcPr>
          <w:p w14:paraId="76CD50D8" w14:textId="33DF1C13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68</w:t>
            </w:r>
          </w:p>
        </w:tc>
      </w:tr>
      <w:tr w:rsidR="004E39E1" w14:paraId="0800B61E" w14:textId="77777777" w:rsidTr="004F0CAB">
        <w:tc>
          <w:tcPr>
            <w:tcW w:w="4106" w:type="dxa"/>
          </w:tcPr>
          <w:p w14:paraId="40FC3844" w14:textId="7EFAF9A1" w:rsidR="004E39E1" w:rsidRDefault="004E39E1" w:rsidP="004F0CAB">
            <w:pPr>
              <w:tabs>
                <w:tab w:val="left" w:pos="5400"/>
              </w:tabs>
              <w:spacing w:line="240" w:lineRule="auto"/>
            </w:pPr>
            <w:r w:rsidRPr="00125E3F">
              <w:t>Ayrshire</w:t>
            </w:r>
          </w:p>
        </w:tc>
        <w:tc>
          <w:tcPr>
            <w:tcW w:w="2410" w:type="dxa"/>
          </w:tcPr>
          <w:p w14:paraId="27075415" w14:textId="2AEB606B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8</w:t>
            </w:r>
          </w:p>
        </w:tc>
        <w:tc>
          <w:tcPr>
            <w:tcW w:w="3405" w:type="dxa"/>
          </w:tcPr>
          <w:p w14:paraId="5F317920" w14:textId="0BEBADF8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133</w:t>
            </w:r>
          </w:p>
        </w:tc>
      </w:tr>
      <w:tr w:rsidR="004E39E1" w14:paraId="30A033B4" w14:textId="77777777" w:rsidTr="004F0CAB">
        <w:tc>
          <w:tcPr>
            <w:tcW w:w="4106" w:type="dxa"/>
          </w:tcPr>
          <w:p w14:paraId="0B1CA293" w14:textId="4B84C1E4" w:rsidR="004E39E1" w:rsidRPr="00125E3F" w:rsidRDefault="004E39E1" w:rsidP="004F0CAB">
            <w:pPr>
              <w:tabs>
                <w:tab w:val="left" w:pos="5400"/>
              </w:tabs>
              <w:spacing w:line="240" w:lineRule="auto"/>
            </w:pPr>
            <w:r>
              <w:t>Dumfries &amp; Galloway</w:t>
            </w:r>
          </w:p>
        </w:tc>
        <w:tc>
          <w:tcPr>
            <w:tcW w:w="2410" w:type="dxa"/>
          </w:tcPr>
          <w:p w14:paraId="6495AA02" w14:textId="51C1CCC3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13</w:t>
            </w:r>
          </w:p>
        </w:tc>
        <w:tc>
          <w:tcPr>
            <w:tcW w:w="3405" w:type="dxa"/>
          </w:tcPr>
          <w:p w14:paraId="5CA7E8F0" w14:textId="5305375D" w:rsidR="004E39E1" w:rsidRDefault="00F56276" w:rsidP="004F0CAB">
            <w:pPr>
              <w:tabs>
                <w:tab w:val="left" w:pos="5400"/>
              </w:tabs>
              <w:spacing w:line="240" w:lineRule="auto"/>
              <w:jc w:val="center"/>
            </w:pPr>
            <w:r>
              <w:t>21</w:t>
            </w:r>
          </w:p>
        </w:tc>
      </w:tr>
    </w:tbl>
    <w:p w14:paraId="34BDABB8" w14:textId="1EE4DE71" w:rsidR="00255F1E" w:rsidRPr="00B11A55" w:rsidRDefault="00314F09" w:rsidP="00314F09">
      <w:pPr>
        <w:tabs>
          <w:tab w:val="left" w:pos="5400"/>
        </w:tabs>
      </w:pPr>
      <w:r>
        <w:lastRenderedPageBreak/>
        <w:t xml:space="preserve">All statistics are provisional and should be treated as management information. </w:t>
      </w:r>
      <w:r w:rsidR="004F0CAB">
        <w:br/>
      </w:r>
      <w:r>
        <w:t>Data was extracted from Police Scotland systems and are correct as at 7 April 2025.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1361"/>
    <w:rsid w:val="000779CD"/>
    <w:rsid w:val="00090F3B"/>
    <w:rsid w:val="000E2F19"/>
    <w:rsid w:val="000E6526"/>
    <w:rsid w:val="00141533"/>
    <w:rsid w:val="00151DD0"/>
    <w:rsid w:val="00167528"/>
    <w:rsid w:val="00195CC4"/>
    <w:rsid w:val="00207326"/>
    <w:rsid w:val="00213029"/>
    <w:rsid w:val="00253DF6"/>
    <w:rsid w:val="00255F1E"/>
    <w:rsid w:val="00277AB2"/>
    <w:rsid w:val="002A5C34"/>
    <w:rsid w:val="002F5274"/>
    <w:rsid w:val="00314F09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39E1"/>
    <w:rsid w:val="004F0CAB"/>
    <w:rsid w:val="004F3E7E"/>
    <w:rsid w:val="004F51B4"/>
    <w:rsid w:val="004F653C"/>
    <w:rsid w:val="00540A52"/>
    <w:rsid w:val="00557306"/>
    <w:rsid w:val="005635A3"/>
    <w:rsid w:val="00645CFA"/>
    <w:rsid w:val="00651211"/>
    <w:rsid w:val="00685219"/>
    <w:rsid w:val="006D5799"/>
    <w:rsid w:val="007340EB"/>
    <w:rsid w:val="007440EA"/>
    <w:rsid w:val="00750D83"/>
    <w:rsid w:val="00785DBC"/>
    <w:rsid w:val="00793DD5"/>
    <w:rsid w:val="007943DC"/>
    <w:rsid w:val="007C3F1D"/>
    <w:rsid w:val="007D55F6"/>
    <w:rsid w:val="007F490F"/>
    <w:rsid w:val="0086779C"/>
    <w:rsid w:val="00874BFD"/>
    <w:rsid w:val="008964EF"/>
    <w:rsid w:val="008D27D5"/>
    <w:rsid w:val="008F25F6"/>
    <w:rsid w:val="00915E01"/>
    <w:rsid w:val="009631A4"/>
    <w:rsid w:val="00977296"/>
    <w:rsid w:val="009B0F81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A0743"/>
    <w:rsid w:val="00BC389E"/>
    <w:rsid w:val="00BE1888"/>
    <w:rsid w:val="00BF6B81"/>
    <w:rsid w:val="00C077A8"/>
    <w:rsid w:val="00C14FF4"/>
    <w:rsid w:val="00C1679F"/>
    <w:rsid w:val="00C22338"/>
    <w:rsid w:val="00C606A2"/>
    <w:rsid w:val="00C63872"/>
    <w:rsid w:val="00C84948"/>
    <w:rsid w:val="00C94ED8"/>
    <w:rsid w:val="00CF1111"/>
    <w:rsid w:val="00D05706"/>
    <w:rsid w:val="00D27DC5"/>
    <w:rsid w:val="00D47E36"/>
    <w:rsid w:val="00D84661"/>
    <w:rsid w:val="00E25AB4"/>
    <w:rsid w:val="00E55D79"/>
    <w:rsid w:val="00EE2373"/>
    <w:rsid w:val="00EF0FBB"/>
    <w:rsid w:val="00EF4761"/>
    <w:rsid w:val="00F56276"/>
    <w:rsid w:val="00FC2DA7"/>
    <w:rsid w:val="00FC385E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2087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2025-04-15T15:38:00Z</dcterms:created>
  <dcterms:modified xsi:type="dcterms:W3CDTF">2025-04-17T11:20:00Z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