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</w:t>
            </w:r>
            <w:r w:rsidRPr="000111F7">
              <w:t>FOI 2</w:t>
            </w:r>
            <w:r w:rsidR="00AC443C" w:rsidRPr="000111F7">
              <w:t>3</w:t>
            </w:r>
            <w:r w:rsidRPr="000111F7">
              <w:t>-</w:t>
            </w:r>
            <w:r w:rsidR="000111F7" w:rsidRPr="000111F7">
              <w:t>1013</w:t>
            </w:r>
          </w:p>
          <w:p w:rsidR="00B17211" w:rsidRDefault="00456324" w:rsidP="00D5079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11F7" w:rsidRPr="000111F7">
              <w:t>1</w:t>
            </w:r>
            <w:r w:rsidR="00D50792">
              <w:t>9</w:t>
            </w:r>
            <w:r w:rsidR="00D50792" w:rsidRPr="00D50792">
              <w:rPr>
                <w:vertAlign w:val="superscript"/>
              </w:rPr>
              <w:t>th</w:t>
            </w:r>
            <w:r w:rsidR="00D50792">
              <w:t xml:space="preserve"> </w:t>
            </w:r>
            <w:bookmarkStart w:id="0" w:name="_GoBack"/>
            <w:bookmarkEnd w:id="0"/>
            <w:r w:rsidR="007438D9" w:rsidRPr="000111F7">
              <w:t>May</w:t>
            </w:r>
            <w:r w:rsidR="00735DF6" w:rsidRPr="000111F7"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32A20" w:rsidRDefault="00A32A20" w:rsidP="0036503B">
      <w:pPr>
        <w:rPr>
          <w:b/>
        </w:rPr>
      </w:pPr>
      <w:r>
        <w:t xml:space="preserve">Please accept our apologies for the delay in responding. </w:t>
      </w:r>
    </w:p>
    <w:p w:rsidR="00F77267" w:rsidRPr="00EF1CAD" w:rsidRDefault="00F77267" w:rsidP="00EF1CAD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EF1CAD">
        <w:rPr>
          <w:rFonts w:eastAsia="Times New Roman"/>
          <w:b/>
        </w:rPr>
        <w:t>Has Police Scotland taken any action in relation to offences under The Shellfish (Restrictions on Taking by Unlicensed Fishing Boats) (Scotland) Order 2017</w:t>
      </w:r>
    </w:p>
    <w:p w:rsidR="00FD06EA" w:rsidRDefault="00F77267" w:rsidP="00EF1CAD">
      <w:pPr>
        <w:pStyle w:val="Heading2"/>
        <w:numPr>
          <w:ilvl w:val="0"/>
          <w:numId w:val="6"/>
        </w:numPr>
      </w:pPr>
      <w:r w:rsidRPr="00F77267">
        <w:rPr>
          <w:rFonts w:eastAsia="Times New Roman"/>
        </w:rPr>
        <w:t>If so please provide statistics, broken down either into Sheriff Court districts, or Fishery Office boundaries or some o</w:t>
      </w:r>
      <w:r w:rsidR="00FD06EA">
        <w:t>ther local geographic division.</w:t>
      </w:r>
    </w:p>
    <w:p w:rsidR="00FD06EA" w:rsidRDefault="00361DC4" w:rsidP="00EF1CAD">
      <w:pPr>
        <w:ind w:left="360"/>
      </w:pPr>
      <w:r w:rsidRPr="00361DC4">
        <w:t>The offence commit</w:t>
      </w:r>
      <w:r>
        <w:t>ted</w:t>
      </w:r>
      <w:r w:rsidRPr="00361DC4">
        <w:t xml:space="preserve"> </w:t>
      </w:r>
      <w:r>
        <w:t>when an individual</w:t>
      </w:r>
      <w:r w:rsidRPr="00361DC4">
        <w:t xml:space="preserve"> breach</w:t>
      </w:r>
      <w:r>
        <w:t>es</w:t>
      </w:r>
      <w:r w:rsidR="00FD06EA">
        <w:t xml:space="preserve"> the</w:t>
      </w:r>
      <w:r w:rsidRPr="00361DC4">
        <w:t xml:space="preserve"> regulation</w:t>
      </w:r>
      <w:r w:rsidR="00FD06EA">
        <w:t xml:space="preserve"> referred to</w:t>
      </w:r>
      <w:r w:rsidRPr="00361DC4">
        <w:t xml:space="preserve"> is</w:t>
      </w:r>
      <w:r w:rsidR="00FD06EA">
        <w:t xml:space="preserve"> set out at</w:t>
      </w:r>
      <w:r w:rsidRPr="00361DC4">
        <w:t xml:space="preserve"> section 5(1) of the Sea Fish (Conservation) Act 1967 which is covered by </w:t>
      </w:r>
      <w:r w:rsidR="00932B15">
        <w:t xml:space="preserve">the offence classification </w:t>
      </w:r>
      <w:r w:rsidRPr="00361DC4">
        <w:t>'sea fisheries offences'.</w:t>
      </w:r>
      <w:r w:rsidR="00FD06EA">
        <w:t xml:space="preserve">  </w:t>
      </w:r>
    </w:p>
    <w:p w:rsidR="00EF1CAD" w:rsidRDefault="00EF1CAD" w:rsidP="00EF1CAD">
      <w:pPr>
        <w:ind w:left="360"/>
      </w:pPr>
      <w:r>
        <w:t>All r</w:t>
      </w:r>
      <w:r w:rsidR="00361DC4">
        <w:t xml:space="preserve">ecorded crimes for that offence </w:t>
      </w:r>
      <w:r w:rsidR="00FD06EA">
        <w:t xml:space="preserve">were further examined for relevance to your request and </w:t>
      </w:r>
      <w:r w:rsidR="00932B15">
        <w:t xml:space="preserve">two of relevance were identified - as detailed below.  </w:t>
      </w:r>
    </w:p>
    <w:p w:rsidR="00361DC4" w:rsidRDefault="00932B15" w:rsidP="00EF1CAD">
      <w:pPr>
        <w:ind w:left="360"/>
      </w:pPr>
      <w:r>
        <w:t>Both related to the possession of razor clams.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Data"/>
        <w:tblDescription w:val="Data"/>
      </w:tblPr>
      <w:tblGrid>
        <w:gridCol w:w="2110"/>
        <w:gridCol w:w="750"/>
        <w:gridCol w:w="750"/>
        <w:gridCol w:w="750"/>
        <w:gridCol w:w="750"/>
        <w:gridCol w:w="750"/>
        <w:gridCol w:w="750"/>
        <w:gridCol w:w="844"/>
      </w:tblGrid>
      <w:tr w:rsidR="00361DC4" w:rsidRPr="00361DC4" w:rsidTr="00EF1CAD">
        <w:trPr>
          <w:trHeight w:val="315"/>
          <w:tblHeader/>
        </w:trPr>
        <w:tc>
          <w:tcPr>
            <w:tcW w:w="211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Local Authority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2017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2022</w:t>
            </w:r>
          </w:p>
        </w:tc>
        <w:tc>
          <w:tcPr>
            <w:tcW w:w="844" w:type="dxa"/>
            <w:shd w:val="clear" w:color="auto" w:fill="D9D9D9" w:themeFill="background1" w:themeFillShade="D9"/>
            <w:noWrap/>
            <w:hideMark/>
          </w:tcPr>
          <w:p w:rsidR="00361DC4" w:rsidRPr="00361DC4" w:rsidRDefault="00361DC4" w:rsidP="00361DC4">
            <w:pPr>
              <w:rPr>
                <w:b/>
                <w:bCs/>
              </w:rPr>
            </w:pPr>
            <w:r w:rsidRPr="00361DC4">
              <w:rPr>
                <w:b/>
                <w:bCs/>
              </w:rPr>
              <w:t>2023*</w:t>
            </w:r>
          </w:p>
        </w:tc>
      </w:tr>
      <w:tr w:rsidR="00361DC4" w:rsidRPr="00361DC4" w:rsidTr="00EF1CAD">
        <w:trPr>
          <w:trHeight w:val="300"/>
        </w:trPr>
        <w:tc>
          <w:tcPr>
            <w:tcW w:w="2110" w:type="dxa"/>
            <w:noWrap/>
            <w:hideMark/>
          </w:tcPr>
          <w:p w:rsidR="00361DC4" w:rsidRPr="00361DC4" w:rsidRDefault="00361DC4">
            <w:pPr>
              <w:rPr>
                <w:bCs/>
              </w:rPr>
            </w:pPr>
            <w:r w:rsidRPr="00361DC4">
              <w:rPr>
                <w:bCs/>
              </w:rPr>
              <w:t>Fife</w:t>
            </w:r>
          </w:p>
        </w:tc>
        <w:tc>
          <w:tcPr>
            <w:tcW w:w="750" w:type="dxa"/>
            <w:noWrap/>
            <w:hideMark/>
          </w:tcPr>
          <w:p w:rsidR="00361DC4" w:rsidRPr="00361DC4" w:rsidRDefault="00361DC4" w:rsidP="00361DC4">
            <w:r w:rsidRPr="00361DC4">
              <w:t>0</w:t>
            </w:r>
          </w:p>
        </w:tc>
        <w:tc>
          <w:tcPr>
            <w:tcW w:w="750" w:type="dxa"/>
            <w:noWrap/>
            <w:hideMark/>
          </w:tcPr>
          <w:p w:rsidR="00361DC4" w:rsidRPr="00361DC4" w:rsidRDefault="00361DC4" w:rsidP="00361DC4">
            <w:r w:rsidRPr="00361DC4">
              <w:t>0</w:t>
            </w:r>
          </w:p>
        </w:tc>
        <w:tc>
          <w:tcPr>
            <w:tcW w:w="750" w:type="dxa"/>
            <w:noWrap/>
            <w:hideMark/>
          </w:tcPr>
          <w:p w:rsidR="00361DC4" w:rsidRPr="00361DC4" w:rsidRDefault="00361DC4" w:rsidP="00361DC4">
            <w:r w:rsidRPr="00361DC4">
              <w:t>1</w:t>
            </w:r>
          </w:p>
        </w:tc>
        <w:tc>
          <w:tcPr>
            <w:tcW w:w="750" w:type="dxa"/>
            <w:noWrap/>
            <w:hideMark/>
          </w:tcPr>
          <w:p w:rsidR="00361DC4" w:rsidRPr="00361DC4" w:rsidRDefault="00361DC4" w:rsidP="00361DC4">
            <w:r w:rsidRPr="00361DC4">
              <w:t>1</w:t>
            </w:r>
          </w:p>
        </w:tc>
        <w:tc>
          <w:tcPr>
            <w:tcW w:w="750" w:type="dxa"/>
            <w:noWrap/>
            <w:hideMark/>
          </w:tcPr>
          <w:p w:rsidR="00361DC4" w:rsidRPr="00361DC4" w:rsidRDefault="00FD06EA" w:rsidP="00361DC4">
            <w:r>
              <w:t>0</w:t>
            </w:r>
          </w:p>
        </w:tc>
        <w:tc>
          <w:tcPr>
            <w:tcW w:w="750" w:type="dxa"/>
            <w:noWrap/>
            <w:hideMark/>
          </w:tcPr>
          <w:p w:rsidR="00361DC4" w:rsidRPr="00361DC4" w:rsidRDefault="00932B15" w:rsidP="00361DC4">
            <w:r>
              <w:t>0</w:t>
            </w:r>
          </w:p>
        </w:tc>
        <w:tc>
          <w:tcPr>
            <w:tcW w:w="844" w:type="dxa"/>
            <w:noWrap/>
            <w:hideMark/>
          </w:tcPr>
          <w:p w:rsidR="00361DC4" w:rsidRPr="00361DC4" w:rsidRDefault="00361DC4" w:rsidP="00361DC4">
            <w:r w:rsidRPr="00361DC4">
              <w:t>0</w:t>
            </w:r>
          </w:p>
        </w:tc>
      </w:tr>
    </w:tbl>
    <w:p w:rsidR="007438D9" w:rsidRPr="00361DC4" w:rsidRDefault="00361DC4" w:rsidP="00EF1CAD">
      <w:pPr>
        <w:ind w:left="360"/>
        <w:rPr>
          <w:i/>
          <w:sz w:val="20"/>
        </w:rPr>
      </w:pPr>
      <w:r w:rsidRPr="00361DC4">
        <w:rPr>
          <w:i/>
          <w:sz w:val="20"/>
        </w:rPr>
        <w:t xml:space="preserve">All statistics are provisional and should be treated as management information. All data have been extracted from Police Scotland internal systems and are correct </w:t>
      </w:r>
      <w:r>
        <w:rPr>
          <w:i/>
          <w:sz w:val="20"/>
        </w:rPr>
        <w:t>at 24th April 2023.</w:t>
      </w:r>
      <w:r>
        <w:rPr>
          <w:i/>
          <w:sz w:val="20"/>
        </w:rPr>
        <w:br/>
      </w:r>
      <w:r w:rsidRPr="00361DC4">
        <w:rPr>
          <w:i/>
          <w:sz w:val="20"/>
        </w:rPr>
        <w:t>The Recorded Crimes are extracted using the Date Raised, and selecting stats class code '605602' (Sea Fishery Offences)</w:t>
      </w:r>
    </w:p>
    <w:p w:rsidR="007438D9" w:rsidRDefault="007438D9" w:rsidP="00361DC4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0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05A5E"/>
    <w:multiLevelType w:val="multilevel"/>
    <w:tmpl w:val="26F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B1BCE"/>
    <w:multiLevelType w:val="hybridMultilevel"/>
    <w:tmpl w:val="62FE1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813"/>
    <w:multiLevelType w:val="multilevel"/>
    <w:tmpl w:val="DFD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24D1F"/>
    <w:multiLevelType w:val="hybridMultilevel"/>
    <w:tmpl w:val="B7D4A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800"/>
    <w:multiLevelType w:val="hybridMultilevel"/>
    <w:tmpl w:val="FC4477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11F7"/>
    <w:rsid w:val="00090F3B"/>
    <w:rsid w:val="000E6526"/>
    <w:rsid w:val="00141533"/>
    <w:rsid w:val="00167528"/>
    <w:rsid w:val="00195CC4"/>
    <w:rsid w:val="001B1AB7"/>
    <w:rsid w:val="00253DF6"/>
    <w:rsid w:val="00255F1E"/>
    <w:rsid w:val="00361DC4"/>
    <w:rsid w:val="0036503B"/>
    <w:rsid w:val="003D6D03"/>
    <w:rsid w:val="003E12CA"/>
    <w:rsid w:val="004010DC"/>
    <w:rsid w:val="004139D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5E3B"/>
    <w:rsid w:val="0069791E"/>
    <w:rsid w:val="006D5799"/>
    <w:rsid w:val="00734C84"/>
    <w:rsid w:val="00735DF6"/>
    <w:rsid w:val="007438D9"/>
    <w:rsid w:val="00750D83"/>
    <w:rsid w:val="00793DD5"/>
    <w:rsid w:val="007D55F6"/>
    <w:rsid w:val="007F490F"/>
    <w:rsid w:val="0086779C"/>
    <w:rsid w:val="00874BFD"/>
    <w:rsid w:val="008964EF"/>
    <w:rsid w:val="00932B15"/>
    <w:rsid w:val="009631A4"/>
    <w:rsid w:val="00977296"/>
    <w:rsid w:val="00A25E93"/>
    <w:rsid w:val="00A320FF"/>
    <w:rsid w:val="00A32A20"/>
    <w:rsid w:val="00A70AC0"/>
    <w:rsid w:val="00AB7D8C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0792"/>
    <w:rsid w:val="00E07E8B"/>
    <w:rsid w:val="00E55D79"/>
    <w:rsid w:val="00EF1CAD"/>
    <w:rsid w:val="00EF4761"/>
    <w:rsid w:val="00F77267"/>
    <w:rsid w:val="00FC2DA7"/>
    <w:rsid w:val="00FD06E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1">
    <w:name w:val="p1"/>
    <w:basedOn w:val="Normal"/>
    <w:rsid w:val="001B1AB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1B1AB7"/>
  </w:style>
  <w:style w:type="character" w:customStyle="1" w:styleId="s2">
    <w:name w:val="s2"/>
    <w:basedOn w:val="DefaultParagraphFont"/>
    <w:rsid w:val="001B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377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