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4C3D435" w:rsidR="00B17211" w:rsidRPr="00B17211" w:rsidRDefault="00B17211" w:rsidP="007F490F">
            <w:r w:rsidRPr="007F490F">
              <w:rPr>
                <w:rStyle w:val="Heading2Char"/>
              </w:rPr>
              <w:t>Our reference:</w:t>
            </w:r>
            <w:r>
              <w:t xml:space="preserve">  FOI 2</w:t>
            </w:r>
            <w:r w:rsidR="00EF0FBB">
              <w:t>5</w:t>
            </w:r>
            <w:r>
              <w:t>-</w:t>
            </w:r>
            <w:r w:rsidR="00E10534">
              <w:t>0187</w:t>
            </w:r>
          </w:p>
          <w:p w14:paraId="34BDABA6" w14:textId="3DC143BF" w:rsidR="00B17211" w:rsidRDefault="00456324" w:rsidP="00EE2373">
            <w:r w:rsidRPr="007F490F">
              <w:rPr>
                <w:rStyle w:val="Heading2Char"/>
              </w:rPr>
              <w:t>Respon</w:t>
            </w:r>
            <w:r w:rsidR="007D55F6">
              <w:rPr>
                <w:rStyle w:val="Heading2Char"/>
              </w:rPr>
              <w:t>ded to:</w:t>
            </w:r>
            <w:r w:rsidR="007F490F">
              <w:t xml:space="preserve">  </w:t>
            </w:r>
            <w:r w:rsidR="007A0EDB">
              <w:t>29</w:t>
            </w:r>
            <w:r w:rsidR="006D5799">
              <w:t xml:space="preserve"> </w:t>
            </w:r>
            <w:r w:rsidR="00FE58FE">
              <w:t>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D443F73" w14:textId="5F244D30" w:rsidR="00E10534" w:rsidRDefault="00E10534" w:rsidP="002518AE">
      <w:pPr>
        <w:pStyle w:val="Heading2"/>
        <w:numPr>
          <w:ilvl w:val="0"/>
          <w:numId w:val="2"/>
        </w:numPr>
      </w:pPr>
      <w:r w:rsidRPr="00E10534">
        <w:t>The number of transgender hate crimes reported per year from 2022 - 2024 (inclusive).</w:t>
      </w:r>
    </w:p>
    <w:p w14:paraId="7007B488" w14:textId="5961A959" w:rsidR="002518AE" w:rsidRDefault="002518AE" w:rsidP="002518AE">
      <w:r>
        <w:t>In response to this question, please see the table below.</w:t>
      </w:r>
    </w:p>
    <w:p w14:paraId="3A8B98C5" w14:textId="18EAA413" w:rsidR="002C08AE" w:rsidRDefault="002C08AE" w:rsidP="002518AE">
      <w:r>
        <w:t>Detected crimes are those</w:t>
      </w:r>
      <w:r w:rsidRPr="007D1918">
        <w:t xml:space="preserve"> where an accused has been identified and there exists a sufficiency of evidence under Scots Law to justify consideration of criminal proceedings.</w:t>
      </w:r>
    </w:p>
    <w:p w14:paraId="36B638CF" w14:textId="4648C238" w:rsidR="002518AE" w:rsidRPr="002518AE" w:rsidRDefault="002518AE" w:rsidP="002518AE">
      <w:r w:rsidRPr="002518AE">
        <w:t xml:space="preserve">Recorded and </w:t>
      </w:r>
      <w:r w:rsidR="001B63B1">
        <w:t>D</w:t>
      </w:r>
      <w:r w:rsidRPr="002518AE">
        <w:t>etected Hate Crimes with Transgender Aggravator</w:t>
      </w:r>
      <w:r w:rsidR="001B63B1">
        <w:t xml:space="preserve"> - </w:t>
      </w:r>
      <w:r w:rsidRPr="002518AE">
        <w:t>2022 - 2024 (Calendar Years)</w:t>
      </w:r>
    </w:p>
    <w:tbl>
      <w:tblPr>
        <w:tblStyle w:val="TableGrid"/>
        <w:tblW w:w="9634" w:type="dxa"/>
        <w:tblLayout w:type="fixed"/>
        <w:tblLook w:val="04A0" w:firstRow="1" w:lastRow="0" w:firstColumn="1" w:lastColumn="0" w:noHBand="0" w:noVBand="1"/>
        <w:tblCaption w:val="Recorded and detected Hate Crimes with Transgender Aggravator broken by calendar year."/>
        <w:tblDescription w:val="Recorded and detected Hate Crimes with Transgender Aggravator  broken by calendar year."/>
      </w:tblPr>
      <w:tblGrid>
        <w:gridCol w:w="1926"/>
        <w:gridCol w:w="1927"/>
        <w:gridCol w:w="1927"/>
        <w:gridCol w:w="1927"/>
        <w:gridCol w:w="1927"/>
      </w:tblGrid>
      <w:tr w:rsidR="001B63B1" w:rsidRPr="002518AE" w14:paraId="0C378B75" w14:textId="77AB98B1" w:rsidTr="00BA3AA9">
        <w:trPr>
          <w:trHeight w:val="330"/>
        </w:trPr>
        <w:tc>
          <w:tcPr>
            <w:tcW w:w="1926" w:type="dxa"/>
            <w:shd w:val="clear" w:color="auto" w:fill="D9D9D9" w:themeFill="background1" w:themeFillShade="D9"/>
            <w:noWrap/>
            <w:hideMark/>
          </w:tcPr>
          <w:p w14:paraId="5F2CA8CB" w14:textId="23935971" w:rsidR="001B63B1" w:rsidRPr="002518AE" w:rsidRDefault="001B63B1" w:rsidP="001B63B1">
            <w:pPr>
              <w:spacing w:line="240" w:lineRule="auto"/>
              <w:rPr>
                <w:b/>
                <w:bCs/>
              </w:rPr>
            </w:pPr>
            <w:r>
              <w:rPr>
                <w:b/>
                <w:bCs/>
              </w:rPr>
              <w:t>Crimes</w:t>
            </w:r>
          </w:p>
        </w:tc>
        <w:tc>
          <w:tcPr>
            <w:tcW w:w="1927" w:type="dxa"/>
            <w:shd w:val="clear" w:color="auto" w:fill="D9D9D9" w:themeFill="background1" w:themeFillShade="D9"/>
            <w:noWrap/>
            <w:hideMark/>
          </w:tcPr>
          <w:p w14:paraId="4F54565A" w14:textId="77777777" w:rsidR="001B63B1" w:rsidRPr="002518AE" w:rsidRDefault="001B63B1" w:rsidP="001B63B1">
            <w:pPr>
              <w:spacing w:line="240" w:lineRule="auto"/>
              <w:rPr>
                <w:b/>
                <w:bCs/>
              </w:rPr>
            </w:pPr>
            <w:r w:rsidRPr="002518AE">
              <w:rPr>
                <w:b/>
                <w:bCs/>
              </w:rPr>
              <w:t>2022</w:t>
            </w:r>
          </w:p>
        </w:tc>
        <w:tc>
          <w:tcPr>
            <w:tcW w:w="1927" w:type="dxa"/>
            <w:shd w:val="clear" w:color="auto" w:fill="D9D9D9" w:themeFill="background1" w:themeFillShade="D9"/>
            <w:noWrap/>
            <w:hideMark/>
          </w:tcPr>
          <w:p w14:paraId="71819608" w14:textId="77777777" w:rsidR="001B63B1" w:rsidRPr="002518AE" w:rsidRDefault="001B63B1" w:rsidP="001B63B1">
            <w:pPr>
              <w:spacing w:line="240" w:lineRule="auto"/>
              <w:rPr>
                <w:b/>
                <w:bCs/>
              </w:rPr>
            </w:pPr>
            <w:r w:rsidRPr="002518AE">
              <w:rPr>
                <w:b/>
                <w:bCs/>
              </w:rPr>
              <w:t>2023</w:t>
            </w:r>
          </w:p>
        </w:tc>
        <w:tc>
          <w:tcPr>
            <w:tcW w:w="1927" w:type="dxa"/>
            <w:shd w:val="clear" w:color="auto" w:fill="D9D9D9" w:themeFill="background1" w:themeFillShade="D9"/>
            <w:noWrap/>
            <w:hideMark/>
          </w:tcPr>
          <w:p w14:paraId="13659ADC" w14:textId="6451498C" w:rsidR="001B63B1" w:rsidRPr="002518AE" w:rsidRDefault="001B63B1" w:rsidP="001B63B1">
            <w:pPr>
              <w:spacing w:line="240" w:lineRule="auto"/>
              <w:rPr>
                <w:b/>
                <w:bCs/>
              </w:rPr>
            </w:pPr>
            <w:r w:rsidRPr="002518AE">
              <w:rPr>
                <w:b/>
                <w:bCs/>
              </w:rPr>
              <w:t>2024</w:t>
            </w:r>
            <w:r>
              <w:rPr>
                <w:b/>
                <w:bCs/>
              </w:rPr>
              <w:t xml:space="preserve"> Jan - Mar</w:t>
            </w:r>
          </w:p>
        </w:tc>
        <w:tc>
          <w:tcPr>
            <w:tcW w:w="1927" w:type="dxa"/>
            <w:shd w:val="clear" w:color="auto" w:fill="D9D9D9" w:themeFill="background1" w:themeFillShade="D9"/>
          </w:tcPr>
          <w:p w14:paraId="0D0DBFC8" w14:textId="199B12CD" w:rsidR="001B63B1" w:rsidRPr="002518AE" w:rsidRDefault="001B63B1" w:rsidP="001B63B1">
            <w:pPr>
              <w:spacing w:line="240" w:lineRule="auto"/>
              <w:rPr>
                <w:b/>
                <w:bCs/>
              </w:rPr>
            </w:pPr>
            <w:r>
              <w:rPr>
                <w:b/>
                <w:bCs/>
              </w:rPr>
              <w:t>2024 Apr - Dec</w:t>
            </w:r>
          </w:p>
        </w:tc>
      </w:tr>
      <w:tr w:rsidR="001B63B1" w:rsidRPr="002518AE" w14:paraId="4A893F0D" w14:textId="63830A56" w:rsidTr="00BA3AA9">
        <w:trPr>
          <w:trHeight w:val="315"/>
        </w:trPr>
        <w:tc>
          <w:tcPr>
            <w:tcW w:w="1926" w:type="dxa"/>
            <w:noWrap/>
            <w:hideMark/>
          </w:tcPr>
          <w:p w14:paraId="6EAD1DAD" w14:textId="77E1FA7B" w:rsidR="001B63B1" w:rsidRPr="002518AE" w:rsidRDefault="001B63B1" w:rsidP="001B63B1">
            <w:pPr>
              <w:spacing w:line="240" w:lineRule="auto"/>
            </w:pPr>
            <w:r>
              <w:t>Recorded</w:t>
            </w:r>
          </w:p>
        </w:tc>
        <w:tc>
          <w:tcPr>
            <w:tcW w:w="1927" w:type="dxa"/>
            <w:noWrap/>
            <w:hideMark/>
          </w:tcPr>
          <w:p w14:paraId="02585A8E" w14:textId="77777777" w:rsidR="001B63B1" w:rsidRPr="002518AE" w:rsidRDefault="001B63B1" w:rsidP="001B63B1">
            <w:pPr>
              <w:spacing w:line="240" w:lineRule="auto"/>
            </w:pPr>
            <w:r w:rsidRPr="002518AE">
              <w:t>164</w:t>
            </w:r>
          </w:p>
        </w:tc>
        <w:tc>
          <w:tcPr>
            <w:tcW w:w="1927" w:type="dxa"/>
            <w:noWrap/>
            <w:hideMark/>
          </w:tcPr>
          <w:p w14:paraId="1296B1DC" w14:textId="77777777" w:rsidR="001B63B1" w:rsidRPr="002518AE" w:rsidRDefault="001B63B1" w:rsidP="001B63B1">
            <w:pPr>
              <w:spacing w:line="240" w:lineRule="auto"/>
            </w:pPr>
            <w:r w:rsidRPr="002518AE">
              <w:t>180</w:t>
            </w:r>
          </w:p>
        </w:tc>
        <w:tc>
          <w:tcPr>
            <w:tcW w:w="1927" w:type="dxa"/>
            <w:noWrap/>
            <w:hideMark/>
          </w:tcPr>
          <w:p w14:paraId="3A320836" w14:textId="77777777" w:rsidR="001B63B1" w:rsidRPr="002518AE" w:rsidRDefault="001B63B1" w:rsidP="001B63B1">
            <w:pPr>
              <w:spacing w:line="240" w:lineRule="auto"/>
            </w:pPr>
            <w:r w:rsidRPr="002518AE">
              <w:t>30</w:t>
            </w:r>
          </w:p>
        </w:tc>
        <w:tc>
          <w:tcPr>
            <w:tcW w:w="1927" w:type="dxa"/>
          </w:tcPr>
          <w:p w14:paraId="3530654D" w14:textId="273124BC" w:rsidR="001B63B1" w:rsidRPr="002518AE" w:rsidRDefault="001B63B1" w:rsidP="001B63B1">
            <w:pPr>
              <w:spacing w:line="240" w:lineRule="auto"/>
            </w:pPr>
            <w:r>
              <w:t>151</w:t>
            </w:r>
          </w:p>
        </w:tc>
      </w:tr>
      <w:tr w:rsidR="001B63B1" w:rsidRPr="002518AE" w14:paraId="34129F43" w14:textId="1CAB0F92" w:rsidTr="00BA3AA9">
        <w:trPr>
          <w:trHeight w:val="315"/>
        </w:trPr>
        <w:tc>
          <w:tcPr>
            <w:tcW w:w="1926" w:type="dxa"/>
            <w:noWrap/>
          </w:tcPr>
          <w:p w14:paraId="40038613" w14:textId="30C56B1A" w:rsidR="001B63B1" w:rsidRPr="002518AE" w:rsidRDefault="001B63B1" w:rsidP="001B63B1">
            <w:pPr>
              <w:spacing w:line="240" w:lineRule="auto"/>
            </w:pPr>
            <w:r>
              <w:t>Detected</w:t>
            </w:r>
          </w:p>
        </w:tc>
        <w:tc>
          <w:tcPr>
            <w:tcW w:w="1927" w:type="dxa"/>
            <w:noWrap/>
          </w:tcPr>
          <w:p w14:paraId="623B5AAC" w14:textId="0A2A284F" w:rsidR="001B63B1" w:rsidRPr="002518AE" w:rsidRDefault="001B63B1" w:rsidP="001B63B1">
            <w:pPr>
              <w:spacing w:line="240" w:lineRule="auto"/>
            </w:pPr>
            <w:r w:rsidRPr="002518AE">
              <w:t>79</w:t>
            </w:r>
          </w:p>
        </w:tc>
        <w:tc>
          <w:tcPr>
            <w:tcW w:w="1927" w:type="dxa"/>
            <w:noWrap/>
          </w:tcPr>
          <w:p w14:paraId="1A1262CF" w14:textId="0E591D02" w:rsidR="001B63B1" w:rsidRPr="002518AE" w:rsidRDefault="001B63B1" w:rsidP="001B63B1">
            <w:pPr>
              <w:spacing w:line="240" w:lineRule="auto"/>
            </w:pPr>
            <w:r w:rsidRPr="002518AE">
              <w:t>76</w:t>
            </w:r>
          </w:p>
        </w:tc>
        <w:tc>
          <w:tcPr>
            <w:tcW w:w="1927" w:type="dxa"/>
            <w:noWrap/>
          </w:tcPr>
          <w:p w14:paraId="4E656F5F" w14:textId="0BBA82D6" w:rsidR="001B63B1" w:rsidRPr="002518AE" w:rsidRDefault="001B63B1" w:rsidP="001B63B1">
            <w:pPr>
              <w:spacing w:line="240" w:lineRule="auto"/>
            </w:pPr>
            <w:r w:rsidRPr="002518AE">
              <w:t>16</w:t>
            </w:r>
          </w:p>
        </w:tc>
        <w:tc>
          <w:tcPr>
            <w:tcW w:w="1927" w:type="dxa"/>
          </w:tcPr>
          <w:p w14:paraId="69810A49" w14:textId="791D8159" w:rsidR="001B63B1" w:rsidRPr="002518AE" w:rsidRDefault="001B63B1" w:rsidP="001B63B1">
            <w:pPr>
              <w:spacing w:line="240" w:lineRule="auto"/>
            </w:pPr>
            <w:r>
              <w:t>69</w:t>
            </w:r>
          </w:p>
        </w:tc>
      </w:tr>
    </w:tbl>
    <w:p w14:paraId="7204E79B" w14:textId="1B4553AA" w:rsidR="002518AE" w:rsidRDefault="002518AE" w:rsidP="001B63B1">
      <w:pPr>
        <w:rPr>
          <w:i/>
          <w:iCs/>
          <w:sz w:val="20"/>
          <w:szCs w:val="20"/>
        </w:rPr>
      </w:pPr>
      <w:r w:rsidRPr="001B63B1">
        <w:rPr>
          <w:i/>
          <w:iCs/>
          <w:sz w:val="20"/>
          <w:szCs w:val="20"/>
        </w:rPr>
        <w:t xml:space="preserve">All statistics are provisional and should be treated as management information. </w:t>
      </w:r>
      <w:r w:rsidR="001B63B1" w:rsidRPr="001B63B1">
        <w:rPr>
          <w:i/>
          <w:iCs/>
          <w:sz w:val="20"/>
          <w:szCs w:val="20"/>
        </w:rPr>
        <w:br/>
        <w:t xml:space="preserve">Data was </w:t>
      </w:r>
      <w:r w:rsidRPr="001B63B1">
        <w:rPr>
          <w:i/>
          <w:iCs/>
          <w:sz w:val="20"/>
          <w:szCs w:val="20"/>
        </w:rPr>
        <w:t>extracted from Police Scotland systems and are correct as of February 2025.</w:t>
      </w:r>
      <w:r w:rsidR="001B63B1" w:rsidRPr="001B63B1">
        <w:rPr>
          <w:i/>
          <w:iCs/>
          <w:sz w:val="20"/>
          <w:szCs w:val="20"/>
        </w:rPr>
        <w:br/>
        <w:t xml:space="preserve">Data for the period 1 January to 31 March </w:t>
      </w:r>
      <w:r w:rsidRPr="001B63B1">
        <w:rPr>
          <w:i/>
          <w:iCs/>
          <w:sz w:val="20"/>
          <w:szCs w:val="20"/>
        </w:rPr>
        <w:t>2024 has been extracted from the Interim Vulnerable Persons Database (iVPD) using the ‘incident created’ date where a Transgender aggravator is present.</w:t>
      </w:r>
      <w:r w:rsidR="001B63B1" w:rsidRPr="001B63B1">
        <w:rPr>
          <w:i/>
          <w:iCs/>
          <w:sz w:val="20"/>
          <w:szCs w:val="20"/>
        </w:rPr>
        <w:br/>
        <w:t>Data for the period 1 April to 31 December 2024 has been extracted from the National Crime Unifi database using the ‘date raised’ and based on crimes/ offences which include a Transgender hate aggravator.</w:t>
      </w:r>
      <w:r w:rsidR="001B63B1" w:rsidRPr="001B63B1">
        <w:rPr>
          <w:i/>
          <w:iCs/>
          <w:sz w:val="20"/>
          <w:szCs w:val="20"/>
        </w:rPr>
        <w:tab/>
      </w:r>
      <w:r w:rsidR="001B63B1">
        <w:rPr>
          <w:i/>
          <w:iCs/>
          <w:sz w:val="20"/>
          <w:szCs w:val="20"/>
        </w:rPr>
        <w:br/>
      </w:r>
      <w:r w:rsidRPr="001B63B1">
        <w:rPr>
          <w:i/>
          <w:iCs/>
          <w:sz w:val="20"/>
          <w:szCs w:val="20"/>
        </w:rPr>
        <w:t>As the recording of hate crimes has changed since 1 April due to the recording of them on national Unifi from IVPD</w:t>
      </w:r>
      <w:r w:rsidR="001B63B1" w:rsidRPr="001B63B1">
        <w:rPr>
          <w:i/>
          <w:iCs/>
          <w:sz w:val="20"/>
          <w:szCs w:val="20"/>
        </w:rPr>
        <w:t>, a</w:t>
      </w:r>
      <w:r w:rsidRPr="001B63B1">
        <w:rPr>
          <w:i/>
          <w:iCs/>
          <w:sz w:val="20"/>
          <w:szCs w:val="20"/>
        </w:rPr>
        <w:t xml:space="preserve"> direct comparison with both sets of data is not advised.</w:t>
      </w:r>
    </w:p>
    <w:p w14:paraId="3AE15133" w14:textId="77777777" w:rsidR="001B63B1" w:rsidRDefault="001B63B1" w:rsidP="001B63B1">
      <w:pPr>
        <w:rPr>
          <w:i/>
          <w:iCs/>
          <w:sz w:val="20"/>
          <w:szCs w:val="20"/>
        </w:rPr>
      </w:pPr>
    </w:p>
    <w:p w14:paraId="58632A7A" w14:textId="3AFAD6F2" w:rsidR="001012E8" w:rsidRPr="001B63B1" w:rsidRDefault="00E10534" w:rsidP="001B63B1">
      <w:pPr>
        <w:pStyle w:val="ListParagraph"/>
        <w:numPr>
          <w:ilvl w:val="0"/>
          <w:numId w:val="2"/>
        </w:numPr>
        <w:rPr>
          <w:b/>
          <w:bCs/>
        </w:rPr>
      </w:pPr>
      <w:r w:rsidRPr="001B63B1">
        <w:rPr>
          <w:b/>
          <w:bCs/>
        </w:rPr>
        <w:t>The number of prosecutions for transgender hate crimes per year from 2022 - 2024 (inclusive).</w:t>
      </w:r>
    </w:p>
    <w:p w14:paraId="36B88450" w14:textId="726E480D" w:rsidR="001012E8" w:rsidRPr="001B63B1" w:rsidRDefault="00E10534" w:rsidP="001B63B1">
      <w:pPr>
        <w:pStyle w:val="ListParagraph"/>
        <w:numPr>
          <w:ilvl w:val="0"/>
          <w:numId w:val="2"/>
        </w:numPr>
        <w:rPr>
          <w:b/>
          <w:bCs/>
        </w:rPr>
      </w:pPr>
      <w:r w:rsidRPr="001B63B1">
        <w:rPr>
          <w:b/>
          <w:bCs/>
        </w:rPr>
        <w:t>The number of transgender hate crimes that resulted in no further action, reported per year from 2022 - 2024 (inclusive).</w:t>
      </w:r>
    </w:p>
    <w:p w14:paraId="08DD6738" w14:textId="20F6DED3" w:rsidR="001012E8" w:rsidRPr="001B63B1" w:rsidRDefault="00E10534" w:rsidP="001B63B1">
      <w:pPr>
        <w:pStyle w:val="ListParagraph"/>
        <w:numPr>
          <w:ilvl w:val="0"/>
          <w:numId w:val="2"/>
        </w:numPr>
        <w:rPr>
          <w:b/>
          <w:bCs/>
        </w:rPr>
      </w:pPr>
      <w:r w:rsidRPr="001B63B1">
        <w:rPr>
          <w:b/>
          <w:bCs/>
        </w:rPr>
        <w:t>The number of successful prosecutions for transgender hate crimes per year from 2011 – 2021 (inclusive).</w:t>
      </w:r>
    </w:p>
    <w:p w14:paraId="707B7E8F" w14:textId="1803A2D3" w:rsidR="001012E8" w:rsidRPr="00B6549B" w:rsidRDefault="002518AE" w:rsidP="00831949">
      <w:pPr>
        <w:tabs>
          <w:tab w:val="left" w:pos="5400"/>
        </w:tabs>
        <w:rPr>
          <w:rFonts w:eastAsiaTheme="majorEastAsia" w:cstheme="majorBidi"/>
          <w:bCs/>
          <w:color w:val="000000" w:themeColor="text1"/>
          <w:szCs w:val="26"/>
        </w:rPr>
      </w:pPr>
      <w:r>
        <w:lastRenderedPageBreak/>
        <w:t xml:space="preserve">In response to questions 2, 3 and 4, </w:t>
      </w:r>
      <w:r w:rsidR="00831949">
        <w:t xml:space="preserve">Police Scotland does not hold prosecution data </w:t>
      </w:r>
      <w:r w:rsidR="00831949">
        <w:rPr>
          <w:rFonts w:eastAsiaTheme="majorEastAsia" w:cstheme="majorBidi"/>
          <w:bCs/>
          <w:color w:val="000000" w:themeColor="text1"/>
          <w:szCs w:val="26"/>
        </w:rPr>
        <w:t>and section 17 of the Act therefore applies.</w:t>
      </w:r>
      <w:r w:rsidR="00831949" w:rsidRPr="00B6549B">
        <w:rPr>
          <w:rFonts w:eastAsiaTheme="majorEastAsia" w:cstheme="majorBidi"/>
          <w:bCs/>
          <w:color w:val="000000" w:themeColor="text1"/>
          <w:szCs w:val="26"/>
        </w:rPr>
        <w:t xml:space="preserve"> </w:t>
      </w:r>
      <w:r w:rsidR="00831949">
        <w:rPr>
          <w:rFonts w:eastAsiaTheme="majorEastAsia" w:cstheme="majorBidi"/>
          <w:bCs/>
          <w:color w:val="000000" w:themeColor="text1"/>
          <w:szCs w:val="26"/>
        </w:rPr>
        <w:t xml:space="preserve"> You may wish to contact the Crown Office and Procurator Fiscal Service (COPFS) and/ or the Scottish Courts Service.</w:t>
      </w:r>
      <w:r w:rsidR="00831949" w:rsidRPr="00646E3D">
        <w:rPr>
          <w:rFonts w:eastAsiaTheme="majorEastAsia" w:cstheme="majorBidi"/>
          <w:bCs/>
          <w:color w:val="000000" w:themeColor="text1"/>
          <w:szCs w:val="26"/>
        </w:rPr>
        <w:t xml:space="preserve"> </w:t>
      </w:r>
    </w:p>
    <w:p w14:paraId="4B0A3C95" w14:textId="77777777" w:rsidR="00831949" w:rsidRPr="00831949" w:rsidRDefault="00831949" w:rsidP="00831949"/>
    <w:p w14:paraId="4DDE3EB4" w14:textId="1E724C48" w:rsidR="00E10534" w:rsidRDefault="00E10534" w:rsidP="001B63B1">
      <w:pPr>
        <w:pStyle w:val="Heading2"/>
        <w:numPr>
          <w:ilvl w:val="0"/>
          <w:numId w:val="2"/>
        </w:numPr>
      </w:pPr>
      <w:r w:rsidRPr="00E10534">
        <w:t>The number of transgender police officers and their proportion as a percentage of all police officers, reported per year from 2011 - 2021 (inclusive).</w:t>
      </w:r>
    </w:p>
    <w:p w14:paraId="576EAC79" w14:textId="4F7815BB" w:rsidR="001012E8" w:rsidRDefault="001B63B1" w:rsidP="001012E8">
      <w:r>
        <w:t>In relation to</w:t>
      </w:r>
      <w:r w:rsidR="001012E8">
        <w:t xml:space="preserve"> 2011</w:t>
      </w:r>
      <w:r>
        <w:t xml:space="preserve"> to </w:t>
      </w:r>
      <w:r w:rsidR="001012E8">
        <w:t>201</w:t>
      </w:r>
      <w:r w:rsidR="00946A8C">
        <w:t>3</w:t>
      </w:r>
      <w:r w:rsidR="001012E8">
        <w:t xml:space="preserve">, </w:t>
      </w:r>
      <w:r w:rsidR="001012E8" w:rsidRPr="00453F0A">
        <w:t>I estimate that it would cost well in excess</w:t>
      </w:r>
      <w:r w:rsidR="001012E8">
        <w:t xml:space="preserve"> of</w:t>
      </w:r>
      <w:r w:rsidR="001012E8" w:rsidRPr="00453F0A">
        <w:t xml:space="preserve"> </w:t>
      </w:r>
      <w:r w:rsidR="001012E8">
        <w:t>t</w:t>
      </w:r>
      <w:r w:rsidR="001012E8" w:rsidRPr="00453F0A">
        <w:t xml:space="preserve">he </w:t>
      </w:r>
      <w:r w:rsidR="001012E8" w:rsidRPr="00982D19">
        <w:t>current FOI cost threshold</w:t>
      </w:r>
      <w:r w:rsidR="001012E8">
        <w:t xml:space="preserve"> of </w:t>
      </w:r>
      <w:r w:rsidR="001012E8" w:rsidRPr="00453F0A">
        <w:t>£600</w:t>
      </w:r>
      <w:r w:rsidR="001012E8">
        <w:t xml:space="preserve"> to process your request.  I am therefore refusing to provide the information sought in terms of s</w:t>
      </w:r>
      <w:r w:rsidR="001012E8" w:rsidRPr="00453F0A">
        <w:t xml:space="preserve">ection 12(1) </w:t>
      </w:r>
      <w:r w:rsidR="001012E8">
        <w:t xml:space="preserve">of the Act - </w:t>
      </w:r>
      <w:r w:rsidR="001012E8" w:rsidRPr="00453F0A">
        <w:t>Excessive Cost of Compliance.</w:t>
      </w:r>
    </w:p>
    <w:p w14:paraId="6385C8B9" w14:textId="7A8A3806" w:rsidR="001012E8" w:rsidRPr="001012E8" w:rsidRDefault="001012E8" w:rsidP="001012E8">
      <w:r>
        <w:t xml:space="preserve">By way of explanation, </w:t>
      </w:r>
      <w:r w:rsidR="00946A8C">
        <w:t>Police Scotland came into existence in 2013</w:t>
      </w:r>
      <w:r w:rsidR="001B63B1">
        <w:t xml:space="preserve"> and </w:t>
      </w:r>
      <w:r w:rsidR="00946A8C">
        <w:t xml:space="preserve">processes regarding the gathering of this personal data </w:t>
      </w:r>
      <w:r w:rsidR="001B63B1">
        <w:t>were</w:t>
      </w:r>
      <w:r w:rsidR="00946A8C">
        <w:t xml:space="preserve"> combined in 2014</w:t>
      </w:r>
      <w:r w:rsidR="001B63B1">
        <w:t>.  T</w:t>
      </w:r>
      <w:r w:rsidR="00946A8C">
        <w:t xml:space="preserve">o provide information </w:t>
      </w:r>
      <w:r w:rsidR="001B63B1">
        <w:t>for</w:t>
      </w:r>
      <w:r w:rsidR="00946A8C">
        <w:t xml:space="preserve"> 2011 and 2013 would require a manual search of legacy systems.</w:t>
      </w:r>
    </w:p>
    <w:p w14:paraId="4B4EE499" w14:textId="30A673E5" w:rsidR="00F47D9C" w:rsidRDefault="0098101F" w:rsidP="001012E8">
      <w:r>
        <w:t xml:space="preserve">For the years 2014 </w:t>
      </w:r>
      <w:r w:rsidR="001B63B1">
        <w:t>to</w:t>
      </w:r>
      <w:r>
        <w:t xml:space="preserve"> 2024 please see the table below. </w:t>
      </w:r>
      <w:r w:rsidR="001B63B1">
        <w:t xml:space="preserve"> </w:t>
      </w:r>
      <w:r>
        <w:t xml:space="preserve">Please note that the figures have been provided for all staff groups, this includes officers and staff. </w:t>
      </w:r>
    </w:p>
    <w:p w14:paraId="5F86F6FA" w14:textId="232486AA" w:rsidR="00F47D9C" w:rsidRDefault="00F47D9C" w:rsidP="001012E8">
      <w:r>
        <w:t xml:space="preserve">Transgender Police Officers and Staff broken by year. </w:t>
      </w:r>
    </w:p>
    <w:tbl>
      <w:tblPr>
        <w:tblW w:w="6780" w:type="dxa"/>
        <w:tblLook w:val="04A0" w:firstRow="1" w:lastRow="0" w:firstColumn="1" w:lastColumn="0" w:noHBand="0" w:noVBand="1"/>
        <w:tblCaption w:val="Transgender Police Officers and Staff broken by year. "/>
        <w:tblDescription w:val="Transgender Police Officers and Staff broken by year. "/>
      </w:tblPr>
      <w:tblGrid>
        <w:gridCol w:w="2880"/>
        <w:gridCol w:w="2363"/>
        <w:gridCol w:w="1537"/>
      </w:tblGrid>
      <w:tr w:rsidR="0098101F" w:rsidRPr="0098101F" w14:paraId="02CF14C4" w14:textId="77777777" w:rsidTr="00BA3AA9">
        <w:trPr>
          <w:trHeight w:val="310"/>
          <w:tblHead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CC1BB6" w14:textId="73B1D596" w:rsidR="0098101F" w:rsidRPr="0098101F" w:rsidRDefault="0098101F" w:rsidP="001B63B1">
            <w:pPr>
              <w:spacing w:line="240" w:lineRule="auto"/>
              <w:rPr>
                <w:b/>
                <w:bCs/>
              </w:rPr>
            </w:pPr>
            <w:r w:rsidRPr="0098101F">
              <w:rPr>
                <w:b/>
                <w:bCs/>
              </w:rPr>
              <w:t xml:space="preserve">Year </w:t>
            </w:r>
            <w:r w:rsidR="00BA3AA9">
              <w:rPr>
                <w:b/>
                <w:bCs/>
              </w:rPr>
              <w:t xml:space="preserve">- as </w:t>
            </w:r>
            <w:r w:rsidRPr="0098101F">
              <w:rPr>
                <w:b/>
                <w:bCs/>
              </w:rPr>
              <w:t>at 31 March</w:t>
            </w:r>
          </w:p>
        </w:tc>
        <w:tc>
          <w:tcPr>
            <w:tcW w:w="2363" w:type="dxa"/>
            <w:tcBorders>
              <w:top w:val="single" w:sz="4" w:space="0" w:color="auto"/>
              <w:left w:val="nil"/>
              <w:bottom w:val="single" w:sz="4" w:space="0" w:color="auto"/>
              <w:right w:val="single" w:sz="4" w:space="0" w:color="auto"/>
            </w:tcBorders>
            <w:shd w:val="clear" w:color="auto" w:fill="D9D9D9" w:themeFill="background1" w:themeFillShade="D9"/>
          </w:tcPr>
          <w:p w14:paraId="4E4FEA89" w14:textId="44D340A4" w:rsidR="0098101F" w:rsidRPr="0098101F" w:rsidRDefault="0098101F" w:rsidP="001B63B1">
            <w:pPr>
              <w:spacing w:line="240" w:lineRule="auto"/>
              <w:rPr>
                <w:b/>
                <w:bCs/>
              </w:rPr>
            </w:pPr>
            <w:r w:rsidRPr="0098101F">
              <w:rPr>
                <w:b/>
                <w:bCs/>
              </w:rPr>
              <w:t>All Staff Number</w:t>
            </w:r>
          </w:p>
        </w:tc>
        <w:tc>
          <w:tcPr>
            <w:tcW w:w="1537" w:type="dxa"/>
            <w:tcBorders>
              <w:top w:val="single" w:sz="4" w:space="0" w:color="auto"/>
              <w:left w:val="nil"/>
              <w:bottom w:val="single" w:sz="4" w:space="0" w:color="auto"/>
              <w:right w:val="single" w:sz="4" w:space="0" w:color="auto"/>
            </w:tcBorders>
            <w:shd w:val="clear" w:color="auto" w:fill="D9D9D9" w:themeFill="background1" w:themeFillShade="D9"/>
            <w:noWrap/>
          </w:tcPr>
          <w:p w14:paraId="7DC4D292" w14:textId="7BDD4CBA" w:rsidR="0098101F" w:rsidRPr="0098101F" w:rsidRDefault="0098101F" w:rsidP="001B63B1">
            <w:pPr>
              <w:spacing w:line="240" w:lineRule="auto"/>
              <w:rPr>
                <w:b/>
                <w:bCs/>
              </w:rPr>
            </w:pPr>
            <w:r w:rsidRPr="0098101F">
              <w:rPr>
                <w:b/>
                <w:bCs/>
              </w:rPr>
              <w:t>All Staf</w:t>
            </w:r>
            <w:r>
              <w:rPr>
                <w:b/>
                <w:bCs/>
              </w:rPr>
              <w:t xml:space="preserve">f </w:t>
            </w:r>
            <w:r w:rsidRPr="0098101F">
              <w:rPr>
                <w:b/>
                <w:bCs/>
              </w:rPr>
              <w:t>%</w:t>
            </w:r>
          </w:p>
        </w:tc>
      </w:tr>
      <w:tr w:rsidR="0098101F" w:rsidRPr="0098101F" w14:paraId="5EDEF41D" w14:textId="77777777" w:rsidTr="00BA3AA9">
        <w:trPr>
          <w:trHeight w:val="310"/>
        </w:trPr>
        <w:tc>
          <w:tcPr>
            <w:tcW w:w="2880" w:type="dxa"/>
            <w:tcBorders>
              <w:top w:val="nil"/>
              <w:left w:val="single" w:sz="4" w:space="0" w:color="auto"/>
              <w:bottom w:val="single" w:sz="4" w:space="0" w:color="auto"/>
              <w:right w:val="single" w:sz="4" w:space="0" w:color="auto"/>
            </w:tcBorders>
            <w:vAlign w:val="center"/>
            <w:hideMark/>
          </w:tcPr>
          <w:p w14:paraId="5D5C6211" w14:textId="77777777" w:rsidR="0098101F" w:rsidRPr="0098101F" w:rsidRDefault="0098101F" w:rsidP="001B63B1">
            <w:pPr>
              <w:spacing w:line="240" w:lineRule="auto"/>
            </w:pPr>
            <w:r w:rsidRPr="0098101F">
              <w:t>2014</w:t>
            </w:r>
          </w:p>
        </w:tc>
        <w:tc>
          <w:tcPr>
            <w:tcW w:w="2363" w:type="dxa"/>
            <w:tcBorders>
              <w:top w:val="nil"/>
              <w:left w:val="nil"/>
              <w:bottom w:val="single" w:sz="4" w:space="0" w:color="auto"/>
              <w:right w:val="single" w:sz="4" w:space="0" w:color="auto"/>
            </w:tcBorders>
            <w:vAlign w:val="center"/>
            <w:hideMark/>
          </w:tcPr>
          <w:p w14:paraId="3C2B0F3A" w14:textId="77777777" w:rsidR="0098101F" w:rsidRPr="0098101F" w:rsidRDefault="0098101F" w:rsidP="001B63B1">
            <w:pPr>
              <w:spacing w:line="240" w:lineRule="auto"/>
            </w:pPr>
            <w:r w:rsidRPr="0098101F">
              <w:t>37</w:t>
            </w:r>
          </w:p>
        </w:tc>
        <w:tc>
          <w:tcPr>
            <w:tcW w:w="1537" w:type="dxa"/>
            <w:tcBorders>
              <w:top w:val="nil"/>
              <w:left w:val="nil"/>
              <w:bottom w:val="single" w:sz="4" w:space="0" w:color="auto"/>
              <w:right w:val="single" w:sz="4" w:space="0" w:color="auto"/>
            </w:tcBorders>
            <w:noWrap/>
            <w:vAlign w:val="bottom"/>
            <w:hideMark/>
          </w:tcPr>
          <w:p w14:paraId="5AF407E0" w14:textId="77777777" w:rsidR="0098101F" w:rsidRPr="0098101F" w:rsidRDefault="0098101F" w:rsidP="001B63B1">
            <w:pPr>
              <w:spacing w:line="240" w:lineRule="auto"/>
            </w:pPr>
            <w:r w:rsidRPr="0098101F">
              <w:t>0.15%</w:t>
            </w:r>
          </w:p>
        </w:tc>
      </w:tr>
      <w:tr w:rsidR="0098101F" w:rsidRPr="0098101F" w14:paraId="1A33E445" w14:textId="77777777" w:rsidTr="00BA3AA9">
        <w:trPr>
          <w:trHeight w:val="310"/>
        </w:trPr>
        <w:tc>
          <w:tcPr>
            <w:tcW w:w="2880" w:type="dxa"/>
            <w:tcBorders>
              <w:top w:val="nil"/>
              <w:left w:val="single" w:sz="4" w:space="0" w:color="auto"/>
              <w:bottom w:val="single" w:sz="4" w:space="0" w:color="auto"/>
              <w:right w:val="single" w:sz="4" w:space="0" w:color="auto"/>
            </w:tcBorders>
            <w:vAlign w:val="center"/>
            <w:hideMark/>
          </w:tcPr>
          <w:p w14:paraId="2A47F146" w14:textId="77777777" w:rsidR="0098101F" w:rsidRPr="0098101F" w:rsidRDefault="0098101F" w:rsidP="001B63B1">
            <w:pPr>
              <w:spacing w:line="240" w:lineRule="auto"/>
            </w:pPr>
            <w:r w:rsidRPr="0098101F">
              <w:t>2015</w:t>
            </w:r>
          </w:p>
        </w:tc>
        <w:tc>
          <w:tcPr>
            <w:tcW w:w="2363" w:type="dxa"/>
            <w:tcBorders>
              <w:top w:val="nil"/>
              <w:left w:val="nil"/>
              <w:bottom w:val="single" w:sz="4" w:space="0" w:color="auto"/>
              <w:right w:val="single" w:sz="4" w:space="0" w:color="auto"/>
            </w:tcBorders>
            <w:vAlign w:val="center"/>
            <w:hideMark/>
          </w:tcPr>
          <w:p w14:paraId="24FFE41F" w14:textId="77777777" w:rsidR="0098101F" w:rsidRPr="0098101F" w:rsidRDefault="0098101F" w:rsidP="001B63B1">
            <w:pPr>
              <w:spacing w:line="240" w:lineRule="auto"/>
            </w:pPr>
            <w:r w:rsidRPr="0098101F">
              <w:t>35</w:t>
            </w:r>
          </w:p>
        </w:tc>
        <w:tc>
          <w:tcPr>
            <w:tcW w:w="1537" w:type="dxa"/>
            <w:tcBorders>
              <w:top w:val="nil"/>
              <w:left w:val="nil"/>
              <w:bottom w:val="single" w:sz="4" w:space="0" w:color="auto"/>
              <w:right w:val="single" w:sz="4" w:space="0" w:color="auto"/>
            </w:tcBorders>
            <w:noWrap/>
            <w:vAlign w:val="bottom"/>
            <w:hideMark/>
          </w:tcPr>
          <w:p w14:paraId="07DF3D00" w14:textId="77777777" w:rsidR="0098101F" w:rsidRPr="0098101F" w:rsidRDefault="0098101F" w:rsidP="001B63B1">
            <w:pPr>
              <w:spacing w:line="240" w:lineRule="auto"/>
            </w:pPr>
            <w:r w:rsidRPr="0098101F">
              <w:t>0.15%</w:t>
            </w:r>
          </w:p>
        </w:tc>
      </w:tr>
      <w:tr w:rsidR="0098101F" w:rsidRPr="0098101F" w14:paraId="4FF7E2AD" w14:textId="77777777" w:rsidTr="00BA3AA9">
        <w:trPr>
          <w:trHeight w:val="310"/>
        </w:trPr>
        <w:tc>
          <w:tcPr>
            <w:tcW w:w="2880" w:type="dxa"/>
            <w:tcBorders>
              <w:top w:val="nil"/>
              <w:left w:val="single" w:sz="4" w:space="0" w:color="auto"/>
              <w:bottom w:val="single" w:sz="4" w:space="0" w:color="auto"/>
              <w:right w:val="single" w:sz="4" w:space="0" w:color="auto"/>
            </w:tcBorders>
            <w:vAlign w:val="center"/>
            <w:hideMark/>
          </w:tcPr>
          <w:p w14:paraId="53C8F88B" w14:textId="77777777" w:rsidR="0098101F" w:rsidRPr="0098101F" w:rsidRDefault="0098101F" w:rsidP="001B63B1">
            <w:pPr>
              <w:spacing w:line="240" w:lineRule="auto"/>
            </w:pPr>
            <w:r w:rsidRPr="0098101F">
              <w:t>2016</w:t>
            </w:r>
          </w:p>
        </w:tc>
        <w:tc>
          <w:tcPr>
            <w:tcW w:w="2363" w:type="dxa"/>
            <w:tcBorders>
              <w:top w:val="nil"/>
              <w:left w:val="nil"/>
              <w:bottom w:val="single" w:sz="4" w:space="0" w:color="auto"/>
              <w:right w:val="single" w:sz="4" w:space="0" w:color="auto"/>
            </w:tcBorders>
            <w:vAlign w:val="center"/>
            <w:hideMark/>
          </w:tcPr>
          <w:p w14:paraId="5FF3BF4A" w14:textId="77777777" w:rsidR="0098101F" w:rsidRPr="0098101F" w:rsidRDefault="0098101F" w:rsidP="001B63B1">
            <w:pPr>
              <w:spacing w:line="240" w:lineRule="auto"/>
            </w:pPr>
            <w:r w:rsidRPr="0098101F">
              <w:t>34</w:t>
            </w:r>
          </w:p>
        </w:tc>
        <w:tc>
          <w:tcPr>
            <w:tcW w:w="1537" w:type="dxa"/>
            <w:tcBorders>
              <w:top w:val="nil"/>
              <w:left w:val="nil"/>
              <w:bottom w:val="single" w:sz="4" w:space="0" w:color="auto"/>
              <w:right w:val="single" w:sz="4" w:space="0" w:color="auto"/>
            </w:tcBorders>
            <w:noWrap/>
            <w:vAlign w:val="bottom"/>
            <w:hideMark/>
          </w:tcPr>
          <w:p w14:paraId="24FE6F13" w14:textId="77777777" w:rsidR="0098101F" w:rsidRPr="0098101F" w:rsidRDefault="0098101F" w:rsidP="001B63B1">
            <w:pPr>
              <w:spacing w:line="240" w:lineRule="auto"/>
            </w:pPr>
            <w:r w:rsidRPr="0098101F">
              <w:t>0.14%</w:t>
            </w:r>
          </w:p>
        </w:tc>
      </w:tr>
      <w:tr w:rsidR="0098101F" w:rsidRPr="0098101F" w14:paraId="7CD997FE" w14:textId="77777777" w:rsidTr="00BA3AA9">
        <w:trPr>
          <w:trHeight w:val="310"/>
        </w:trPr>
        <w:tc>
          <w:tcPr>
            <w:tcW w:w="2880" w:type="dxa"/>
            <w:tcBorders>
              <w:top w:val="nil"/>
              <w:left w:val="single" w:sz="4" w:space="0" w:color="auto"/>
              <w:bottom w:val="single" w:sz="4" w:space="0" w:color="auto"/>
              <w:right w:val="single" w:sz="4" w:space="0" w:color="auto"/>
            </w:tcBorders>
            <w:vAlign w:val="center"/>
            <w:hideMark/>
          </w:tcPr>
          <w:p w14:paraId="73BFD838" w14:textId="77777777" w:rsidR="0098101F" w:rsidRPr="0098101F" w:rsidRDefault="0098101F" w:rsidP="001B63B1">
            <w:pPr>
              <w:spacing w:line="240" w:lineRule="auto"/>
            </w:pPr>
            <w:r w:rsidRPr="0098101F">
              <w:t>2017</w:t>
            </w:r>
          </w:p>
        </w:tc>
        <w:tc>
          <w:tcPr>
            <w:tcW w:w="2363" w:type="dxa"/>
            <w:tcBorders>
              <w:top w:val="nil"/>
              <w:left w:val="nil"/>
              <w:bottom w:val="single" w:sz="4" w:space="0" w:color="auto"/>
              <w:right w:val="single" w:sz="4" w:space="0" w:color="auto"/>
            </w:tcBorders>
            <w:vAlign w:val="center"/>
            <w:hideMark/>
          </w:tcPr>
          <w:p w14:paraId="21D6C03A" w14:textId="77777777" w:rsidR="0098101F" w:rsidRPr="0098101F" w:rsidRDefault="0098101F" w:rsidP="001B63B1">
            <w:pPr>
              <w:spacing w:line="240" w:lineRule="auto"/>
            </w:pPr>
            <w:r w:rsidRPr="0098101F">
              <w:t>31</w:t>
            </w:r>
          </w:p>
        </w:tc>
        <w:tc>
          <w:tcPr>
            <w:tcW w:w="1537" w:type="dxa"/>
            <w:tcBorders>
              <w:top w:val="nil"/>
              <w:left w:val="nil"/>
              <w:bottom w:val="single" w:sz="4" w:space="0" w:color="auto"/>
              <w:right w:val="single" w:sz="4" w:space="0" w:color="auto"/>
            </w:tcBorders>
            <w:noWrap/>
            <w:vAlign w:val="bottom"/>
            <w:hideMark/>
          </w:tcPr>
          <w:p w14:paraId="4699297E" w14:textId="77777777" w:rsidR="0098101F" w:rsidRPr="0098101F" w:rsidRDefault="0098101F" w:rsidP="001B63B1">
            <w:pPr>
              <w:spacing w:line="240" w:lineRule="auto"/>
            </w:pPr>
            <w:r w:rsidRPr="0098101F">
              <w:t>0.13%</w:t>
            </w:r>
          </w:p>
        </w:tc>
      </w:tr>
      <w:tr w:rsidR="0098101F" w:rsidRPr="0098101F" w14:paraId="2BC54455" w14:textId="77777777" w:rsidTr="00BA3AA9">
        <w:trPr>
          <w:trHeight w:val="310"/>
        </w:trPr>
        <w:tc>
          <w:tcPr>
            <w:tcW w:w="2880" w:type="dxa"/>
            <w:tcBorders>
              <w:top w:val="nil"/>
              <w:left w:val="single" w:sz="4" w:space="0" w:color="auto"/>
              <w:bottom w:val="single" w:sz="4" w:space="0" w:color="auto"/>
              <w:right w:val="single" w:sz="4" w:space="0" w:color="auto"/>
            </w:tcBorders>
            <w:vAlign w:val="center"/>
            <w:hideMark/>
          </w:tcPr>
          <w:p w14:paraId="42A8E794" w14:textId="77777777" w:rsidR="0098101F" w:rsidRPr="0098101F" w:rsidRDefault="0098101F" w:rsidP="001B63B1">
            <w:pPr>
              <w:spacing w:line="240" w:lineRule="auto"/>
            </w:pPr>
            <w:r w:rsidRPr="0098101F">
              <w:t>2018</w:t>
            </w:r>
          </w:p>
        </w:tc>
        <w:tc>
          <w:tcPr>
            <w:tcW w:w="2363" w:type="dxa"/>
            <w:tcBorders>
              <w:top w:val="nil"/>
              <w:left w:val="nil"/>
              <w:bottom w:val="single" w:sz="4" w:space="0" w:color="auto"/>
              <w:right w:val="single" w:sz="4" w:space="0" w:color="auto"/>
            </w:tcBorders>
            <w:vAlign w:val="center"/>
            <w:hideMark/>
          </w:tcPr>
          <w:p w14:paraId="64C8FFCA" w14:textId="77777777" w:rsidR="0098101F" w:rsidRPr="0098101F" w:rsidRDefault="0098101F" w:rsidP="001B63B1">
            <w:pPr>
              <w:spacing w:line="240" w:lineRule="auto"/>
            </w:pPr>
            <w:r w:rsidRPr="0098101F">
              <w:t>29</w:t>
            </w:r>
          </w:p>
        </w:tc>
        <w:tc>
          <w:tcPr>
            <w:tcW w:w="1537" w:type="dxa"/>
            <w:tcBorders>
              <w:top w:val="nil"/>
              <w:left w:val="nil"/>
              <w:bottom w:val="single" w:sz="4" w:space="0" w:color="auto"/>
              <w:right w:val="single" w:sz="4" w:space="0" w:color="auto"/>
            </w:tcBorders>
            <w:noWrap/>
            <w:vAlign w:val="bottom"/>
            <w:hideMark/>
          </w:tcPr>
          <w:p w14:paraId="0E09DF39" w14:textId="77777777" w:rsidR="0098101F" w:rsidRPr="0098101F" w:rsidRDefault="0098101F" w:rsidP="001B63B1">
            <w:pPr>
              <w:spacing w:line="240" w:lineRule="auto"/>
            </w:pPr>
            <w:r w:rsidRPr="0098101F">
              <w:t>0.13%</w:t>
            </w:r>
          </w:p>
        </w:tc>
      </w:tr>
      <w:tr w:rsidR="0098101F" w:rsidRPr="0098101F" w14:paraId="755BC4B7" w14:textId="77777777" w:rsidTr="00BA3AA9">
        <w:trPr>
          <w:trHeight w:val="310"/>
        </w:trPr>
        <w:tc>
          <w:tcPr>
            <w:tcW w:w="2880" w:type="dxa"/>
            <w:tcBorders>
              <w:top w:val="nil"/>
              <w:left w:val="single" w:sz="4" w:space="0" w:color="auto"/>
              <w:bottom w:val="single" w:sz="4" w:space="0" w:color="auto"/>
              <w:right w:val="single" w:sz="4" w:space="0" w:color="auto"/>
            </w:tcBorders>
            <w:vAlign w:val="center"/>
            <w:hideMark/>
          </w:tcPr>
          <w:p w14:paraId="49DB3450" w14:textId="77777777" w:rsidR="0098101F" w:rsidRPr="0098101F" w:rsidRDefault="0098101F" w:rsidP="001B63B1">
            <w:pPr>
              <w:spacing w:line="240" w:lineRule="auto"/>
            </w:pPr>
            <w:r w:rsidRPr="0098101F">
              <w:t>2019</w:t>
            </w:r>
          </w:p>
        </w:tc>
        <w:tc>
          <w:tcPr>
            <w:tcW w:w="2363" w:type="dxa"/>
            <w:tcBorders>
              <w:top w:val="nil"/>
              <w:left w:val="nil"/>
              <w:bottom w:val="single" w:sz="4" w:space="0" w:color="auto"/>
              <w:right w:val="single" w:sz="4" w:space="0" w:color="auto"/>
            </w:tcBorders>
            <w:noWrap/>
            <w:vAlign w:val="bottom"/>
            <w:hideMark/>
          </w:tcPr>
          <w:p w14:paraId="7972CD2E" w14:textId="77777777" w:rsidR="0098101F" w:rsidRPr="0098101F" w:rsidRDefault="0098101F" w:rsidP="001B63B1">
            <w:pPr>
              <w:spacing w:line="240" w:lineRule="auto"/>
            </w:pPr>
            <w:r w:rsidRPr="0098101F">
              <w:t>28</w:t>
            </w:r>
          </w:p>
        </w:tc>
        <w:tc>
          <w:tcPr>
            <w:tcW w:w="1537" w:type="dxa"/>
            <w:tcBorders>
              <w:top w:val="nil"/>
              <w:left w:val="nil"/>
              <w:bottom w:val="single" w:sz="4" w:space="0" w:color="auto"/>
              <w:right w:val="single" w:sz="4" w:space="0" w:color="auto"/>
            </w:tcBorders>
            <w:noWrap/>
            <w:vAlign w:val="bottom"/>
            <w:hideMark/>
          </w:tcPr>
          <w:p w14:paraId="44366209" w14:textId="77777777" w:rsidR="0098101F" w:rsidRPr="0098101F" w:rsidRDefault="0098101F" w:rsidP="001B63B1">
            <w:pPr>
              <w:spacing w:line="240" w:lineRule="auto"/>
            </w:pPr>
            <w:r w:rsidRPr="0098101F">
              <w:t>0.12%</w:t>
            </w:r>
          </w:p>
        </w:tc>
      </w:tr>
      <w:tr w:rsidR="0098101F" w:rsidRPr="0098101F" w14:paraId="277BA103" w14:textId="77777777" w:rsidTr="00BA3AA9">
        <w:trPr>
          <w:trHeight w:val="310"/>
        </w:trPr>
        <w:tc>
          <w:tcPr>
            <w:tcW w:w="2880" w:type="dxa"/>
            <w:tcBorders>
              <w:top w:val="nil"/>
              <w:left w:val="single" w:sz="4" w:space="0" w:color="auto"/>
              <w:bottom w:val="single" w:sz="4" w:space="0" w:color="auto"/>
              <w:right w:val="single" w:sz="4" w:space="0" w:color="auto"/>
            </w:tcBorders>
            <w:vAlign w:val="center"/>
            <w:hideMark/>
          </w:tcPr>
          <w:p w14:paraId="5C968B54" w14:textId="77777777" w:rsidR="0098101F" w:rsidRPr="0098101F" w:rsidRDefault="0098101F" w:rsidP="001B63B1">
            <w:pPr>
              <w:spacing w:line="240" w:lineRule="auto"/>
            </w:pPr>
            <w:r w:rsidRPr="0098101F">
              <w:t>2020</w:t>
            </w:r>
          </w:p>
        </w:tc>
        <w:tc>
          <w:tcPr>
            <w:tcW w:w="2363" w:type="dxa"/>
            <w:tcBorders>
              <w:top w:val="nil"/>
              <w:left w:val="nil"/>
              <w:bottom w:val="single" w:sz="4" w:space="0" w:color="auto"/>
              <w:right w:val="single" w:sz="4" w:space="0" w:color="auto"/>
            </w:tcBorders>
            <w:noWrap/>
            <w:vAlign w:val="bottom"/>
            <w:hideMark/>
          </w:tcPr>
          <w:p w14:paraId="166BF042" w14:textId="77777777" w:rsidR="0098101F" w:rsidRPr="0098101F" w:rsidRDefault="0098101F" w:rsidP="001B63B1">
            <w:pPr>
              <w:spacing w:line="240" w:lineRule="auto"/>
            </w:pPr>
            <w:r w:rsidRPr="0098101F">
              <w:t>25</w:t>
            </w:r>
          </w:p>
        </w:tc>
        <w:tc>
          <w:tcPr>
            <w:tcW w:w="1537" w:type="dxa"/>
            <w:tcBorders>
              <w:top w:val="nil"/>
              <w:left w:val="nil"/>
              <w:bottom w:val="single" w:sz="4" w:space="0" w:color="auto"/>
              <w:right w:val="single" w:sz="4" w:space="0" w:color="auto"/>
            </w:tcBorders>
            <w:noWrap/>
            <w:vAlign w:val="bottom"/>
            <w:hideMark/>
          </w:tcPr>
          <w:p w14:paraId="45ECC62E" w14:textId="77777777" w:rsidR="0098101F" w:rsidRPr="0098101F" w:rsidRDefault="0098101F" w:rsidP="001B63B1">
            <w:pPr>
              <w:spacing w:line="240" w:lineRule="auto"/>
            </w:pPr>
            <w:r w:rsidRPr="0098101F">
              <w:t>0.11%</w:t>
            </w:r>
          </w:p>
        </w:tc>
      </w:tr>
      <w:tr w:rsidR="0098101F" w:rsidRPr="0098101F" w14:paraId="321759FD" w14:textId="77777777" w:rsidTr="00BA3AA9">
        <w:trPr>
          <w:trHeight w:val="310"/>
        </w:trPr>
        <w:tc>
          <w:tcPr>
            <w:tcW w:w="2880" w:type="dxa"/>
            <w:tcBorders>
              <w:top w:val="nil"/>
              <w:left w:val="single" w:sz="4" w:space="0" w:color="auto"/>
              <w:bottom w:val="single" w:sz="4" w:space="0" w:color="auto"/>
              <w:right w:val="single" w:sz="4" w:space="0" w:color="auto"/>
            </w:tcBorders>
            <w:vAlign w:val="center"/>
            <w:hideMark/>
          </w:tcPr>
          <w:p w14:paraId="4CDCC2CF" w14:textId="77777777" w:rsidR="0098101F" w:rsidRPr="0098101F" w:rsidRDefault="0098101F" w:rsidP="001B63B1">
            <w:pPr>
              <w:spacing w:line="240" w:lineRule="auto"/>
            </w:pPr>
            <w:r w:rsidRPr="0098101F">
              <w:t>2021</w:t>
            </w:r>
          </w:p>
        </w:tc>
        <w:tc>
          <w:tcPr>
            <w:tcW w:w="2363" w:type="dxa"/>
            <w:tcBorders>
              <w:top w:val="nil"/>
              <w:left w:val="nil"/>
              <w:bottom w:val="single" w:sz="4" w:space="0" w:color="auto"/>
              <w:right w:val="single" w:sz="4" w:space="0" w:color="auto"/>
            </w:tcBorders>
            <w:noWrap/>
            <w:vAlign w:val="bottom"/>
            <w:hideMark/>
          </w:tcPr>
          <w:p w14:paraId="4C2A6D6B" w14:textId="77777777" w:rsidR="0098101F" w:rsidRPr="0098101F" w:rsidRDefault="0098101F" w:rsidP="001B63B1">
            <w:pPr>
              <w:spacing w:line="240" w:lineRule="auto"/>
            </w:pPr>
            <w:r w:rsidRPr="0098101F">
              <w:t>22</w:t>
            </w:r>
          </w:p>
        </w:tc>
        <w:tc>
          <w:tcPr>
            <w:tcW w:w="1537" w:type="dxa"/>
            <w:tcBorders>
              <w:top w:val="nil"/>
              <w:left w:val="nil"/>
              <w:bottom w:val="single" w:sz="4" w:space="0" w:color="auto"/>
              <w:right w:val="single" w:sz="4" w:space="0" w:color="auto"/>
            </w:tcBorders>
            <w:noWrap/>
            <w:vAlign w:val="bottom"/>
            <w:hideMark/>
          </w:tcPr>
          <w:p w14:paraId="12B48322" w14:textId="77777777" w:rsidR="0098101F" w:rsidRPr="0098101F" w:rsidRDefault="0098101F" w:rsidP="001B63B1">
            <w:pPr>
              <w:spacing w:line="240" w:lineRule="auto"/>
            </w:pPr>
            <w:r w:rsidRPr="0098101F">
              <w:t>0.09%</w:t>
            </w:r>
          </w:p>
        </w:tc>
      </w:tr>
      <w:tr w:rsidR="0098101F" w:rsidRPr="0098101F" w14:paraId="048C0463" w14:textId="77777777" w:rsidTr="00BA3AA9">
        <w:trPr>
          <w:trHeight w:val="310"/>
        </w:trPr>
        <w:tc>
          <w:tcPr>
            <w:tcW w:w="2880" w:type="dxa"/>
            <w:tcBorders>
              <w:top w:val="nil"/>
              <w:left w:val="single" w:sz="4" w:space="0" w:color="auto"/>
              <w:bottom w:val="single" w:sz="4" w:space="0" w:color="auto"/>
              <w:right w:val="single" w:sz="4" w:space="0" w:color="auto"/>
            </w:tcBorders>
            <w:vAlign w:val="center"/>
            <w:hideMark/>
          </w:tcPr>
          <w:p w14:paraId="44E3FFF3" w14:textId="77777777" w:rsidR="0098101F" w:rsidRPr="0098101F" w:rsidRDefault="0098101F" w:rsidP="001B63B1">
            <w:pPr>
              <w:spacing w:line="240" w:lineRule="auto"/>
            </w:pPr>
            <w:r w:rsidRPr="0098101F">
              <w:t>2022</w:t>
            </w:r>
          </w:p>
        </w:tc>
        <w:tc>
          <w:tcPr>
            <w:tcW w:w="2363" w:type="dxa"/>
            <w:tcBorders>
              <w:top w:val="nil"/>
              <w:left w:val="nil"/>
              <w:bottom w:val="single" w:sz="4" w:space="0" w:color="auto"/>
              <w:right w:val="single" w:sz="4" w:space="0" w:color="auto"/>
            </w:tcBorders>
            <w:noWrap/>
            <w:vAlign w:val="bottom"/>
            <w:hideMark/>
          </w:tcPr>
          <w:p w14:paraId="79DEDA3A" w14:textId="77777777" w:rsidR="0098101F" w:rsidRPr="0098101F" w:rsidRDefault="0098101F" w:rsidP="001B63B1">
            <w:pPr>
              <w:spacing w:line="240" w:lineRule="auto"/>
            </w:pPr>
            <w:r w:rsidRPr="0098101F">
              <w:t>24</w:t>
            </w:r>
          </w:p>
        </w:tc>
        <w:tc>
          <w:tcPr>
            <w:tcW w:w="1537" w:type="dxa"/>
            <w:tcBorders>
              <w:top w:val="nil"/>
              <w:left w:val="nil"/>
              <w:bottom w:val="single" w:sz="4" w:space="0" w:color="auto"/>
              <w:right w:val="single" w:sz="4" w:space="0" w:color="auto"/>
            </w:tcBorders>
            <w:noWrap/>
            <w:vAlign w:val="bottom"/>
            <w:hideMark/>
          </w:tcPr>
          <w:p w14:paraId="7566D1D0" w14:textId="77777777" w:rsidR="0098101F" w:rsidRPr="0098101F" w:rsidRDefault="0098101F" w:rsidP="001B63B1">
            <w:pPr>
              <w:spacing w:line="240" w:lineRule="auto"/>
            </w:pPr>
            <w:r w:rsidRPr="0098101F">
              <w:t>0.10%</w:t>
            </w:r>
          </w:p>
        </w:tc>
      </w:tr>
      <w:tr w:rsidR="0098101F" w:rsidRPr="0098101F" w14:paraId="0792DEA1" w14:textId="77777777" w:rsidTr="00BA3AA9">
        <w:trPr>
          <w:trHeight w:val="310"/>
        </w:trPr>
        <w:tc>
          <w:tcPr>
            <w:tcW w:w="2880" w:type="dxa"/>
            <w:tcBorders>
              <w:top w:val="nil"/>
              <w:left w:val="single" w:sz="4" w:space="0" w:color="auto"/>
              <w:bottom w:val="single" w:sz="4" w:space="0" w:color="auto"/>
              <w:right w:val="single" w:sz="4" w:space="0" w:color="auto"/>
            </w:tcBorders>
            <w:vAlign w:val="center"/>
            <w:hideMark/>
          </w:tcPr>
          <w:p w14:paraId="0A910C21" w14:textId="77777777" w:rsidR="0098101F" w:rsidRPr="0098101F" w:rsidRDefault="0098101F" w:rsidP="001B63B1">
            <w:pPr>
              <w:spacing w:line="240" w:lineRule="auto"/>
            </w:pPr>
            <w:r w:rsidRPr="0098101F">
              <w:t>2023</w:t>
            </w:r>
          </w:p>
        </w:tc>
        <w:tc>
          <w:tcPr>
            <w:tcW w:w="2363" w:type="dxa"/>
            <w:tcBorders>
              <w:top w:val="nil"/>
              <w:left w:val="nil"/>
              <w:bottom w:val="single" w:sz="4" w:space="0" w:color="auto"/>
              <w:right w:val="single" w:sz="4" w:space="0" w:color="auto"/>
            </w:tcBorders>
            <w:noWrap/>
            <w:vAlign w:val="bottom"/>
            <w:hideMark/>
          </w:tcPr>
          <w:p w14:paraId="798B105F" w14:textId="77777777" w:rsidR="0098101F" w:rsidRPr="0098101F" w:rsidRDefault="0098101F" w:rsidP="001B63B1">
            <w:pPr>
              <w:spacing w:line="240" w:lineRule="auto"/>
            </w:pPr>
            <w:r w:rsidRPr="0098101F">
              <w:t>23</w:t>
            </w:r>
          </w:p>
        </w:tc>
        <w:tc>
          <w:tcPr>
            <w:tcW w:w="1537" w:type="dxa"/>
            <w:tcBorders>
              <w:top w:val="nil"/>
              <w:left w:val="nil"/>
              <w:bottom w:val="single" w:sz="4" w:space="0" w:color="auto"/>
              <w:right w:val="single" w:sz="4" w:space="0" w:color="auto"/>
            </w:tcBorders>
            <w:noWrap/>
            <w:vAlign w:val="bottom"/>
            <w:hideMark/>
          </w:tcPr>
          <w:p w14:paraId="67000A2A" w14:textId="77777777" w:rsidR="0098101F" w:rsidRPr="0098101F" w:rsidRDefault="0098101F" w:rsidP="001B63B1">
            <w:pPr>
              <w:spacing w:line="240" w:lineRule="auto"/>
            </w:pPr>
            <w:r w:rsidRPr="0098101F">
              <w:t>0.10%</w:t>
            </w:r>
          </w:p>
        </w:tc>
      </w:tr>
      <w:tr w:rsidR="0098101F" w:rsidRPr="0098101F" w14:paraId="462C131F" w14:textId="77777777" w:rsidTr="00BA3AA9">
        <w:trPr>
          <w:trHeight w:val="310"/>
        </w:trPr>
        <w:tc>
          <w:tcPr>
            <w:tcW w:w="2880" w:type="dxa"/>
            <w:tcBorders>
              <w:top w:val="nil"/>
              <w:left w:val="single" w:sz="4" w:space="0" w:color="auto"/>
              <w:bottom w:val="single" w:sz="4" w:space="0" w:color="auto"/>
              <w:right w:val="single" w:sz="4" w:space="0" w:color="auto"/>
            </w:tcBorders>
            <w:vAlign w:val="center"/>
            <w:hideMark/>
          </w:tcPr>
          <w:p w14:paraId="28737326" w14:textId="77777777" w:rsidR="0098101F" w:rsidRPr="0098101F" w:rsidRDefault="0098101F" w:rsidP="001B63B1">
            <w:pPr>
              <w:spacing w:line="240" w:lineRule="auto"/>
            </w:pPr>
            <w:r w:rsidRPr="0098101F">
              <w:t>2024</w:t>
            </w:r>
          </w:p>
        </w:tc>
        <w:tc>
          <w:tcPr>
            <w:tcW w:w="2363" w:type="dxa"/>
            <w:tcBorders>
              <w:top w:val="nil"/>
              <w:left w:val="nil"/>
              <w:bottom w:val="single" w:sz="4" w:space="0" w:color="auto"/>
              <w:right w:val="single" w:sz="4" w:space="0" w:color="auto"/>
            </w:tcBorders>
            <w:noWrap/>
            <w:vAlign w:val="bottom"/>
            <w:hideMark/>
          </w:tcPr>
          <w:p w14:paraId="7015362B" w14:textId="77777777" w:rsidR="0098101F" w:rsidRPr="0098101F" w:rsidRDefault="0098101F" w:rsidP="001B63B1">
            <w:pPr>
              <w:spacing w:line="240" w:lineRule="auto"/>
            </w:pPr>
            <w:r w:rsidRPr="0098101F">
              <w:t>26</w:t>
            </w:r>
          </w:p>
        </w:tc>
        <w:tc>
          <w:tcPr>
            <w:tcW w:w="1537" w:type="dxa"/>
            <w:tcBorders>
              <w:top w:val="nil"/>
              <w:left w:val="nil"/>
              <w:bottom w:val="single" w:sz="4" w:space="0" w:color="auto"/>
              <w:right w:val="single" w:sz="4" w:space="0" w:color="auto"/>
            </w:tcBorders>
            <w:noWrap/>
            <w:vAlign w:val="bottom"/>
            <w:hideMark/>
          </w:tcPr>
          <w:p w14:paraId="78CC06C1" w14:textId="77777777" w:rsidR="0098101F" w:rsidRPr="0098101F" w:rsidRDefault="0098101F" w:rsidP="001B63B1">
            <w:pPr>
              <w:spacing w:line="240" w:lineRule="auto"/>
            </w:pPr>
            <w:r w:rsidRPr="0098101F">
              <w:t>0.12%</w:t>
            </w:r>
          </w:p>
        </w:tc>
      </w:tr>
    </w:tbl>
    <w:p w14:paraId="41977311" w14:textId="77777777" w:rsidR="0098101F" w:rsidRPr="001012E8" w:rsidRDefault="0098101F" w:rsidP="001012E8"/>
    <w:p w14:paraId="2E982729" w14:textId="77777777" w:rsidR="00F47D9C" w:rsidRDefault="00E10534" w:rsidP="001B63B1">
      <w:pPr>
        <w:pStyle w:val="Heading2"/>
        <w:numPr>
          <w:ilvl w:val="0"/>
          <w:numId w:val="2"/>
        </w:numPr>
      </w:pPr>
      <w:r w:rsidRPr="00E10534">
        <w:lastRenderedPageBreak/>
        <w:t>The details of any police policies or initiatives to increase the detection and/or prosecution of hate crimes against transgender people.</w:t>
      </w:r>
    </w:p>
    <w:p w14:paraId="62A82197" w14:textId="7196506C" w:rsidR="00F47D9C" w:rsidRPr="00F47D9C" w:rsidRDefault="00F47D9C" w:rsidP="00F47D9C">
      <w:pPr>
        <w:rPr>
          <w:color w:val="000000" w:themeColor="text1"/>
        </w:rPr>
      </w:pPr>
      <w:r w:rsidRPr="00F47D9C">
        <w:t>Police Scotland do not have any specific policies or initiatives for individual characteristics when investigating crime, and there are no initiatives in place to ensure detection rates within one group of society are prioritised over another. Officers should be recording and investigating crime in line with Scottish Crime Recording Standards (SCRS). Additionally, there is a ‘Responding to Hate’ Standard Operating Procedure to assist officers dealing with any hate crime, and a mandatory e-learning was brought in to upskill officers around the Hate Crime and Public Order (Scotland) Act 2021.</w:t>
      </w:r>
    </w:p>
    <w:p w14:paraId="7E5A2BD4" w14:textId="77777777" w:rsidR="00F47D9C" w:rsidRPr="00F47D9C" w:rsidRDefault="00F47D9C" w:rsidP="00F47D9C"/>
    <w:p w14:paraId="6108BEE9" w14:textId="69E30C34" w:rsidR="00E10534" w:rsidRDefault="00E10534" w:rsidP="00E10534">
      <w:pPr>
        <w:pStyle w:val="Heading2"/>
      </w:pPr>
      <w:r w:rsidRPr="00E10534">
        <w:t>7. The details or any police policies or initiatives to increase the trust the transgender community have in the police.</w:t>
      </w:r>
    </w:p>
    <w:p w14:paraId="072F7C63" w14:textId="618602CF" w:rsidR="00F47D9C" w:rsidRPr="00F47D9C" w:rsidRDefault="00F47D9C" w:rsidP="00F47D9C">
      <w:r w:rsidRPr="00F47D9C">
        <w:t>Police Scotland and the Scottish Police Authority have joint equality outcomes, which are in place to help us better understand and improve quality within the workplace for officers and staff, as well as the communities we serve. Whilst these outcomes aren’t characteristic specific (other than ‘Outcome 4 – Violence Against Women and Girls – Confidence and Support), the following outcomes would be expected to increase the trust of Police within the transgender community:</w:t>
      </w:r>
    </w:p>
    <w:p w14:paraId="43C390DF" w14:textId="77777777" w:rsidR="00F47D9C" w:rsidRPr="00F47D9C" w:rsidRDefault="00F47D9C" w:rsidP="00F47D9C">
      <w:r w:rsidRPr="00F47D9C">
        <w:t>Equality Outcome 1: Reporting Hate Incidents – Confidence and Support</w:t>
      </w:r>
    </w:p>
    <w:p w14:paraId="4099899D" w14:textId="77777777" w:rsidR="00F47D9C" w:rsidRPr="00F47D9C" w:rsidRDefault="00F47D9C" w:rsidP="00F47D9C">
      <w:r w:rsidRPr="00F47D9C">
        <w:t>Equality Outcome 2: Accessibility of Services and Communication</w:t>
      </w:r>
    </w:p>
    <w:p w14:paraId="24B35271" w14:textId="6D26970D" w:rsidR="00F47D9C" w:rsidRPr="00F47D9C" w:rsidRDefault="00F47D9C" w:rsidP="00F47D9C">
      <w:r w:rsidRPr="00F47D9C">
        <w:t>Equality Outcome 3: Meaningful Engagement</w:t>
      </w:r>
    </w:p>
    <w:p w14:paraId="3E9C5953" w14:textId="7C7DB9C4" w:rsidR="00F47D9C" w:rsidRPr="00F47D9C" w:rsidRDefault="00F47D9C" w:rsidP="00F47D9C">
      <w:r w:rsidRPr="00F47D9C">
        <w:t xml:space="preserve">Full details of the Equality Outcomes can be found here </w:t>
      </w:r>
      <w:hyperlink r:id="rId11" w:history="1">
        <w:r w:rsidRPr="00F47D9C">
          <w:rPr>
            <w:rStyle w:val="Hyperlink"/>
          </w:rPr>
          <w:t>Police Scotland and Scottish Police Authority Joint Equality Outcomes for Policing 2021</w:t>
        </w:r>
      </w:hyperlink>
      <w:r w:rsidRPr="00F47D9C">
        <w:t xml:space="preserve"> which includes the objectives, activities and measures for each outcome. </w:t>
      </w:r>
    </w:p>
    <w:p w14:paraId="32DD1A5E" w14:textId="7E4C91B4" w:rsidR="00F47D9C" w:rsidRPr="00F47D9C" w:rsidRDefault="00F47D9C" w:rsidP="00F47D9C">
      <w:r w:rsidRPr="00F47D9C">
        <w:t>Police Scotland continues to work with community partners and other stakeholders to facilitate dialogue with communities and to involve trans people and the wider LGBTQI+ community in how we enhance trust and confidence in policing, together.</w:t>
      </w:r>
    </w:p>
    <w:p w14:paraId="0394ABDB" w14:textId="5A7EB02F" w:rsidR="00F47D9C" w:rsidRPr="00F47D9C" w:rsidRDefault="00F47D9C" w:rsidP="00F47D9C">
      <w:r w:rsidRPr="00F47D9C">
        <w:t xml:space="preserve">Police Scotland was one of the first UK police forces to proactively introduce human rights considerations into its existing Equality Impact Assessments. The process helps ensure that Police Scotland and SPA policies and practices are fair and equitable for all members </w:t>
      </w:r>
      <w:r w:rsidRPr="00F47D9C">
        <w:lastRenderedPageBreak/>
        <w:t>of staff and the public, as well as legally compliant with the Quality Act 2010 Public Sector Equality Duties, and the Human Rights Act 1998.</w:t>
      </w:r>
    </w:p>
    <w:p w14:paraId="7991A3CE" w14:textId="4AE36418" w:rsidR="00F47D9C" w:rsidRPr="00F47D9C" w:rsidRDefault="00F47D9C" w:rsidP="00F47D9C">
      <w:r w:rsidRPr="00F47D9C">
        <w:t>All staff involved in policy/practice development or review must use EqHRIA (Equality and Human Rights Impact Assessment) documents to assess equality and Human Rights impact of all new policies and practices and those under review. Within the document, consideration is to be given to Age, Disability, Gender Reassignment, Marriage/C</w:t>
      </w:r>
      <w:r w:rsidR="002633A8">
        <w:t>i</w:t>
      </w:r>
      <w:r w:rsidRPr="00F47D9C">
        <w:t>vil Partnership (Relationship Status), Pregnancy &amp; maternity related, Race, Colour, Ethnic or National Origins, Nationality, Religion or belief, Sex, and Sexual Orientation.</w:t>
      </w:r>
    </w:p>
    <w:p w14:paraId="7E0E5E7E" w14:textId="77777777" w:rsidR="006657E2" w:rsidRDefault="006657E2" w:rsidP="00793DD5"/>
    <w:p w14:paraId="34BDABBE" w14:textId="4CBCB23B"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8B132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0E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7A5914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0E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F8FD87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0E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14FE88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0ED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349F3E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0ED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91CD05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0ED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64FE1"/>
    <w:multiLevelType w:val="hybridMultilevel"/>
    <w:tmpl w:val="36B08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A72499"/>
    <w:multiLevelType w:val="hybridMultilevel"/>
    <w:tmpl w:val="CF3A81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763839434">
    <w:abstractNumId w:val="1"/>
  </w:num>
  <w:num w:numId="3" w16cid:durableId="113895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5311"/>
    <w:rsid w:val="000E2F19"/>
    <w:rsid w:val="000E6526"/>
    <w:rsid w:val="001012E8"/>
    <w:rsid w:val="00141533"/>
    <w:rsid w:val="00167528"/>
    <w:rsid w:val="00195CC4"/>
    <w:rsid w:val="001B63B1"/>
    <w:rsid w:val="00201042"/>
    <w:rsid w:val="00207326"/>
    <w:rsid w:val="002518AE"/>
    <w:rsid w:val="00253DF6"/>
    <w:rsid w:val="00255F1E"/>
    <w:rsid w:val="002633A8"/>
    <w:rsid w:val="002C08AE"/>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585CBD"/>
    <w:rsid w:val="00636B5D"/>
    <w:rsid w:val="00645CFA"/>
    <w:rsid w:val="006657E2"/>
    <w:rsid w:val="00676275"/>
    <w:rsid w:val="00685219"/>
    <w:rsid w:val="006D5799"/>
    <w:rsid w:val="00715B28"/>
    <w:rsid w:val="007440EA"/>
    <w:rsid w:val="00750D83"/>
    <w:rsid w:val="00785DBC"/>
    <w:rsid w:val="00793DD5"/>
    <w:rsid w:val="007A0EDB"/>
    <w:rsid w:val="007D55F6"/>
    <w:rsid w:val="007F490F"/>
    <w:rsid w:val="00831949"/>
    <w:rsid w:val="0086779C"/>
    <w:rsid w:val="00874BFD"/>
    <w:rsid w:val="008964EF"/>
    <w:rsid w:val="0089744F"/>
    <w:rsid w:val="008D62C0"/>
    <w:rsid w:val="00915E01"/>
    <w:rsid w:val="00946A8C"/>
    <w:rsid w:val="00947193"/>
    <w:rsid w:val="009631A4"/>
    <w:rsid w:val="00977296"/>
    <w:rsid w:val="0098101F"/>
    <w:rsid w:val="009C68A7"/>
    <w:rsid w:val="00A25E93"/>
    <w:rsid w:val="00A320FF"/>
    <w:rsid w:val="00A70AC0"/>
    <w:rsid w:val="00A84EA9"/>
    <w:rsid w:val="00AC443C"/>
    <w:rsid w:val="00B033D6"/>
    <w:rsid w:val="00B11A55"/>
    <w:rsid w:val="00B17211"/>
    <w:rsid w:val="00B461B2"/>
    <w:rsid w:val="00B654B6"/>
    <w:rsid w:val="00B71B3C"/>
    <w:rsid w:val="00BA3AA9"/>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10534"/>
    <w:rsid w:val="00E55D79"/>
    <w:rsid w:val="00E73B68"/>
    <w:rsid w:val="00E97058"/>
    <w:rsid w:val="00ED11D9"/>
    <w:rsid w:val="00ED756A"/>
    <w:rsid w:val="00EE2373"/>
    <w:rsid w:val="00EF0FBB"/>
    <w:rsid w:val="00EF4761"/>
    <w:rsid w:val="00F47D9C"/>
    <w:rsid w:val="00F54034"/>
    <w:rsid w:val="00F5673F"/>
    <w:rsid w:val="00FC2DA7"/>
    <w:rsid w:val="00FE44E2"/>
    <w:rsid w:val="00FE5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F47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646530">
      <w:bodyDiv w:val="1"/>
      <w:marLeft w:val="0"/>
      <w:marRight w:val="0"/>
      <w:marTop w:val="0"/>
      <w:marBottom w:val="0"/>
      <w:divBdr>
        <w:top w:val="none" w:sz="0" w:space="0" w:color="auto"/>
        <w:left w:val="none" w:sz="0" w:space="0" w:color="auto"/>
        <w:bottom w:val="none" w:sz="0" w:space="0" w:color="auto"/>
        <w:right w:val="none" w:sz="0" w:space="0" w:color="auto"/>
      </w:divBdr>
    </w:div>
    <w:div w:id="1151748797">
      <w:bodyDiv w:val="1"/>
      <w:marLeft w:val="0"/>
      <w:marRight w:val="0"/>
      <w:marTop w:val="0"/>
      <w:marBottom w:val="0"/>
      <w:divBdr>
        <w:top w:val="none" w:sz="0" w:space="0" w:color="auto"/>
        <w:left w:val="none" w:sz="0" w:space="0" w:color="auto"/>
        <w:bottom w:val="none" w:sz="0" w:space="0" w:color="auto"/>
        <w:right w:val="none" w:sz="0" w:space="0" w:color="auto"/>
      </w:divBdr>
    </w:div>
    <w:div w:id="1709524181">
      <w:bodyDiv w:val="1"/>
      <w:marLeft w:val="0"/>
      <w:marRight w:val="0"/>
      <w:marTop w:val="0"/>
      <w:marBottom w:val="0"/>
      <w:divBdr>
        <w:top w:val="none" w:sz="0" w:space="0" w:color="auto"/>
        <w:left w:val="none" w:sz="0" w:space="0" w:color="auto"/>
        <w:bottom w:val="none" w:sz="0" w:space="0" w:color="auto"/>
        <w:right w:val="none" w:sz="0" w:space="0" w:color="auto"/>
      </w:divBdr>
    </w:div>
    <w:div w:id="1746218601">
      <w:bodyDiv w:val="1"/>
      <w:marLeft w:val="0"/>
      <w:marRight w:val="0"/>
      <w:marTop w:val="0"/>
      <w:marBottom w:val="0"/>
      <w:divBdr>
        <w:top w:val="none" w:sz="0" w:space="0" w:color="auto"/>
        <w:left w:val="none" w:sz="0" w:space="0" w:color="auto"/>
        <w:bottom w:val="none" w:sz="0" w:space="0" w:color="auto"/>
        <w:right w:val="none" w:sz="0" w:space="0" w:color="auto"/>
      </w:divBdr>
    </w:div>
    <w:div w:id="1911034111">
      <w:bodyDiv w:val="1"/>
      <w:marLeft w:val="0"/>
      <w:marRight w:val="0"/>
      <w:marTop w:val="0"/>
      <w:marBottom w:val="0"/>
      <w:divBdr>
        <w:top w:val="none" w:sz="0" w:space="0" w:color="auto"/>
        <w:left w:val="none" w:sz="0" w:space="0" w:color="auto"/>
        <w:bottom w:val="none" w:sz="0" w:space="0" w:color="auto"/>
        <w:right w:val="none" w:sz="0" w:space="0" w:color="auto"/>
      </w:divBdr>
    </w:div>
    <w:div w:id="1930889411">
      <w:bodyDiv w:val="1"/>
      <w:marLeft w:val="0"/>
      <w:marRight w:val="0"/>
      <w:marTop w:val="0"/>
      <w:marBottom w:val="0"/>
      <w:divBdr>
        <w:top w:val="none" w:sz="0" w:space="0" w:color="auto"/>
        <w:left w:val="none" w:sz="0" w:space="0" w:color="auto"/>
        <w:bottom w:val="none" w:sz="0" w:space="0" w:color="auto"/>
        <w:right w:val="none" w:sz="0" w:space="0" w:color="auto"/>
      </w:divBdr>
    </w:div>
    <w:div w:id="2027365047">
      <w:bodyDiv w:val="1"/>
      <w:marLeft w:val="0"/>
      <w:marRight w:val="0"/>
      <w:marTop w:val="0"/>
      <w:marBottom w:val="0"/>
      <w:divBdr>
        <w:top w:val="none" w:sz="0" w:space="0" w:color="auto"/>
        <w:left w:val="none" w:sz="0" w:space="0" w:color="auto"/>
        <w:bottom w:val="none" w:sz="0" w:space="0" w:color="auto"/>
        <w:right w:val="none" w:sz="0" w:space="0" w:color="auto"/>
      </w:divBdr>
    </w:div>
    <w:div w:id="205916506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oa5nurw5/joint-equality-outcomes-for-policing-2021.pdf"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cp:lastPrinted>2025-04-29T16:50:00Z</cp:lastPrinted>
  <dcterms:created xsi:type="dcterms:W3CDTF">2025-04-29T16:51:00Z</dcterms:created>
  <dcterms:modified xsi:type="dcterms:W3CDTF">2025-04-29T16:51:00Z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