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A14B0CF" w14:textId="77777777" w:rsidTr="00540A52">
        <w:trPr>
          <w:trHeight w:val="2552"/>
          <w:tblHeader/>
        </w:trPr>
        <w:tc>
          <w:tcPr>
            <w:tcW w:w="2269" w:type="dxa"/>
          </w:tcPr>
          <w:p w14:paraId="6BDE7105" w14:textId="77777777" w:rsidR="00B17211" w:rsidRDefault="007F490F" w:rsidP="00540A52">
            <w:pPr>
              <w:pStyle w:val="Heading1"/>
              <w:spacing w:before="0" w:after="0" w:line="240" w:lineRule="auto"/>
            </w:pPr>
            <w:r>
              <w:rPr>
                <w:noProof/>
                <w:lang w:eastAsia="en-GB"/>
              </w:rPr>
              <w:drawing>
                <wp:inline distT="0" distB="0" distL="0" distR="0" wp14:anchorId="168B190E" wp14:editId="714CF3D7">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FA2BA49" w14:textId="77777777" w:rsidR="00456324" w:rsidRPr="00456324" w:rsidRDefault="00456324" w:rsidP="00B17211">
            <w:pPr>
              <w:pStyle w:val="Heading1"/>
              <w:spacing w:before="120"/>
              <w:rPr>
                <w:sz w:val="4"/>
              </w:rPr>
            </w:pPr>
          </w:p>
          <w:p w14:paraId="30D16AE5" w14:textId="77777777" w:rsidR="00B17211" w:rsidRDefault="007F490F" w:rsidP="00B17211">
            <w:pPr>
              <w:pStyle w:val="Heading1"/>
              <w:spacing w:before="120"/>
            </w:pPr>
            <w:r>
              <w:t>F</w:t>
            </w:r>
            <w:r w:rsidRPr="003E12CA">
              <w:t xml:space="preserve">reedom of Information </w:t>
            </w:r>
            <w:r>
              <w:t>Response</w:t>
            </w:r>
          </w:p>
          <w:p w14:paraId="6CFEAE01" w14:textId="271B934C" w:rsidR="00B17211" w:rsidRPr="00B17211" w:rsidRDefault="00B17211" w:rsidP="007F490F">
            <w:r w:rsidRPr="007F490F">
              <w:rPr>
                <w:rStyle w:val="Heading2Char"/>
              </w:rPr>
              <w:t>Our reference:</w:t>
            </w:r>
            <w:r>
              <w:t xml:space="preserve">  FOI 2</w:t>
            </w:r>
            <w:r w:rsidR="00AC443C">
              <w:t>3</w:t>
            </w:r>
            <w:r w:rsidR="007F759B">
              <w:t>-</w:t>
            </w:r>
            <w:r w:rsidR="00E9074E">
              <w:t>3235</w:t>
            </w:r>
          </w:p>
          <w:p w14:paraId="01663BE7" w14:textId="05DF819F"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E9074E">
              <w:t>January 2024</w:t>
            </w:r>
          </w:p>
        </w:tc>
      </w:tr>
    </w:tbl>
    <w:p w14:paraId="16CFCF44"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4AA9B71B" w14:textId="77777777" w:rsidR="00E9074E" w:rsidRDefault="00E9074E" w:rsidP="00E9074E">
      <w:pPr>
        <w:pStyle w:val="Heading2"/>
      </w:pPr>
      <w:r>
        <w:t>1. The number of Police Scotland custody suites that have closed down in the last 10 years. Please include the name of the station each custody suite was part of.</w:t>
      </w:r>
      <w:r>
        <w:br/>
        <w:t>If possible, please provide a breakdown of the figure by calendar year (2013, 2014, 2015, 2016, 2017, 2018, 2019, 2020, 2021, 2022 and 2023).</w:t>
      </w:r>
    </w:p>
    <w:p w14:paraId="008751E1" w14:textId="25116BB8" w:rsidR="00321C71" w:rsidRDefault="00321C71" w:rsidP="00E62F24">
      <w:r>
        <w:t>Police Scotland’s custody operating model is the subject of a comprehensive annual review to ensure that it remains fit for purpose and that the estate footprint, staffing model and available capacity continues to meet its needs.</w:t>
      </w:r>
    </w:p>
    <w:p w14:paraId="2CFF3385" w14:textId="60DCA900" w:rsidR="00E62F24" w:rsidRPr="00E62F24" w:rsidRDefault="00321C71" w:rsidP="00E62F24">
      <w:r>
        <w:t>To increase flexibility, some custody facilities have been reclassified as ancillary stations and remain available for local policing to activate as and when required</w:t>
      </w:r>
      <w:r w:rsidR="003952A9">
        <w:t>,</w:t>
      </w:r>
      <w:r>
        <w:t xml:space="preserve"> i.e. for the purpose of short term arrest and interview situations where a custodial decision is not likely. </w:t>
      </w:r>
    </w:p>
    <w:p w14:paraId="4E8F5683" w14:textId="6BD0A96D" w:rsidR="00742FE6" w:rsidRDefault="00321C71" w:rsidP="00742FE6">
      <w:r>
        <w:t xml:space="preserve">For clarity, </w:t>
      </w:r>
      <w:r w:rsidR="00742FE6">
        <w:t>I</w:t>
      </w:r>
      <w:r w:rsidR="00742FE6" w:rsidRPr="00742FE6">
        <w:t xml:space="preserve"> have interpreted the request to refer to custody centres that were closed completely and </w:t>
      </w:r>
      <w:r w:rsidR="00742FE6">
        <w:t xml:space="preserve">are </w:t>
      </w:r>
      <w:r w:rsidR="00742FE6" w:rsidRPr="00742FE6">
        <w:t xml:space="preserve">no longer </w:t>
      </w:r>
      <w:r w:rsidR="00742FE6">
        <w:t xml:space="preserve">in </w:t>
      </w:r>
      <w:r w:rsidR="00742FE6" w:rsidRPr="00742FE6">
        <w:t>use</w:t>
      </w:r>
      <w:r w:rsidR="00742FE6">
        <w:t xml:space="preserve">. </w:t>
      </w:r>
      <w:r w:rsidR="00E62F24">
        <w:t xml:space="preserve">  </w:t>
      </w:r>
    </w:p>
    <w:p w14:paraId="6E311D42" w14:textId="5113E551" w:rsidR="00742FE6" w:rsidRDefault="00742FE6" w:rsidP="00742FE6">
      <w:r>
        <w:t xml:space="preserve">On that basis our records confirm that facilities at the following locations </w:t>
      </w:r>
      <w:r w:rsidR="003952A9">
        <w:t xml:space="preserve">were </w:t>
      </w:r>
      <w:r>
        <w:t>closed within the requested period:</w:t>
      </w:r>
    </w:p>
    <w:p w14:paraId="562B26B5" w14:textId="2DE7A85B" w:rsidR="00742FE6" w:rsidRDefault="00742FE6" w:rsidP="00742FE6">
      <w:r>
        <w:t xml:space="preserve">2020 – Hamilton and East Kilbride </w:t>
      </w:r>
    </w:p>
    <w:p w14:paraId="5078D4DB" w14:textId="0ED0EE2E" w:rsidR="00742FE6" w:rsidRDefault="00742FE6" w:rsidP="00742FE6">
      <w:r>
        <w:t xml:space="preserve">2021 – Lanark </w:t>
      </w:r>
    </w:p>
    <w:p w14:paraId="468AAD00" w14:textId="004E0679" w:rsidR="00742FE6" w:rsidRDefault="00742FE6" w:rsidP="00742FE6">
      <w:r>
        <w:t xml:space="preserve">2022 – Arbroath </w:t>
      </w:r>
    </w:p>
    <w:p w14:paraId="511BB1DD" w14:textId="4C5B066E" w:rsidR="00742FE6" w:rsidRDefault="00742FE6" w:rsidP="00742FE6">
      <w:r>
        <w:t xml:space="preserve">2023 – Ayr </w:t>
      </w:r>
    </w:p>
    <w:p w14:paraId="3238C434" w14:textId="1902A81F" w:rsidR="00E62F24" w:rsidRPr="00E62F24" w:rsidRDefault="00E62F24" w:rsidP="00E62F24">
      <w:pPr>
        <w:tabs>
          <w:tab w:val="left" w:pos="5400"/>
        </w:tabs>
        <w:jc w:val="both"/>
        <w:outlineLvl w:val="0"/>
      </w:pPr>
      <w:r>
        <w:rPr>
          <w:sz w:val="23"/>
          <w:szCs w:val="23"/>
        </w:rPr>
        <w:t>A</w:t>
      </w:r>
      <w:r w:rsidRPr="003E3C8D">
        <w:rPr>
          <w:sz w:val="23"/>
          <w:szCs w:val="23"/>
        </w:rPr>
        <w:t xml:space="preserve"> </w:t>
      </w:r>
      <w:r w:rsidRPr="00E62F24">
        <w:t>check of our systems</w:t>
      </w:r>
      <w:r>
        <w:t xml:space="preserve"> for the period prior to 2020</w:t>
      </w:r>
      <w:r w:rsidRPr="00E62F24">
        <w:t xml:space="preserve"> has revealed no trace of any </w:t>
      </w:r>
      <w:r>
        <w:t xml:space="preserve">recorded information </w:t>
      </w:r>
      <w:r w:rsidRPr="00E62F24">
        <w:t>relevant to your reques</w:t>
      </w:r>
      <w:r>
        <w:t>t</w:t>
      </w:r>
      <w:r w:rsidR="00321C71">
        <w:t>,</w:t>
      </w:r>
      <w:r>
        <w:t xml:space="preserve"> however this does not mean that there were no custody facilities closed within that period. </w:t>
      </w:r>
      <w:r w:rsidRPr="00E62F24">
        <w:t xml:space="preserve"> </w:t>
      </w:r>
    </w:p>
    <w:p w14:paraId="18BD7D82" w14:textId="77777777" w:rsidR="00742FE6" w:rsidRDefault="00742FE6" w:rsidP="00742FE6"/>
    <w:p w14:paraId="29BDFF53" w14:textId="710DFD30" w:rsidR="00E9074E" w:rsidRDefault="00E9074E" w:rsidP="00E9074E">
      <w:pPr>
        <w:pStyle w:val="Heading2"/>
      </w:pPr>
      <w:r w:rsidRPr="00742FE6">
        <w:lastRenderedPageBreak/>
        <w:br/>
      </w:r>
      <w:r>
        <w:t>2. The number of Police Scotland custody suites that have been opened (newly established) in the last 10 years. Please include the of the station each custody suite was part of. If possible, please provide a breakdown of the figure by calendar year (2013, 2014, 2015, 2016, 2017, 2018, 2019, 2020, 2021, 2022 and 2023).</w:t>
      </w:r>
    </w:p>
    <w:p w14:paraId="26AB6322" w14:textId="55DF77E9" w:rsidR="00321C71" w:rsidRDefault="00E9616D" w:rsidP="00321C71">
      <w:pPr>
        <w:rPr>
          <w:rStyle w:val="apple-tab-span"/>
        </w:rPr>
      </w:pPr>
      <w:r w:rsidRPr="00137701">
        <w:t xml:space="preserve">I can confirm there have been no new custody suites opened in the </w:t>
      </w:r>
      <w:r w:rsidR="00164D26" w:rsidRPr="00137701">
        <w:t>ten</w:t>
      </w:r>
      <w:r w:rsidRPr="00137701">
        <w:t xml:space="preserve"> year period requested.  </w:t>
      </w:r>
      <w:r w:rsidR="00D27DD1" w:rsidRPr="00137701">
        <w:rPr>
          <w:rStyle w:val="apple-tab-span"/>
        </w:rPr>
        <w:t>On that basis section 17 of the Act applies and I can confirm that the information sought is not held by Police Scotland</w:t>
      </w:r>
      <w:r w:rsidR="00360612">
        <w:rPr>
          <w:rStyle w:val="apple-tab-span"/>
        </w:rPr>
        <w:t>.</w:t>
      </w:r>
    </w:p>
    <w:p w14:paraId="7046A604" w14:textId="501DEA1E" w:rsidR="004E3F97" w:rsidRDefault="00E9074E" w:rsidP="00321C71">
      <w:pPr>
        <w:pStyle w:val="Heading2"/>
      </w:pPr>
      <w:r>
        <w:br/>
        <w:t>3. The amount of money spent by Police Scotland on the operation of custody suites in the last 10 years. If possible, please provide a breakdown of the figure by financial year (2013/14, 2014/15, 2015/16, 2016/17, 2017/18, 2018/19, 2019/20, 2020/21, 2021/22, 2022/23 and 2023/24 so far).</w:t>
      </w:r>
    </w:p>
    <w:p w14:paraId="17C0C1BD" w14:textId="736239B0" w:rsidR="00BD28BA" w:rsidRDefault="004E3F97" w:rsidP="00D27DD1">
      <w:pPr>
        <w:pStyle w:val="Heading2"/>
      </w:pPr>
      <w:r w:rsidRPr="004E3F97">
        <w:rPr>
          <w:b w:val="0"/>
          <w:bCs/>
        </w:rPr>
        <w:t xml:space="preserve">The table below </w:t>
      </w:r>
      <w:r w:rsidR="001F4E76" w:rsidRPr="004E3F97">
        <w:rPr>
          <w:b w:val="0"/>
          <w:bCs/>
        </w:rPr>
        <w:t>provides</w:t>
      </w:r>
      <w:r w:rsidR="001F4E76">
        <w:rPr>
          <w:b w:val="0"/>
          <w:bCs/>
        </w:rPr>
        <w:t xml:space="preserve"> revenue</w:t>
      </w:r>
      <w:r w:rsidR="00C10B87">
        <w:rPr>
          <w:b w:val="0"/>
          <w:bCs/>
        </w:rPr>
        <w:t xml:space="preserve"> </w:t>
      </w:r>
      <w:r w:rsidR="00DA05B8">
        <w:rPr>
          <w:b w:val="0"/>
          <w:bCs/>
        </w:rPr>
        <w:t>e</w:t>
      </w:r>
      <w:r w:rsidR="00DA05B8" w:rsidRPr="00DA05B8">
        <w:rPr>
          <w:b w:val="0"/>
          <w:bCs/>
        </w:rPr>
        <w:t>xpenditure</w:t>
      </w:r>
      <w:r w:rsidR="00BD28BA">
        <w:rPr>
          <w:b w:val="0"/>
          <w:bCs/>
        </w:rPr>
        <w:t xml:space="preserve"> for the operation of all Police Scotland custody suites</w:t>
      </w:r>
      <w:r w:rsidR="0054043A">
        <w:rPr>
          <w:b w:val="0"/>
          <w:bCs/>
        </w:rPr>
        <w:t>,</w:t>
      </w:r>
      <w:r w:rsidR="00BD28BA">
        <w:rPr>
          <w:b w:val="0"/>
          <w:bCs/>
        </w:rPr>
        <w:t xml:space="preserve"> including </w:t>
      </w:r>
      <w:r w:rsidR="0054043A">
        <w:rPr>
          <w:b w:val="0"/>
          <w:bCs/>
        </w:rPr>
        <w:t xml:space="preserve">supplies and services, transport, all </w:t>
      </w:r>
      <w:r w:rsidR="00BD28BA">
        <w:rPr>
          <w:b w:val="0"/>
          <w:bCs/>
        </w:rPr>
        <w:t xml:space="preserve">staffing costs </w:t>
      </w:r>
      <w:r w:rsidR="0054043A">
        <w:rPr>
          <w:b w:val="0"/>
          <w:bCs/>
        </w:rPr>
        <w:t xml:space="preserve">etc. </w:t>
      </w:r>
      <w:r w:rsidR="00BD28BA">
        <w:rPr>
          <w:b w:val="0"/>
          <w:bCs/>
        </w:rPr>
        <w:t xml:space="preserve">but </w:t>
      </w:r>
      <w:r w:rsidR="00DA05B8" w:rsidRPr="00DA05B8">
        <w:rPr>
          <w:b w:val="0"/>
          <w:bCs/>
        </w:rPr>
        <w:t>excluding main rent, rates or general premises running costs which are not directly attributable to custody suites but held centrally for all locations in our Estates department.</w:t>
      </w:r>
      <w:r w:rsidR="00DA05B8" w:rsidRPr="00DA05B8">
        <w:t xml:space="preserve"> </w:t>
      </w:r>
    </w:p>
    <w:p w14:paraId="1EDF1040" w14:textId="5C9EA4B4" w:rsidR="00BD28BA" w:rsidRDefault="0054043A" w:rsidP="00BD28BA">
      <w:r>
        <w:t>On that basis, the table below provides the information</w:t>
      </w:r>
      <w:r w:rsidR="00164D26">
        <w:t xml:space="preserve"> by financial year for the ten year period requested</w:t>
      </w:r>
      <w:r>
        <w:t xml:space="preserve">. </w:t>
      </w:r>
    </w:p>
    <w:p w14:paraId="066F27D6" w14:textId="53B9E953" w:rsidR="00BD28BA" w:rsidRPr="00BD28BA" w:rsidRDefault="00BD28BA" w:rsidP="00BD28BA">
      <w:r>
        <w:t>Table: Costs identified with the operation of Custody Suites</w:t>
      </w:r>
      <w:r w:rsidR="00164D26">
        <w:t xml:space="preserve"> -</w:t>
      </w:r>
      <w:r>
        <w:t xml:space="preserve"> by financial year:</w:t>
      </w:r>
    </w:p>
    <w:tbl>
      <w:tblPr>
        <w:tblStyle w:val="TableGrid"/>
        <w:tblW w:w="0" w:type="auto"/>
        <w:tblInd w:w="137" w:type="dxa"/>
        <w:tblLook w:val="04A0" w:firstRow="1" w:lastRow="0" w:firstColumn="1" w:lastColumn="0" w:noHBand="0" w:noVBand="1"/>
      </w:tblPr>
      <w:tblGrid>
        <w:gridCol w:w="2268"/>
        <w:gridCol w:w="5670"/>
      </w:tblGrid>
      <w:tr w:rsidR="004E3F97" w14:paraId="57D22931" w14:textId="77777777" w:rsidTr="000B3763">
        <w:trPr>
          <w:tblHeader/>
        </w:trPr>
        <w:tc>
          <w:tcPr>
            <w:tcW w:w="2268" w:type="dxa"/>
            <w:shd w:val="clear" w:color="auto" w:fill="BFBFBF" w:themeFill="background1" w:themeFillShade="BF"/>
          </w:tcPr>
          <w:p w14:paraId="1787A445" w14:textId="12201C03" w:rsidR="004E3F97" w:rsidRPr="00CA1829" w:rsidRDefault="00CA1829" w:rsidP="000B3763">
            <w:pPr>
              <w:rPr>
                <w:b/>
                <w:bCs/>
              </w:rPr>
            </w:pPr>
            <w:r>
              <w:rPr>
                <w:b/>
                <w:bCs/>
              </w:rPr>
              <w:t xml:space="preserve">Financial </w:t>
            </w:r>
            <w:r w:rsidR="004E3F97" w:rsidRPr="00CA1829">
              <w:rPr>
                <w:b/>
                <w:bCs/>
              </w:rPr>
              <w:t>Year</w:t>
            </w:r>
          </w:p>
        </w:tc>
        <w:tc>
          <w:tcPr>
            <w:tcW w:w="5670" w:type="dxa"/>
            <w:shd w:val="clear" w:color="auto" w:fill="BFBFBF" w:themeFill="background1" w:themeFillShade="BF"/>
          </w:tcPr>
          <w:p w14:paraId="49B5A044" w14:textId="2EE6A33E" w:rsidR="004E3F97" w:rsidRPr="00CA1829" w:rsidRDefault="004E3F97" w:rsidP="00BD28BA">
            <w:pPr>
              <w:jc w:val="center"/>
              <w:rPr>
                <w:b/>
                <w:bCs/>
              </w:rPr>
            </w:pPr>
            <w:r w:rsidRPr="00CA1829">
              <w:rPr>
                <w:b/>
                <w:bCs/>
              </w:rPr>
              <w:t>Net Expenditure</w:t>
            </w:r>
            <w:r w:rsidR="00CA1829">
              <w:rPr>
                <w:b/>
                <w:bCs/>
              </w:rPr>
              <w:t xml:space="preserve"> £</w:t>
            </w:r>
          </w:p>
        </w:tc>
      </w:tr>
      <w:tr w:rsidR="00CA1829" w14:paraId="17B804AB" w14:textId="77777777" w:rsidTr="000B3763">
        <w:tc>
          <w:tcPr>
            <w:tcW w:w="2268" w:type="dxa"/>
          </w:tcPr>
          <w:p w14:paraId="34832A7F" w14:textId="4B26F301" w:rsidR="00CA1829" w:rsidRDefault="00CA1829" w:rsidP="000B3763">
            <w:r>
              <w:t>2013/14</w:t>
            </w:r>
          </w:p>
        </w:tc>
        <w:tc>
          <w:tcPr>
            <w:tcW w:w="5670" w:type="dxa"/>
          </w:tcPr>
          <w:p w14:paraId="270220FB" w14:textId="1AD83919" w:rsidR="00CA1829" w:rsidRDefault="00CA1829" w:rsidP="00BD28BA">
            <w:pPr>
              <w:jc w:val="center"/>
            </w:pPr>
            <w:r w:rsidRPr="003518F7">
              <w:t>£35,537,512</w:t>
            </w:r>
          </w:p>
        </w:tc>
      </w:tr>
      <w:tr w:rsidR="00CA1829" w14:paraId="38AB9D0A" w14:textId="77777777" w:rsidTr="000B3763">
        <w:tc>
          <w:tcPr>
            <w:tcW w:w="2268" w:type="dxa"/>
          </w:tcPr>
          <w:p w14:paraId="0997D28A" w14:textId="62E752F6" w:rsidR="00CA1829" w:rsidRDefault="00CA1829" w:rsidP="000B3763">
            <w:r>
              <w:t>2014/15</w:t>
            </w:r>
          </w:p>
        </w:tc>
        <w:tc>
          <w:tcPr>
            <w:tcW w:w="5670" w:type="dxa"/>
          </w:tcPr>
          <w:p w14:paraId="2074B760" w14:textId="201A9104" w:rsidR="00CA1829" w:rsidRDefault="00CA1829" w:rsidP="00BD28BA">
            <w:pPr>
              <w:jc w:val="center"/>
            </w:pPr>
            <w:r w:rsidRPr="003518F7">
              <w:t>£28,658,244</w:t>
            </w:r>
          </w:p>
        </w:tc>
      </w:tr>
      <w:tr w:rsidR="00CA1829" w14:paraId="02C441FE" w14:textId="77777777" w:rsidTr="000B3763">
        <w:tc>
          <w:tcPr>
            <w:tcW w:w="2268" w:type="dxa"/>
          </w:tcPr>
          <w:p w14:paraId="2AB46732" w14:textId="1405C121" w:rsidR="00CA1829" w:rsidRDefault="00CA1829" w:rsidP="000B3763">
            <w:r>
              <w:t>2015/16</w:t>
            </w:r>
          </w:p>
        </w:tc>
        <w:tc>
          <w:tcPr>
            <w:tcW w:w="5670" w:type="dxa"/>
          </w:tcPr>
          <w:p w14:paraId="65E7A57B" w14:textId="6D57C18A" w:rsidR="00CA1829" w:rsidRDefault="00CA1829" w:rsidP="00BD28BA">
            <w:pPr>
              <w:jc w:val="center"/>
            </w:pPr>
            <w:r w:rsidRPr="00F718C3">
              <w:t>£27,275,462</w:t>
            </w:r>
          </w:p>
        </w:tc>
      </w:tr>
      <w:tr w:rsidR="00CA1829" w14:paraId="57148922" w14:textId="77777777" w:rsidTr="000B3763">
        <w:tc>
          <w:tcPr>
            <w:tcW w:w="2268" w:type="dxa"/>
          </w:tcPr>
          <w:p w14:paraId="3E246CBD" w14:textId="7FEB8CE1" w:rsidR="00CA1829" w:rsidRDefault="00CA1829" w:rsidP="000B3763">
            <w:r>
              <w:t>2016/17</w:t>
            </w:r>
          </w:p>
        </w:tc>
        <w:tc>
          <w:tcPr>
            <w:tcW w:w="5670" w:type="dxa"/>
          </w:tcPr>
          <w:p w14:paraId="166C62BC" w14:textId="156E57F2" w:rsidR="00CA1829" w:rsidRDefault="00CA1829" w:rsidP="00BD28BA">
            <w:pPr>
              <w:jc w:val="center"/>
            </w:pPr>
            <w:r w:rsidRPr="00F718C3">
              <w:t>£27,143,584</w:t>
            </w:r>
          </w:p>
        </w:tc>
      </w:tr>
      <w:tr w:rsidR="00CA1829" w14:paraId="53048609" w14:textId="77777777" w:rsidTr="000B3763">
        <w:tc>
          <w:tcPr>
            <w:tcW w:w="2268" w:type="dxa"/>
          </w:tcPr>
          <w:p w14:paraId="49DDB817" w14:textId="0C1BA3BB" w:rsidR="00CA1829" w:rsidRDefault="00CA1829" w:rsidP="000B3763">
            <w:r>
              <w:t>2017/18</w:t>
            </w:r>
          </w:p>
        </w:tc>
        <w:tc>
          <w:tcPr>
            <w:tcW w:w="5670" w:type="dxa"/>
          </w:tcPr>
          <w:p w14:paraId="59EC22EB" w14:textId="739DB5CC" w:rsidR="00CA1829" w:rsidRDefault="00CA1829" w:rsidP="00BD28BA">
            <w:pPr>
              <w:jc w:val="center"/>
            </w:pPr>
            <w:r w:rsidRPr="00F718C3">
              <w:t>£27,243,402</w:t>
            </w:r>
          </w:p>
        </w:tc>
      </w:tr>
      <w:tr w:rsidR="00CA1829" w14:paraId="6B3FAC51" w14:textId="77777777" w:rsidTr="000B3763">
        <w:tc>
          <w:tcPr>
            <w:tcW w:w="2268" w:type="dxa"/>
          </w:tcPr>
          <w:p w14:paraId="6F96D9FD" w14:textId="28D73489" w:rsidR="00CA1829" w:rsidRDefault="00CA1829" w:rsidP="000B3763">
            <w:r>
              <w:t>2018/19</w:t>
            </w:r>
          </w:p>
        </w:tc>
        <w:tc>
          <w:tcPr>
            <w:tcW w:w="5670" w:type="dxa"/>
          </w:tcPr>
          <w:p w14:paraId="0935AD22" w14:textId="32FB8B27" w:rsidR="00CA1829" w:rsidRDefault="00CA1829" w:rsidP="00BD28BA">
            <w:pPr>
              <w:jc w:val="center"/>
            </w:pPr>
            <w:r w:rsidRPr="00F718C3">
              <w:t>£29,052,344</w:t>
            </w:r>
          </w:p>
        </w:tc>
      </w:tr>
      <w:tr w:rsidR="00CA1829" w14:paraId="3BC227C2" w14:textId="77777777" w:rsidTr="000B3763">
        <w:tc>
          <w:tcPr>
            <w:tcW w:w="2268" w:type="dxa"/>
          </w:tcPr>
          <w:p w14:paraId="04C29DC2" w14:textId="2B2AE3EB" w:rsidR="00CA1829" w:rsidRDefault="00CA1829" w:rsidP="000B3763">
            <w:r>
              <w:lastRenderedPageBreak/>
              <w:t>2019/20</w:t>
            </w:r>
          </w:p>
        </w:tc>
        <w:tc>
          <w:tcPr>
            <w:tcW w:w="5670" w:type="dxa"/>
          </w:tcPr>
          <w:p w14:paraId="392AD88B" w14:textId="262430C7" w:rsidR="00CA1829" w:rsidRDefault="00CA1829" w:rsidP="00BD28BA">
            <w:pPr>
              <w:jc w:val="center"/>
            </w:pPr>
            <w:r w:rsidRPr="00F718C3">
              <w:t>£33,959,143</w:t>
            </w:r>
          </w:p>
        </w:tc>
      </w:tr>
      <w:tr w:rsidR="00CA1829" w14:paraId="06AAFA00" w14:textId="77777777" w:rsidTr="000B3763">
        <w:tc>
          <w:tcPr>
            <w:tcW w:w="2268" w:type="dxa"/>
          </w:tcPr>
          <w:p w14:paraId="4E6C66B1" w14:textId="598C91C0" w:rsidR="00CA1829" w:rsidRDefault="00CA1829" w:rsidP="000B3763">
            <w:r>
              <w:t>2020/21</w:t>
            </w:r>
          </w:p>
        </w:tc>
        <w:tc>
          <w:tcPr>
            <w:tcW w:w="5670" w:type="dxa"/>
          </w:tcPr>
          <w:p w14:paraId="2FAC7901" w14:textId="436815E9" w:rsidR="00CA1829" w:rsidRDefault="00CA1829" w:rsidP="00BD28BA">
            <w:pPr>
              <w:jc w:val="center"/>
            </w:pPr>
            <w:r w:rsidRPr="00F718C3">
              <w:t>£35,964,563</w:t>
            </w:r>
          </w:p>
        </w:tc>
      </w:tr>
      <w:tr w:rsidR="00CA1829" w14:paraId="5947DDF5" w14:textId="77777777" w:rsidTr="000B3763">
        <w:tc>
          <w:tcPr>
            <w:tcW w:w="2268" w:type="dxa"/>
          </w:tcPr>
          <w:p w14:paraId="6F38798E" w14:textId="3965044D" w:rsidR="00CA1829" w:rsidRDefault="00CA1829" w:rsidP="000B3763">
            <w:r>
              <w:t>2021/22</w:t>
            </w:r>
          </w:p>
        </w:tc>
        <w:tc>
          <w:tcPr>
            <w:tcW w:w="5670" w:type="dxa"/>
          </w:tcPr>
          <w:p w14:paraId="649C3FC9" w14:textId="021B941A" w:rsidR="00CA1829" w:rsidRDefault="00CA1829" w:rsidP="00BD28BA">
            <w:pPr>
              <w:jc w:val="center"/>
            </w:pPr>
            <w:r w:rsidRPr="00F718C3">
              <w:t>£38,427,303</w:t>
            </w:r>
          </w:p>
        </w:tc>
      </w:tr>
      <w:tr w:rsidR="00CA1829" w14:paraId="553F134B" w14:textId="77777777" w:rsidTr="000B3763">
        <w:tc>
          <w:tcPr>
            <w:tcW w:w="2268" w:type="dxa"/>
          </w:tcPr>
          <w:p w14:paraId="31215197" w14:textId="345C383D" w:rsidR="00CA1829" w:rsidRDefault="00CA1829" w:rsidP="000B3763">
            <w:r>
              <w:t>2022/23</w:t>
            </w:r>
          </w:p>
        </w:tc>
        <w:tc>
          <w:tcPr>
            <w:tcW w:w="5670" w:type="dxa"/>
          </w:tcPr>
          <w:p w14:paraId="6643E1EC" w14:textId="5695DCB3" w:rsidR="00CA1829" w:rsidRDefault="00CA1829" w:rsidP="00BD28BA">
            <w:pPr>
              <w:jc w:val="center"/>
            </w:pPr>
            <w:r w:rsidRPr="00F718C3">
              <w:t>£40,357,787</w:t>
            </w:r>
          </w:p>
        </w:tc>
      </w:tr>
    </w:tbl>
    <w:p w14:paraId="5482C273" w14:textId="6AFCEAED" w:rsidR="00CA1829" w:rsidRPr="004E3F97" w:rsidRDefault="00CA1829" w:rsidP="00CA1829"/>
    <w:p w14:paraId="687D6E7B" w14:textId="25989540" w:rsidR="00CA1829" w:rsidRDefault="00BD28BA" w:rsidP="004E3F97">
      <w:r>
        <w:t>For context, it is important to note the following:</w:t>
      </w:r>
    </w:p>
    <w:p w14:paraId="685EEF7F" w14:textId="77777777" w:rsidR="00BD28BA" w:rsidRDefault="00BD28BA" w:rsidP="00BD28BA">
      <w:pPr>
        <w:pStyle w:val="ListParagraph"/>
        <w:numPr>
          <w:ilvl w:val="0"/>
          <w:numId w:val="8"/>
        </w:numPr>
      </w:pPr>
      <w:r>
        <w:t>Significant efficiency measures instigated after the formation of Police Scotland in 2013 contributed to the cost reduction after FY2013/14.  A further restructure of Custody activities and cost centres took place during this time period therefore may have an impact when comparing year on year cost trends.</w:t>
      </w:r>
    </w:p>
    <w:p w14:paraId="1D16C696" w14:textId="77777777" w:rsidR="00BD28BA" w:rsidRDefault="00BD28BA" w:rsidP="00BD28BA">
      <w:pPr>
        <w:pStyle w:val="ListParagraph"/>
        <w:numPr>
          <w:ilvl w:val="0"/>
          <w:numId w:val="8"/>
        </w:numPr>
      </w:pPr>
      <w:r>
        <w:t>Decontamination costs increased by a factor of 10 in 2021 compared to the prior year and remained high in 2022 due to COVID-19 response.  While this has come down by circa 60% in 2023 they remain higher than pre-pandemic levels.</w:t>
      </w:r>
    </w:p>
    <w:p w14:paraId="136E6B79" w14:textId="63B31576" w:rsidR="00BD28BA" w:rsidRPr="00BD28BA" w:rsidRDefault="00BD28BA" w:rsidP="00BD28BA">
      <w:pPr>
        <w:pStyle w:val="ListParagraph"/>
        <w:numPr>
          <w:ilvl w:val="0"/>
          <w:numId w:val="8"/>
        </w:numPr>
        <w:rPr>
          <w:lang w:eastAsia="en-GB"/>
        </w:rPr>
      </w:pPr>
      <w:r w:rsidRPr="00195C1F">
        <w:rPr>
          <w:lang w:eastAsia="en-GB"/>
        </w:rPr>
        <w:t>Material impacts were also felt in other costs categories as a direct result of the Police Scotland response to COVID19 in 2021 and 2022 such as police staff and officer overtime and specialist consumables (PPE).</w:t>
      </w:r>
    </w:p>
    <w:p w14:paraId="24945884" w14:textId="684B40DB" w:rsidR="00BD28BA" w:rsidRDefault="00BD28BA" w:rsidP="00BD28BA">
      <w:pPr>
        <w:pStyle w:val="ListParagraph"/>
        <w:numPr>
          <w:ilvl w:val="0"/>
          <w:numId w:val="8"/>
        </w:numPr>
        <w:rPr>
          <w:lang w:eastAsia="en-GB"/>
        </w:rPr>
      </w:pPr>
      <w:r w:rsidRPr="00195C1F">
        <w:rPr>
          <w:lang w:eastAsia="en-GB"/>
        </w:rPr>
        <w:t>Following a reduction in officer numbers in 2023 linked to the McLeod Sargent remedy and budgetary restrictions officer and staff overtime has remained high.</w:t>
      </w:r>
    </w:p>
    <w:p w14:paraId="265F9E9A" w14:textId="77777777" w:rsidR="00CA1829" w:rsidRDefault="00CA1829" w:rsidP="004E3F97"/>
    <w:p w14:paraId="21D9879D" w14:textId="74F01713" w:rsidR="00496A08" w:rsidRPr="00BF6B81" w:rsidRDefault="00CA1829" w:rsidP="00793DD5">
      <w:r>
        <w:t>I</w:t>
      </w:r>
      <w:r w:rsidR="00496A08">
        <w:t xml:space="preserve">f you require any further </w:t>
      </w:r>
      <w:r w:rsidR="00496A08" w:rsidRPr="00874BFD">
        <w:t>assistance</w:t>
      </w:r>
      <w:r w:rsidR="00496A08">
        <w:t xml:space="preserve"> please contact us quoting the reference above.</w:t>
      </w:r>
    </w:p>
    <w:p w14:paraId="313450AD"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F07D0FE"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9E97971" w14:textId="77777777" w:rsidR="00B461B2" w:rsidRDefault="00496A08" w:rsidP="00793DD5">
      <w:r w:rsidRPr="007C470A">
        <w:t>Following an OSIC appeal, you can appeal to the Court of Session on a point of law only.</w:t>
      </w:r>
      <w:r w:rsidR="00D47E36">
        <w:t xml:space="preserve"> </w:t>
      </w:r>
    </w:p>
    <w:p w14:paraId="7CE49D5E" w14:textId="77777777" w:rsidR="00B11A55" w:rsidRDefault="00B11A55" w:rsidP="00793DD5">
      <w:r>
        <w:lastRenderedPageBreak/>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9761DA0"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35B7457"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EECF9" w14:textId="77777777" w:rsidR="00195CC4" w:rsidRDefault="00195CC4" w:rsidP="00491644">
      <w:r>
        <w:separator/>
      </w:r>
    </w:p>
  </w:endnote>
  <w:endnote w:type="continuationSeparator" w:id="0">
    <w:p w14:paraId="40DDDF2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1A83" w14:textId="77777777" w:rsidR="00491644" w:rsidRDefault="00491644">
    <w:pPr>
      <w:pStyle w:val="Footer"/>
    </w:pPr>
  </w:p>
  <w:p w14:paraId="2790EF4E" w14:textId="70FD71E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12B5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B8581"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120D791" wp14:editId="63FA8939">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1D6F4EB7" wp14:editId="522B7C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19DA3F9" w14:textId="3C51A87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12B5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B32EA" w14:textId="77777777" w:rsidR="00491644" w:rsidRDefault="00491644">
    <w:pPr>
      <w:pStyle w:val="Footer"/>
    </w:pPr>
  </w:p>
  <w:p w14:paraId="4A5CF5AD" w14:textId="12047E1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12B5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3836E" w14:textId="77777777" w:rsidR="00195CC4" w:rsidRDefault="00195CC4" w:rsidP="00491644">
      <w:r>
        <w:separator/>
      </w:r>
    </w:p>
  </w:footnote>
  <w:footnote w:type="continuationSeparator" w:id="0">
    <w:p w14:paraId="6B5854A0"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518AB" w14:textId="4A2D2EE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12B51">
      <w:rPr>
        <w:rFonts w:ascii="Times New Roman" w:hAnsi="Times New Roman" w:cs="Times New Roman"/>
        <w:b/>
        <w:color w:val="FF0000"/>
      </w:rPr>
      <w:t>OFFICIAL</w:t>
    </w:r>
    <w:r>
      <w:rPr>
        <w:rFonts w:ascii="Times New Roman" w:hAnsi="Times New Roman" w:cs="Times New Roman"/>
        <w:b/>
        <w:color w:val="FF0000"/>
      </w:rPr>
      <w:fldChar w:fldCharType="end"/>
    </w:r>
  </w:p>
  <w:p w14:paraId="04902F1E"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AD2E" w14:textId="1AE2CA4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12B5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4C828" w14:textId="612B107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12B51">
      <w:rPr>
        <w:rFonts w:ascii="Times New Roman" w:hAnsi="Times New Roman" w:cs="Times New Roman"/>
        <w:b/>
        <w:color w:val="FF0000"/>
      </w:rPr>
      <w:t>OFFICIAL</w:t>
    </w:r>
    <w:r>
      <w:rPr>
        <w:rFonts w:ascii="Times New Roman" w:hAnsi="Times New Roman" w:cs="Times New Roman"/>
        <w:b/>
        <w:color w:val="FF0000"/>
      </w:rPr>
      <w:fldChar w:fldCharType="end"/>
    </w:r>
  </w:p>
  <w:p w14:paraId="45EF71A6"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9D2E14"/>
    <w:multiLevelType w:val="hybridMultilevel"/>
    <w:tmpl w:val="A5D0A1F6"/>
    <w:lvl w:ilvl="0" w:tplc="DC066EFE">
      <w:start w:val="1"/>
      <w:numFmt w:val="bullet"/>
      <w:lvlText w:val="-"/>
      <w:lvlJc w:val="left"/>
      <w:pPr>
        <w:ind w:left="360" w:hanging="360"/>
      </w:pPr>
      <w:rPr>
        <w:rFonts w:ascii="Sylfaen" w:hAnsi="Sylfae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B80D80"/>
    <w:multiLevelType w:val="hybridMultilevel"/>
    <w:tmpl w:val="4142EE9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123767360">
    <w:abstractNumId w:val="6"/>
  </w:num>
  <w:num w:numId="2" w16cid:durableId="697777685">
    <w:abstractNumId w:val="3"/>
  </w:num>
  <w:num w:numId="3" w16cid:durableId="685787380">
    <w:abstractNumId w:val="0"/>
  </w:num>
  <w:num w:numId="4" w16cid:durableId="721826707">
    <w:abstractNumId w:val="5"/>
  </w:num>
  <w:num w:numId="5" w16cid:durableId="465048038">
    <w:abstractNumId w:val="1"/>
  </w:num>
  <w:num w:numId="6" w16cid:durableId="4050334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7331494">
    <w:abstractNumId w:val="4"/>
  </w:num>
  <w:num w:numId="8" w16cid:durableId="903179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B3763"/>
    <w:rsid w:val="000E6526"/>
    <w:rsid w:val="00112B51"/>
    <w:rsid w:val="00137701"/>
    <w:rsid w:val="00141533"/>
    <w:rsid w:val="00164D26"/>
    <w:rsid w:val="00167528"/>
    <w:rsid w:val="00195CC4"/>
    <w:rsid w:val="001F4E76"/>
    <w:rsid w:val="00201EA3"/>
    <w:rsid w:val="00253DF6"/>
    <w:rsid w:val="00255F1E"/>
    <w:rsid w:val="00285081"/>
    <w:rsid w:val="002C1F1E"/>
    <w:rsid w:val="00321C71"/>
    <w:rsid w:val="00360612"/>
    <w:rsid w:val="0036503B"/>
    <w:rsid w:val="003952A9"/>
    <w:rsid w:val="003D5169"/>
    <w:rsid w:val="003D6D03"/>
    <w:rsid w:val="003E12CA"/>
    <w:rsid w:val="004010DC"/>
    <w:rsid w:val="0040137A"/>
    <w:rsid w:val="004341F0"/>
    <w:rsid w:val="0043796F"/>
    <w:rsid w:val="00456324"/>
    <w:rsid w:val="00475460"/>
    <w:rsid w:val="00490317"/>
    <w:rsid w:val="00491644"/>
    <w:rsid w:val="00496A08"/>
    <w:rsid w:val="004E1605"/>
    <w:rsid w:val="004E3F97"/>
    <w:rsid w:val="004F4E24"/>
    <w:rsid w:val="004F653C"/>
    <w:rsid w:val="00524696"/>
    <w:rsid w:val="0054043A"/>
    <w:rsid w:val="00540A52"/>
    <w:rsid w:val="00557306"/>
    <w:rsid w:val="005816D1"/>
    <w:rsid w:val="005C0D87"/>
    <w:rsid w:val="005E6A4B"/>
    <w:rsid w:val="00663826"/>
    <w:rsid w:val="00705EB9"/>
    <w:rsid w:val="00742FE6"/>
    <w:rsid w:val="00747352"/>
    <w:rsid w:val="00750D83"/>
    <w:rsid w:val="00793DD5"/>
    <w:rsid w:val="007C03BC"/>
    <w:rsid w:val="007D21C9"/>
    <w:rsid w:val="007D55F6"/>
    <w:rsid w:val="007F490F"/>
    <w:rsid w:val="007F759B"/>
    <w:rsid w:val="0086779C"/>
    <w:rsid w:val="00874BFD"/>
    <w:rsid w:val="00892E2E"/>
    <w:rsid w:val="008964EF"/>
    <w:rsid w:val="009363C7"/>
    <w:rsid w:val="0096318D"/>
    <w:rsid w:val="009631A4"/>
    <w:rsid w:val="00977296"/>
    <w:rsid w:val="00A25E93"/>
    <w:rsid w:val="00A320FF"/>
    <w:rsid w:val="00A70AC0"/>
    <w:rsid w:val="00AC443C"/>
    <w:rsid w:val="00B11A55"/>
    <w:rsid w:val="00B17211"/>
    <w:rsid w:val="00B239DF"/>
    <w:rsid w:val="00B461B2"/>
    <w:rsid w:val="00B71B3C"/>
    <w:rsid w:val="00B862A8"/>
    <w:rsid w:val="00BA2F48"/>
    <w:rsid w:val="00BC389E"/>
    <w:rsid w:val="00BD28BA"/>
    <w:rsid w:val="00BF6B81"/>
    <w:rsid w:val="00C077A8"/>
    <w:rsid w:val="00C10B87"/>
    <w:rsid w:val="00C56BF3"/>
    <w:rsid w:val="00C606A2"/>
    <w:rsid w:val="00C63872"/>
    <w:rsid w:val="00C84948"/>
    <w:rsid w:val="00CA1829"/>
    <w:rsid w:val="00CD081C"/>
    <w:rsid w:val="00CF1111"/>
    <w:rsid w:val="00D05706"/>
    <w:rsid w:val="00D15491"/>
    <w:rsid w:val="00D2226F"/>
    <w:rsid w:val="00D27DC5"/>
    <w:rsid w:val="00D27DD1"/>
    <w:rsid w:val="00D47E36"/>
    <w:rsid w:val="00DA05B8"/>
    <w:rsid w:val="00DA19D7"/>
    <w:rsid w:val="00E448C2"/>
    <w:rsid w:val="00E55D79"/>
    <w:rsid w:val="00E62F24"/>
    <w:rsid w:val="00E9074E"/>
    <w:rsid w:val="00E9616D"/>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C23192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 w:type="paragraph" w:styleId="FootnoteText">
    <w:name w:val="footnote text"/>
    <w:basedOn w:val="Normal"/>
    <w:link w:val="FootnoteTextChar"/>
    <w:uiPriority w:val="99"/>
    <w:semiHidden/>
    <w:unhideWhenUsed/>
    <w:rsid w:val="00CA1829"/>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CA1829"/>
    <w:rPr>
      <w:sz w:val="20"/>
      <w:szCs w:val="20"/>
    </w:rPr>
  </w:style>
  <w:style w:type="character" w:styleId="FootnoteReference">
    <w:name w:val="footnote reference"/>
    <w:basedOn w:val="DefaultParagraphFont"/>
    <w:uiPriority w:val="99"/>
    <w:semiHidden/>
    <w:unhideWhenUsed/>
    <w:rsid w:val="00CA1829"/>
    <w:rPr>
      <w:vertAlign w:val="superscript"/>
    </w:rPr>
  </w:style>
  <w:style w:type="character" w:styleId="CommentReference">
    <w:name w:val="annotation reference"/>
    <w:basedOn w:val="DefaultParagraphFont"/>
    <w:uiPriority w:val="99"/>
    <w:semiHidden/>
    <w:unhideWhenUsed/>
    <w:rsid w:val="00C10B87"/>
    <w:rPr>
      <w:sz w:val="16"/>
      <w:szCs w:val="16"/>
    </w:rPr>
  </w:style>
  <w:style w:type="paragraph" w:styleId="CommentText">
    <w:name w:val="annotation text"/>
    <w:basedOn w:val="Normal"/>
    <w:link w:val="CommentTextChar"/>
    <w:uiPriority w:val="99"/>
    <w:unhideWhenUsed/>
    <w:rsid w:val="00C10B87"/>
    <w:pPr>
      <w:spacing w:line="240" w:lineRule="auto"/>
    </w:pPr>
    <w:rPr>
      <w:sz w:val="20"/>
      <w:szCs w:val="20"/>
    </w:rPr>
  </w:style>
  <w:style w:type="character" w:customStyle="1" w:styleId="CommentTextChar">
    <w:name w:val="Comment Text Char"/>
    <w:basedOn w:val="DefaultParagraphFont"/>
    <w:link w:val="CommentText"/>
    <w:uiPriority w:val="99"/>
    <w:rsid w:val="00C10B87"/>
    <w:rPr>
      <w:sz w:val="20"/>
      <w:szCs w:val="20"/>
    </w:rPr>
  </w:style>
  <w:style w:type="paragraph" w:styleId="CommentSubject">
    <w:name w:val="annotation subject"/>
    <w:basedOn w:val="CommentText"/>
    <w:next w:val="CommentText"/>
    <w:link w:val="CommentSubjectChar"/>
    <w:uiPriority w:val="99"/>
    <w:semiHidden/>
    <w:unhideWhenUsed/>
    <w:rsid w:val="00C10B87"/>
    <w:rPr>
      <w:b/>
      <w:bCs/>
    </w:rPr>
  </w:style>
  <w:style w:type="character" w:customStyle="1" w:styleId="CommentSubjectChar">
    <w:name w:val="Comment Subject Char"/>
    <w:basedOn w:val="CommentTextChar"/>
    <w:link w:val="CommentSubject"/>
    <w:uiPriority w:val="99"/>
    <w:semiHidden/>
    <w:rsid w:val="00C10B87"/>
    <w:rPr>
      <w:b/>
      <w:bCs/>
      <w:sz w:val="20"/>
      <w:szCs w:val="20"/>
    </w:rPr>
  </w:style>
  <w:style w:type="paragraph" w:styleId="Revision">
    <w:name w:val="Revision"/>
    <w:hidden/>
    <w:uiPriority w:val="99"/>
    <w:semiHidden/>
    <w:rsid w:val="00C10B87"/>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82901483">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966397238">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785222115">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010986785">
      <w:bodyDiv w:val="1"/>
      <w:marLeft w:val="0"/>
      <w:marRight w:val="0"/>
      <w:marTop w:val="0"/>
      <w:marBottom w:val="0"/>
      <w:divBdr>
        <w:top w:val="none" w:sz="0" w:space="0" w:color="auto"/>
        <w:left w:val="none" w:sz="0" w:space="0" w:color="auto"/>
        <w:bottom w:val="none" w:sz="0" w:space="0" w:color="auto"/>
        <w:right w:val="none" w:sz="0" w:space="0" w:color="auto"/>
      </w:divBdr>
    </w:div>
    <w:div w:id="209492868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791</Words>
  <Characters>4515</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2024-01-22T17:18:00Z</cp:lastPrinted>
  <dcterms:created xsi:type="dcterms:W3CDTF">2024-01-16T11:22:00Z</dcterms:created>
  <dcterms:modified xsi:type="dcterms:W3CDTF">2024-01-22T17:18:00Z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