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157CB">
              <w:t>08</w:t>
            </w:r>
            <w:r w:rsidR="00013036">
              <w:t>44</w:t>
            </w:r>
          </w:p>
          <w:p w:rsidR="00B17211" w:rsidRDefault="00456324" w:rsidP="00BE335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3353">
              <w:t>19</w:t>
            </w:r>
            <w:r w:rsidR="00BE3353" w:rsidRPr="00BE3353">
              <w:rPr>
                <w:vertAlign w:val="superscript"/>
              </w:rPr>
              <w:t>th</w:t>
            </w:r>
            <w:r w:rsidR="00BE3353">
              <w:t xml:space="preserve"> </w:t>
            </w:r>
            <w:bookmarkStart w:id="0" w:name="_GoBack"/>
            <w:bookmarkEnd w:id="0"/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E157CB" w:rsidRDefault="00E157CB" w:rsidP="0036503B">
      <w:r>
        <w:t xml:space="preserve">Please accept our apologies for the delay in responding. </w:t>
      </w:r>
    </w:p>
    <w:p w:rsidR="005F188C" w:rsidRDefault="005F188C" w:rsidP="005F188C">
      <w:pPr>
        <w:tabs>
          <w:tab w:val="left" w:pos="5400"/>
        </w:tabs>
      </w:pPr>
      <w:r>
        <w:t>In considering our response to your request, the following information may provide some useful information and context.</w:t>
      </w:r>
    </w:p>
    <w:p w:rsidR="005F188C" w:rsidRDefault="005F188C" w:rsidP="005F188C">
      <w:pPr>
        <w:tabs>
          <w:tab w:val="left" w:pos="5400"/>
        </w:tabs>
      </w:pPr>
      <w:r w:rsidRPr="00E157CB">
        <w:t xml:space="preserve">The Police Scotland </w:t>
      </w:r>
      <w:hyperlink r:id="rId8" w:history="1">
        <w:r>
          <w:rPr>
            <w:rStyle w:val="Hyperlink"/>
          </w:rPr>
          <w:t>Complaints About the Police Standard Operating Procedure</w:t>
        </w:r>
      </w:hyperlink>
      <w:r w:rsidRPr="00E157CB">
        <w:t xml:space="preserve"> outlines how we deal with complaints.  </w:t>
      </w:r>
    </w:p>
    <w:p w:rsidR="005F188C" w:rsidRPr="00E157CB" w:rsidRDefault="005F188C" w:rsidP="005F188C">
      <w:pPr>
        <w:tabs>
          <w:tab w:val="left" w:pos="5400"/>
        </w:tabs>
      </w:pPr>
      <w:r w:rsidRPr="00E157CB">
        <w:t xml:space="preserve">Complaints are recorded in accordance with the categories listed at appendices G and H, none of which you will note directly align to the terminology used in your request. </w:t>
      </w:r>
    </w:p>
    <w:p w:rsidR="005F188C" w:rsidRPr="00E157CB" w:rsidRDefault="005F188C" w:rsidP="005F188C">
      <w:pPr>
        <w:tabs>
          <w:tab w:val="left" w:pos="5400"/>
        </w:tabs>
      </w:pPr>
      <w:r w:rsidRPr="00E157CB">
        <w:t xml:space="preserve">You should also note that whilst a complaint </w:t>
      </w:r>
      <w:r w:rsidRPr="00E157CB">
        <w:rPr>
          <w:i/>
        </w:rPr>
        <w:t>may</w:t>
      </w:r>
      <w:r w:rsidRPr="00E157CB">
        <w:t xml:space="preserve"> lead to conduct proceedings in some circumstances (not necessarily every aspect of the complaint, or every officer involved) which may then lead to disciplinary action - complaints themselves are not recorded in those terms in terms of outcome.</w:t>
      </w:r>
    </w:p>
    <w:p w:rsidR="005F188C" w:rsidRPr="00E157CB" w:rsidRDefault="005F188C" w:rsidP="005F188C">
      <w:pPr>
        <w:tabs>
          <w:tab w:val="left" w:pos="5400"/>
        </w:tabs>
      </w:pPr>
      <w:r w:rsidRPr="00E157CB">
        <w:t>There is therefore potential for the same officer/ circumstances to appear on a compla</w:t>
      </w:r>
      <w:r>
        <w:t xml:space="preserve">int case and a conduct case and, as a result, </w:t>
      </w:r>
      <w:r w:rsidRPr="00E157CB">
        <w:t xml:space="preserve">complaints and conduct matters cannot simply be added together. </w:t>
      </w:r>
    </w:p>
    <w:p w:rsidR="005F188C" w:rsidRPr="00E157CB" w:rsidRDefault="005F188C" w:rsidP="005F188C">
      <w:pPr>
        <w:tabs>
          <w:tab w:val="left" w:pos="5400"/>
        </w:tabs>
      </w:pPr>
      <w:r>
        <w:t>The formal conduct</w:t>
      </w:r>
      <w:r w:rsidRPr="00E157CB">
        <w:t xml:space="preserve"> process for Police Officers is governed by </w:t>
      </w:r>
      <w:hyperlink r:id="rId9" w:history="1">
        <w:r w:rsidRPr="00E157CB">
          <w:rPr>
            <w:rStyle w:val="Hyperlink"/>
          </w:rPr>
          <w:t>The Police Service of Scotland (Conduct) Regulations 2014</w:t>
        </w:r>
      </w:hyperlink>
      <w:r w:rsidRPr="00E157CB">
        <w:t>.</w:t>
      </w:r>
    </w:p>
    <w:p w:rsidR="005F188C" w:rsidRPr="00E157CB" w:rsidRDefault="005F188C" w:rsidP="005F188C">
      <w:pPr>
        <w:tabs>
          <w:tab w:val="left" w:pos="5400"/>
        </w:tabs>
      </w:pPr>
      <w:r w:rsidRPr="00E157CB">
        <w:t xml:space="preserve">The </w:t>
      </w:r>
      <w:r>
        <w:t>associated</w:t>
      </w:r>
      <w:r w:rsidRPr="00E157CB">
        <w:t xml:space="preserve"> </w:t>
      </w:r>
      <w:hyperlink r:id="rId10" w:history="1">
        <w:r w:rsidRPr="00E157CB">
          <w:rPr>
            <w:rStyle w:val="Hyperlink"/>
          </w:rPr>
          <w:t>Scottish Government Guidance Document</w:t>
        </w:r>
      </w:hyperlink>
      <w:r w:rsidRPr="00E157CB">
        <w:t xml:space="preserve"> further </w:t>
      </w:r>
      <w:r>
        <w:t xml:space="preserve">details </w:t>
      </w:r>
      <w:r w:rsidRPr="00E157CB">
        <w:t xml:space="preserve">the process and conduct cases are categorised in line with our </w:t>
      </w:r>
      <w:hyperlink r:id="rId11" w:history="1">
        <w:r w:rsidRPr="00E157CB">
          <w:rPr>
            <w:rStyle w:val="Hyperlink"/>
          </w:rPr>
          <w:t>Standards of Professional Behaviour</w:t>
        </w:r>
      </w:hyperlink>
      <w:r w:rsidRPr="00E157CB">
        <w:t xml:space="preserve">.  </w:t>
      </w:r>
    </w:p>
    <w:p w:rsidR="005F188C" w:rsidRPr="00E157CB" w:rsidRDefault="005F188C" w:rsidP="005F188C">
      <w:pPr>
        <w:tabs>
          <w:tab w:val="left" w:pos="5400"/>
        </w:tabs>
      </w:pPr>
      <w:r w:rsidRPr="00E157CB">
        <w:t xml:space="preserve">The complaint process and the conduct process are distinct from each other and both have separate assessment and recording processes within the Professional Standards </w:t>
      </w:r>
      <w:r>
        <w:t>D</w:t>
      </w:r>
      <w:r w:rsidRPr="00E157CB">
        <w:t xml:space="preserve">epartment (PSD) database. </w:t>
      </w:r>
    </w:p>
    <w:p w:rsidR="005F188C" w:rsidRDefault="005F188C" w:rsidP="0001303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5F188C" w:rsidRDefault="005F188C" w:rsidP="0001303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013036" w:rsidRPr="00013036" w:rsidRDefault="00013036" w:rsidP="0001303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13036">
        <w:rPr>
          <w:rFonts w:eastAsiaTheme="majorEastAsia" w:cstheme="majorBidi"/>
          <w:b/>
          <w:color w:val="000000" w:themeColor="text1"/>
          <w:szCs w:val="26"/>
        </w:rPr>
        <w:lastRenderedPageBreak/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13036">
        <w:rPr>
          <w:rFonts w:eastAsiaTheme="majorEastAsia" w:cstheme="majorBidi"/>
          <w:b/>
          <w:color w:val="000000" w:themeColor="text1"/>
          <w:szCs w:val="26"/>
        </w:rPr>
        <w:t>How many officers received any kind of disciplinary sanction in the (i) 2020/21 and (ii) 2021/22 year as a result of a complaint of (a) racism, or (b) sexism/ misogyny?</w:t>
      </w:r>
      <w:r w:rsidRPr="00013036">
        <w:rPr>
          <w:rFonts w:eastAsiaTheme="majorEastAsia" w:cstheme="majorBidi"/>
          <w:b/>
          <w:color w:val="000000" w:themeColor="text1"/>
          <w:szCs w:val="26"/>
        </w:rPr>
        <w:br/>
        <w:t>2. Please state what disciplinary action was imposed for each of the cases referenced in Question 1.</w:t>
      </w:r>
      <w:r w:rsidRPr="00013036">
        <w:rPr>
          <w:rFonts w:eastAsiaTheme="majorEastAsia" w:cstheme="majorBidi"/>
          <w:b/>
          <w:color w:val="000000" w:themeColor="text1"/>
          <w:szCs w:val="26"/>
        </w:rPr>
        <w:br/>
        <w:t>3. In relation to all the incidents in Q.1 where specific racist or sexist/misogynistic words or phrases were used please (i) state what these words or phrases were and (ii) the specific disciplinary sanction imposed on the officer.</w:t>
      </w:r>
    </w:p>
    <w:p w:rsidR="00013036" w:rsidRPr="00217277" w:rsidRDefault="005F188C" w:rsidP="00013036">
      <w:pPr>
        <w:tabs>
          <w:tab w:val="left" w:pos="5400"/>
        </w:tabs>
      </w:pPr>
      <w:r>
        <w:t>As previously</w:t>
      </w:r>
      <w:r w:rsidR="00215BB8">
        <w:t xml:space="preserve"> mentioned, none of our recording</w:t>
      </w:r>
      <w:r w:rsidR="00013036" w:rsidRPr="00E157CB">
        <w:t xml:space="preserve"> categories directly align to the t</w:t>
      </w:r>
      <w:r w:rsidR="00217277">
        <w:t>erminology used in your request</w:t>
      </w:r>
      <w:r w:rsidR="0001101D">
        <w:t>, specifically ‘sexist/misogynistic’,</w:t>
      </w:r>
      <w:r w:rsidR="00217277">
        <w:t xml:space="preserve"> and section 17 of the Act therefore applies - the information sought is </w:t>
      </w:r>
      <w:r w:rsidR="00217277">
        <w:rPr>
          <w:i/>
        </w:rPr>
        <w:t xml:space="preserve">not held </w:t>
      </w:r>
      <w:r w:rsidR="00217277">
        <w:t>by Police Scotland in those terms.</w:t>
      </w:r>
    </w:p>
    <w:p w:rsidR="00013036" w:rsidRPr="00013036" w:rsidRDefault="00013036" w:rsidP="00013036">
      <w:r w:rsidRPr="00013036">
        <w:t xml:space="preserve">However, allegations are recorded in the following categories which </w:t>
      </w:r>
      <w:r>
        <w:t>-</w:t>
      </w:r>
      <w:r w:rsidRPr="00013036">
        <w:t xml:space="preserve"> although not exhaustive </w:t>
      </w:r>
      <w:r>
        <w:t>-</w:t>
      </w:r>
      <w:r w:rsidRPr="00013036">
        <w:t xml:space="preserve"> provide some coverage of allegations </w:t>
      </w:r>
      <w:r w:rsidR="00033B36">
        <w:t>that</w:t>
      </w:r>
      <w:r w:rsidRPr="00013036">
        <w:t xml:space="preserve"> involve a perceived racial element:</w:t>
      </w:r>
    </w:p>
    <w:p w:rsidR="00013036" w:rsidRPr="00013036" w:rsidRDefault="00013036" w:rsidP="00217277">
      <w:pPr>
        <w:numPr>
          <w:ilvl w:val="0"/>
          <w:numId w:val="4"/>
        </w:numPr>
        <w:spacing w:line="276" w:lineRule="auto"/>
      </w:pPr>
      <w:r w:rsidRPr="00013036">
        <w:t>Discriminatory Behaviour with a ‘race’ sub type</w:t>
      </w:r>
    </w:p>
    <w:p w:rsidR="00013036" w:rsidRPr="00013036" w:rsidRDefault="00013036" w:rsidP="00217277">
      <w:pPr>
        <w:numPr>
          <w:ilvl w:val="0"/>
          <w:numId w:val="4"/>
        </w:numPr>
        <w:spacing w:line="276" w:lineRule="auto"/>
      </w:pPr>
      <w:r w:rsidRPr="00013036">
        <w:t>Racially aggravated conduct</w:t>
      </w:r>
    </w:p>
    <w:p w:rsidR="00033B36" w:rsidRDefault="00013036" w:rsidP="00033B36">
      <w:pPr>
        <w:numPr>
          <w:ilvl w:val="0"/>
          <w:numId w:val="4"/>
        </w:numPr>
      </w:pPr>
      <w:r w:rsidRPr="00013036">
        <w:t>Racially aggravated harassment</w:t>
      </w:r>
    </w:p>
    <w:p w:rsidR="00013036" w:rsidRDefault="00033B36" w:rsidP="00033B36">
      <w:r>
        <w:t xml:space="preserve">On that basis, I can confirm that </w:t>
      </w:r>
      <w:r w:rsidR="00215BB8">
        <w:t>no p</w:t>
      </w:r>
      <w:r w:rsidR="00013036" w:rsidRPr="00013036">
        <w:t>olice officer</w:t>
      </w:r>
      <w:r w:rsidR="00215BB8">
        <w:t>s were</w:t>
      </w:r>
      <w:r w:rsidR="00013036" w:rsidRPr="00013036">
        <w:t xml:space="preserve"> subject to formal or management action disposals linked to </w:t>
      </w:r>
      <w:r w:rsidR="00215BB8">
        <w:t xml:space="preserve">complaint </w:t>
      </w:r>
      <w:r w:rsidR="00013036" w:rsidRPr="00013036">
        <w:t xml:space="preserve">allegations within the categories listed above, concluded between 01/04/2020 </w:t>
      </w:r>
      <w:r w:rsidR="00217277">
        <w:t>and</w:t>
      </w:r>
      <w:r w:rsidR="00013036" w:rsidRPr="00013036">
        <w:t xml:space="preserve"> 31/03/2022 inclusive. </w:t>
      </w:r>
      <w:r w:rsidR="0001101D">
        <w:t xml:space="preserve">Please note additional misconduct disposals are detailed in the aforementioned </w:t>
      </w:r>
      <w:hyperlink r:id="rId12" w:history="1">
        <w:r w:rsidR="0001101D" w:rsidRPr="00E157CB">
          <w:rPr>
            <w:rStyle w:val="Hyperlink"/>
          </w:rPr>
          <w:t>Scottish Government Guidance Document</w:t>
        </w:r>
      </w:hyperlink>
      <w:r w:rsidR="0001101D">
        <w:rPr>
          <w:rStyle w:val="Hyperlink"/>
        </w:rPr>
        <w:t>.</w:t>
      </w:r>
    </w:p>
    <w:p w:rsidR="00013036" w:rsidRPr="00013036" w:rsidRDefault="00013036" w:rsidP="00013036">
      <w:pPr>
        <w:pStyle w:val="Heading2"/>
      </w:pPr>
      <w:r w:rsidRPr="00013036">
        <w:t>4. How many complaints of racism were made against your force by members of the public in (i) 2019/20 and (ii) 2020/21?</w:t>
      </w:r>
    </w:p>
    <w:p w:rsidR="00217277" w:rsidRPr="00E52B45" w:rsidRDefault="00217277" w:rsidP="00217277">
      <w:pPr>
        <w:tabs>
          <w:tab w:val="left" w:pos="5400"/>
        </w:tabs>
        <w:rPr>
          <w:color w:val="FF0000"/>
        </w:rPr>
      </w:pPr>
      <w:r>
        <w:t>Your request</w:t>
      </w:r>
      <w:r w:rsidRPr="00217277">
        <w:t xml:space="preserve"> is interpreted to be in relation to </w:t>
      </w:r>
      <w:r w:rsidR="00215BB8">
        <w:t xml:space="preserve">complaint </w:t>
      </w:r>
      <w:r w:rsidRPr="00217277">
        <w:t xml:space="preserve">allegations received between 01/04/2019 – 31/03/2021 inclusive. </w:t>
      </w:r>
    </w:p>
    <w:p w:rsidR="00217277" w:rsidRDefault="00215BB8" w:rsidP="00217277">
      <w:pPr>
        <w:tabs>
          <w:tab w:val="left" w:pos="5400"/>
        </w:tabs>
      </w:pPr>
      <w:r>
        <w:t>Given</w:t>
      </w:r>
      <w:r w:rsidR="00E52B45">
        <w:t xml:space="preserve"> this question</w:t>
      </w:r>
      <w:r w:rsidR="00217277" w:rsidRPr="00217277">
        <w:t xml:space="preserve"> refers specifically to allegations received, rather than those res</w:t>
      </w:r>
      <w:r w:rsidR="00217277">
        <w:t>ulting in ‘disciplinary action’</w:t>
      </w:r>
      <w:r>
        <w:t>, data provided</w:t>
      </w:r>
      <w:r w:rsidR="00217277" w:rsidRPr="00217277">
        <w:t xml:space="preserve"> also includes relevant allegations attached to complaints received. </w:t>
      </w:r>
    </w:p>
    <w:p w:rsidR="00033B50" w:rsidRDefault="00033B50" w:rsidP="00217277">
      <w:pPr>
        <w:tabs>
          <w:tab w:val="left" w:pos="5400"/>
        </w:tabs>
      </w:pPr>
      <w:r>
        <w:t>The unde</w:t>
      </w:r>
      <w:r w:rsidR="00215BB8">
        <w:t>rnoted allegations relating to c</w:t>
      </w:r>
      <w:r>
        <w:t xml:space="preserve">omplaint cases </w:t>
      </w:r>
      <w:r w:rsidR="00215BB8">
        <w:t>were made</w:t>
      </w:r>
      <w:r>
        <w:t xml:space="preserve"> by members of the public.</w:t>
      </w:r>
    </w:p>
    <w:p w:rsidR="00215BB8" w:rsidRDefault="00215BB8" w:rsidP="00217277">
      <w:pPr>
        <w:tabs>
          <w:tab w:val="left" w:pos="5400"/>
        </w:tabs>
      </w:pPr>
    </w:p>
    <w:p w:rsidR="00217277" w:rsidRPr="00217277" w:rsidRDefault="00217277" w:rsidP="00217277">
      <w:pPr>
        <w:tabs>
          <w:tab w:val="left" w:pos="5400"/>
        </w:tabs>
        <w:rPr>
          <w:i/>
          <w:iCs/>
        </w:rPr>
      </w:pPr>
      <w:r w:rsidRPr="00217277">
        <w:rPr>
          <w:i/>
          <w:iCs/>
        </w:rPr>
        <w:lastRenderedPageBreak/>
        <w:t xml:space="preserve">Allegations involving racial related categories (Complaints), by financial year received </w:t>
      </w:r>
      <w:r w:rsidRPr="00217277">
        <w:rPr>
          <w:i/>
          <w:iCs/>
          <w:vertAlign w:val="superscript"/>
        </w:rPr>
        <w:t>1 2</w:t>
      </w:r>
    </w:p>
    <w:tbl>
      <w:tblPr>
        <w:tblW w:w="60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140"/>
        <w:gridCol w:w="1140"/>
      </w:tblGrid>
      <w:tr w:rsidR="00217277" w:rsidRPr="00217277" w:rsidTr="00217277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Allegation Type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2019/20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2020/21</w:t>
            </w:r>
          </w:p>
        </w:tc>
      </w:tr>
      <w:tr w:rsidR="00217277" w:rsidRPr="00217277" w:rsidTr="00217277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Discriminatory Behaviour - Race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63</w:t>
            </w:r>
          </w:p>
        </w:tc>
      </w:tr>
      <w:tr w:rsidR="00217277" w:rsidRPr="00217277" w:rsidTr="00217277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Racially aggravated conduct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4</w:t>
            </w:r>
          </w:p>
        </w:tc>
      </w:tr>
      <w:tr w:rsidR="00217277" w:rsidRPr="00217277" w:rsidTr="00217277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Racially aggravated harassment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4</w:t>
            </w:r>
          </w:p>
        </w:tc>
      </w:tr>
      <w:tr w:rsidR="00217277" w:rsidRPr="00217277" w:rsidTr="00217277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Grand 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71</w:t>
            </w:r>
          </w:p>
        </w:tc>
      </w:tr>
    </w:tbl>
    <w:p w:rsidR="00217277" w:rsidRPr="00217277" w:rsidRDefault="00217277" w:rsidP="00217277">
      <w:pPr>
        <w:tabs>
          <w:tab w:val="left" w:pos="5400"/>
        </w:tabs>
        <w:rPr>
          <w:i/>
          <w:sz w:val="20"/>
        </w:rPr>
      </w:pPr>
      <w:r w:rsidRPr="00217277">
        <w:rPr>
          <w:i/>
          <w:sz w:val="20"/>
        </w:rPr>
        <w:t xml:space="preserve">1 Data is based on the case received date. </w:t>
      </w:r>
      <w:r>
        <w:rPr>
          <w:i/>
          <w:sz w:val="20"/>
        </w:rPr>
        <w:br/>
      </w:r>
      <w:r w:rsidRPr="00217277">
        <w:rPr>
          <w:i/>
          <w:sz w:val="20"/>
        </w:rPr>
        <w:t xml:space="preserve">2 Each case may involve multiple allegations, therefore the number of allegations may vary from the number of cases. </w:t>
      </w:r>
    </w:p>
    <w:p w:rsidR="00217277" w:rsidRPr="00217277" w:rsidRDefault="00E52B45" w:rsidP="00217277">
      <w:pPr>
        <w:tabs>
          <w:tab w:val="left" w:pos="5400"/>
        </w:tabs>
      </w:pPr>
      <w:r>
        <w:t>Please note that</w:t>
      </w:r>
      <w:r w:rsidR="00217277" w:rsidRPr="00217277">
        <w:t xml:space="preserve"> no complainer d</w:t>
      </w:r>
      <w:r w:rsidR="00215BB8">
        <w:t>ata is recorded in relation to c</w:t>
      </w:r>
      <w:r w:rsidR="00217277" w:rsidRPr="00217277">
        <w:t xml:space="preserve">onduct cases, therefore it cannot be determined whether those cases resulted from complaints made by members of the public. </w:t>
      </w:r>
      <w:r w:rsidR="00217277">
        <w:t xml:space="preserve"> All cases are therefore detailed below:</w:t>
      </w:r>
    </w:p>
    <w:p w:rsidR="00217277" w:rsidRPr="00217277" w:rsidRDefault="00217277" w:rsidP="00217277">
      <w:pPr>
        <w:tabs>
          <w:tab w:val="left" w:pos="5400"/>
        </w:tabs>
        <w:rPr>
          <w:i/>
          <w:iCs/>
        </w:rPr>
      </w:pPr>
      <w:r w:rsidRPr="00217277">
        <w:rPr>
          <w:i/>
          <w:iCs/>
        </w:rPr>
        <w:t xml:space="preserve">Allegations involving racial related categories (Conduct), by financial year received </w:t>
      </w:r>
      <w:r w:rsidRPr="00217277">
        <w:rPr>
          <w:i/>
          <w:iCs/>
          <w:vertAlign w:val="superscript"/>
        </w:rPr>
        <w:t>1 2</w:t>
      </w:r>
    </w:p>
    <w:tbl>
      <w:tblPr>
        <w:tblW w:w="573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1084"/>
        <w:gridCol w:w="1084"/>
      </w:tblGrid>
      <w:tr w:rsidR="00217277" w:rsidRPr="00217277" w:rsidTr="00217277">
        <w:trPr>
          <w:trHeight w:val="315"/>
        </w:trPr>
        <w:tc>
          <w:tcPr>
            <w:tcW w:w="3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Charge Category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2020/21</w:t>
            </w:r>
          </w:p>
        </w:tc>
      </w:tr>
      <w:tr w:rsidR="00217277" w:rsidRPr="00217277" w:rsidTr="00217277">
        <w:trPr>
          <w:trHeight w:val="315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Racially aggravated conduct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6</w:t>
            </w:r>
          </w:p>
        </w:tc>
      </w:tr>
      <w:tr w:rsidR="00217277" w:rsidRPr="00217277" w:rsidTr="00217277">
        <w:trPr>
          <w:trHeight w:val="315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Racially aggravated harassment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</w:pPr>
            <w:r w:rsidRPr="00217277">
              <w:t>1</w:t>
            </w:r>
          </w:p>
        </w:tc>
      </w:tr>
      <w:tr w:rsidR="00217277" w:rsidRPr="00217277" w:rsidTr="00217277">
        <w:trPr>
          <w:trHeight w:val="315"/>
        </w:trPr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Grand Total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7277" w:rsidRPr="00217277" w:rsidRDefault="00217277" w:rsidP="00217277">
            <w:pPr>
              <w:tabs>
                <w:tab w:val="left" w:pos="5400"/>
              </w:tabs>
              <w:rPr>
                <w:b/>
                <w:bCs/>
              </w:rPr>
            </w:pPr>
            <w:r w:rsidRPr="00217277">
              <w:rPr>
                <w:b/>
                <w:bCs/>
              </w:rPr>
              <w:t>7</w:t>
            </w:r>
          </w:p>
        </w:tc>
      </w:tr>
    </w:tbl>
    <w:p w:rsidR="00217277" w:rsidRPr="00217277" w:rsidRDefault="00217277" w:rsidP="00217277">
      <w:pPr>
        <w:tabs>
          <w:tab w:val="left" w:pos="5400"/>
        </w:tabs>
        <w:rPr>
          <w:i/>
          <w:sz w:val="20"/>
        </w:rPr>
      </w:pPr>
      <w:r w:rsidRPr="00217277">
        <w:rPr>
          <w:i/>
          <w:sz w:val="20"/>
        </w:rPr>
        <w:t xml:space="preserve">1 Data is based on the case received date. </w:t>
      </w:r>
      <w:r>
        <w:rPr>
          <w:i/>
          <w:sz w:val="20"/>
        </w:rPr>
        <w:br/>
      </w:r>
      <w:r w:rsidRPr="00217277">
        <w:rPr>
          <w:i/>
          <w:sz w:val="20"/>
        </w:rPr>
        <w:t xml:space="preserve">2 Each case may involve multiple allegations, therefore the number of allegations may vary from the number of cases. </w:t>
      </w:r>
    </w:p>
    <w:p w:rsidR="00496A08" w:rsidRPr="00BF6B81" w:rsidRDefault="00496A08" w:rsidP="00E157CB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0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0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0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0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0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08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0F47"/>
    <w:multiLevelType w:val="hybridMultilevel"/>
    <w:tmpl w:val="7A1CF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D79BB"/>
    <w:multiLevelType w:val="hybridMultilevel"/>
    <w:tmpl w:val="7CF4FF96"/>
    <w:lvl w:ilvl="0" w:tplc="52C6D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164A"/>
    <w:multiLevelType w:val="hybridMultilevel"/>
    <w:tmpl w:val="10AE2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101D"/>
    <w:rsid w:val="00013036"/>
    <w:rsid w:val="00033B36"/>
    <w:rsid w:val="00033B50"/>
    <w:rsid w:val="00090F3B"/>
    <w:rsid w:val="000E6526"/>
    <w:rsid w:val="00141533"/>
    <w:rsid w:val="00156D94"/>
    <w:rsid w:val="00167528"/>
    <w:rsid w:val="00195CC4"/>
    <w:rsid w:val="00207326"/>
    <w:rsid w:val="00215BB8"/>
    <w:rsid w:val="0021727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188C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E3353"/>
    <w:rsid w:val="00BF08D0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5F85"/>
    <w:rsid w:val="00E157CB"/>
    <w:rsid w:val="00E46464"/>
    <w:rsid w:val="00E52B45"/>
    <w:rsid w:val="00E55D79"/>
    <w:rsid w:val="00EF4761"/>
    <w:rsid w:val="00FA30E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11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5707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2023-05-19T07:05:00Z</cp:lastPrinted>
  <dcterms:created xsi:type="dcterms:W3CDTF">2023-05-17T09:48:00Z</dcterms:created>
  <dcterms:modified xsi:type="dcterms:W3CDTF">2023-05-19T07:06:00Z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