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C457F0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A5A9D">
              <w:t>3886</w:t>
            </w:r>
          </w:p>
          <w:p w14:paraId="34BDABA6" w14:textId="5F8D67E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C0358">
              <w:t>30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BC4C3D" w14:textId="77777777" w:rsidR="00AA2AB1" w:rsidRDefault="00AA2AB1" w:rsidP="00AA2AB1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AA2AB1">
        <w:rPr>
          <w:rFonts w:eastAsiaTheme="majorEastAsia" w:cstheme="majorBidi"/>
          <w:b/>
          <w:bCs/>
          <w:color w:val="000000" w:themeColor="text1"/>
          <w:szCs w:val="26"/>
        </w:rPr>
        <w:t>Can you confirm that total amount spent on stab-proof body armour for Police Scotland officers in, i) 2020, ii) 2021, iii) 2022, iv) 2023, v) 2024 and, vi) 2025 to current date?</w:t>
      </w:r>
    </w:p>
    <w:p w14:paraId="324018E3" w14:textId="7E87EEEA" w:rsidR="00AA2AB1" w:rsidRDefault="00AA2AB1" w:rsidP="00AA2AB1">
      <w:r>
        <w:t>Please see the table below which provides the total costs spent on protective body armour per year, as requested. Data held for 2025/26 is up to November 2025.</w:t>
      </w:r>
    </w:p>
    <w:tbl>
      <w:tblPr>
        <w:tblStyle w:val="TableGrid"/>
        <w:tblW w:w="3797" w:type="dxa"/>
        <w:tblLook w:val="04A0" w:firstRow="1" w:lastRow="0" w:firstColumn="1" w:lastColumn="0" w:noHBand="0" w:noVBand="1"/>
        <w:tblCaption w:val="Total spend per year on protective body armour. "/>
        <w:tblDescription w:val="Total spend per year on protective body armour. "/>
      </w:tblPr>
      <w:tblGrid>
        <w:gridCol w:w="1898"/>
        <w:gridCol w:w="1899"/>
      </w:tblGrid>
      <w:tr w:rsidR="00AA2AB1" w:rsidRPr="00557306" w14:paraId="6D3438E8" w14:textId="77777777" w:rsidTr="003E5A41">
        <w:trPr>
          <w:tblHeader/>
        </w:trPr>
        <w:tc>
          <w:tcPr>
            <w:tcW w:w="1898" w:type="dxa"/>
            <w:shd w:val="clear" w:color="auto" w:fill="D9D9D9" w:themeFill="background1" w:themeFillShade="D9"/>
          </w:tcPr>
          <w:p w14:paraId="22660B18" w14:textId="3FE58736" w:rsidR="00AA2AB1" w:rsidRPr="00557306" w:rsidRDefault="00AA2AB1" w:rsidP="00AA2AB1">
            <w:pPr>
              <w:tabs>
                <w:tab w:val="left" w:pos="11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</w:rPr>
              <w:tab/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3FC46A71" w14:textId="77777777" w:rsidR="00AA2AB1" w:rsidRPr="00557306" w:rsidRDefault="00AA2AB1" w:rsidP="003E5A41">
            <w:pPr>
              <w:spacing w:line="240" w:lineRule="auto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AA2AB1" w14:paraId="251B6122" w14:textId="77777777" w:rsidTr="003E5A41">
        <w:tc>
          <w:tcPr>
            <w:tcW w:w="1898" w:type="dxa"/>
          </w:tcPr>
          <w:p w14:paraId="0777FD8B" w14:textId="600D9087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2019/20</w:t>
            </w:r>
          </w:p>
        </w:tc>
        <w:tc>
          <w:tcPr>
            <w:tcW w:w="1899" w:type="dxa"/>
          </w:tcPr>
          <w:p w14:paraId="21466848" w14:textId="48152989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£919,746</w:t>
            </w:r>
          </w:p>
        </w:tc>
      </w:tr>
      <w:tr w:rsidR="00AA2AB1" w14:paraId="430FE520" w14:textId="77777777" w:rsidTr="003E5A41">
        <w:tc>
          <w:tcPr>
            <w:tcW w:w="1898" w:type="dxa"/>
          </w:tcPr>
          <w:p w14:paraId="1A03CFD4" w14:textId="199F63D8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2020/21</w:t>
            </w:r>
          </w:p>
        </w:tc>
        <w:tc>
          <w:tcPr>
            <w:tcW w:w="1899" w:type="dxa"/>
          </w:tcPr>
          <w:p w14:paraId="1F48B336" w14:textId="50977D33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£1,881,659</w:t>
            </w:r>
          </w:p>
        </w:tc>
      </w:tr>
      <w:tr w:rsidR="00AA2AB1" w14:paraId="529BF4FA" w14:textId="77777777" w:rsidTr="003E5A41">
        <w:tc>
          <w:tcPr>
            <w:tcW w:w="1898" w:type="dxa"/>
          </w:tcPr>
          <w:p w14:paraId="4F862998" w14:textId="26EC9870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2021/22</w:t>
            </w:r>
          </w:p>
        </w:tc>
        <w:tc>
          <w:tcPr>
            <w:tcW w:w="1899" w:type="dxa"/>
          </w:tcPr>
          <w:p w14:paraId="68F67965" w14:textId="36D6119D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£1,560,157</w:t>
            </w:r>
          </w:p>
        </w:tc>
      </w:tr>
      <w:tr w:rsidR="00AA2AB1" w14:paraId="3D207AAB" w14:textId="77777777" w:rsidTr="003E5A41">
        <w:tc>
          <w:tcPr>
            <w:tcW w:w="1898" w:type="dxa"/>
          </w:tcPr>
          <w:p w14:paraId="08AA59F3" w14:textId="0AFFCC1B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1899" w:type="dxa"/>
          </w:tcPr>
          <w:p w14:paraId="0A4967D1" w14:textId="2595885D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£794,885</w:t>
            </w:r>
          </w:p>
        </w:tc>
      </w:tr>
      <w:tr w:rsidR="00AA2AB1" w14:paraId="268FFCA6" w14:textId="77777777" w:rsidTr="003E5A41">
        <w:tc>
          <w:tcPr>
            <w:tcW w:w="1898" w:type="dxa"/>
          </w:tcPr>
          <w:p w14:paraId="23BF00D3" w14:textId="775AF87F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1899" w:type="dxa"/>
          </w:tcPr>
          <w:p w14:paraId="718F6E86" w14:textId="4D9FAA13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£420,213</w:t>
            </w:r>
          </w:p>
        </w:tc>
      </w:tr>
      <w:tr w:rsidR="00AA2AB1" w14:paraId="644D0A30" w14:textId="77777777" w:rsidTr="003E5A41">
        <w:tc>
          <w:tcPr>
            <w:tcW w:w="1898" w:type="dxa"/>
          </w:tcPr>
          <w:p w14:paraId="2650F060" w14:textId="010B3C96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1899" w:type="dxa"/>
          </w:tcPr>
          <w:p w14:paraId="0A22636D" w14:textId="1C61B289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£467,547</w:t>
            </w:r>
          </w:p>
        </w:tc>
      </w:tr>
      <w:tr w:rsidR="00AA2AB1" w14:paraId="68DB3AC3" w14:textId="77777777" w:rsidTr="003E5A41">
        <w:tc>
          <w:tcPr>
            <w:tcW w:w="1898" w:type="dxa"/>
          </w:tcPr>
          <w:p w14:paraId="1B9F3BC0" w14:textId="1F6E5B51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2025/26*</w:t>
            </w:r>
          </w:p>
        </w:tc>
        <w:tc>
          <w:tcPr>
            <w:tcW w:w="1899" w:type="dxa"/>
          </w:tcPr>
          <w:p w14:paraId="46C40406" w14:textId="0E8C562F" w:rsidR="00AA2AB1" w:rsidRDefault="00AA2AB1" w:rsidP="003E5A41">
            <w:pPr>
              <w:tabs>
                <w:tab w:val="left" w:pos="5400"/>
              </w:tabs>
              <w:spacing w:line="240" w:lineRule="auto"/>
            </w:pPr>
            <w:r>
              <w:t>£247,648</w:t>
            </w:r>
          </w:p>
        </w:tc>
      </w:tr>
      <w:tr w:rsidR="00AA2AB1" w14:paraId="2564BA44" w14:textId="77777777" w:rsidTr="003E5A41">
        <w:tc>
          <w:tcPr>
            <w:tcW w:w="1898" w:type="dxa"/>
          </w:tcPr>
          <w:p w14:paraId="7634DCD6" w14:textId="2D7EDBAC" w:rsidR="00AA2AB1" w:rsidRPr="00AA2AB1" w:rsidRDefault="00AA2AB1" w:rsidP="003E5A4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A2AB1">
              <w:rPr>
                <w:b/>
                <w:bCs/>
              </w:rPr>
              <w:t>Total</w:t>
            </w:r>
          </w:p>
        </w:tc>
        <w:tc>
          <w:tcPr>
            <w:tcW w:w="1899" w:type="dxa"/>
          </w:tcPr>
          <w:p w14:paraId="6509007D" w14:textId="0896E225" w:rsidR="00AA2AB1" w:rsidRPr="00AA2AB1" w:rsidRDefault="00AA2AB1" w:rsidP="003E5A4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A2AB1">
              <w:rPr>
                <w:b/>
                <w:bCs/>
              </w:rPr>
              <w:t>£6,291,854</w:t>
            </w:r>
          </w:p>
        </w:tc>
      </w:tr>
    </w:tbl>
    <w:p w14:paraId="42C58060" w14:textId="77777777" w:rsidR="00AA2AB1" w:rsidRPr="00AA2AB1" w:rsidRDefault="00AA2AB1" w:rsidP="00AA2AB1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2DDAAFE7" w14:textId="77777777" w:rsidR="00AA2AB1" w:rsidRPr="00AA2AB1" w:rsidRDefault="00AA2AB1" w:rsidP="00AA2AB1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AA2AB1">
        <w:rPr>
          <w:rFonts w:eastAsiaTheme="majorEastAsia" w:cstheme="majorBidi"/>
          <w:b/>
          <w:bCs/>
          <w:color w:val="000000" w:themeColor="text1"/>
          <w:szCs w:val="26"/>
        </w:rPr>
        <w:t>Can you also give any detail on the type/s of stab-proof body armour purchased by Police Scotland over this time period?</w:t>
      </w:r>
    </w:p>
    <w:p w14:paraId="3C025C39" w14:textId="1DA1BEBC" w:rsidR="003A7A6D" w:rsidRDefault="001A5A9D" w:rsidP="003A7A6D">
      <w:r>
        <w:t xml:space="preserve">I can confirm the provider Police Scotland use for body armour is Safariland UK, however please note, further details on the type of body armed used </w:t>
      </w:r>
      <w:r w:rsidR="003A7A6D">
        <w:t xml:space="preserve">is </w:t>
      </w:r>
      <w:r w:rsidR="003A7A6D" w:rsidRPr="005E126E">
        <w:t>held by Police Scotland</w:t>
      </w:r>
      <w:r w:rsidR="003A7A6D">
        <w:t xml:space="preserve"> but I</w:t>
      </w:r>
      <w:r w:rsidR="003A7A6D" w:rsidRPr="005E126E">
        <w:t xml:space="preserve"> am refusing to provide it in terms of section 16(1) of the Act on the basis that the following exemptions apply:</w:t>
      </w:r>
    </w:p>
    <w:p w14:paraId="4198BA38" w14:textId="77777777" w:rsidR="003A7A6D" w:rsidRDefault="003A7A6D" w:rsidP="003A7A6D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Section 31(1) - National Security</w:t>
      </w:r>
    </w:p>
    <w:p w14:paraId="1B2CC313" w14:textId="77777777" w:rsidR="003A7A6D" w:rsidRPr="001F5C9F" w:rsidRDefault="003A7A6D" w:rsidP="003A7A6D">
      <w:r>
        <w:lastRenderedPageBreak/>
        <w:t>Exemption is required for the purpose of safeguarding national security.</w:t>
      </w:r>
    </w:p>
    <w:p w14:paraId="1F446361" w14:textId="77777777" w:rsidR="003A7A6D" w:rsidRPr="001F5C9F" w:rsidRDefault="003A7A6D" w:rsidP="003A7A6D">
      <w:pPr>
        <w:pStyle w:val="ListParagraph"/>
        <w:numPr>
          <w:ilvl w:val="0"/>
          <w:numId w:val="3"/>
        </w:numPr>
        <w:rPr>
          <w:i/>
          <w:iCs/>
        </w:rPr>
      </w:pPr>
      <w:r w:rsidRPr="001F5C9F">
        <w:rPr>
          <w:i/>
          <w:iCs/>
        </w:rPr>
        <w:t>Section 35(1)(a)&amp;(b) - Law Enforcement</w:t>
      </w:r>
    </w:p>
    <w:p w14:paraId="1DA551EA" w14:textId="3B19725B" w:rsidR="003A7A6D" w:rsidRPr="00F1333B" w:rsidRDefault="003A7A6D" w:rsidP="003A7A6D">
      <w:r>
        <w:t>D</w:t>
      </w:r>
      <w:r w:rsidRPr="00F1333B">
        <w:t xml:space="preserve">isclosure would substantially prejudice the prevention </w:t>
      </w:r>
      <w:r>
        <w:t>and</w:t>
      </w:r>
      <w:r w:rsidRPr="00F1333B">
        <w:t xml:space="preserve"> detection of crime</w:t>
      </w:r>
      <w:r>
        <w:t xml:space="preserve">, as well as </w:t>
      </w:r>
      <w:r w:rsidRPr="00F1333B">
        <w:t xml:space="preserve">the apprehension </w:t>
      </w:r>
      <w:r>
        <w:t>and</w:t>
      </w:r>
      <w:r w:rsidRPr="00F1333B">
        <w:t xml:space="preserve"> prosecution of offenders</w:t>
      </w:r>
      <w:r w:rsidR="00181674">
        <w:t>.</w:t>
      </w:r>
      <w:r>
        <w:br/>
      </w:r>
      <w:r w:rsidR="00181674">
        <w:t xml:space="preserve">The detail on the type of body armour Police Scotland use could </w:t>
      </w:r>
      <w:r>
        <w:t>provid</w:t>
      </w:r>
      <w:r w:rsidR="00181674">
        <w:t>e</w:t>
      </w:r>
      <w:r>
        <w:t xml:space="preserve"> a tactical advantage to criminals when planning or perpetrating any unlawful activities, maximising the impact of any destruction, harm and disruption caused and avoiding being brought to justice.</w:t>
      </w:r>
    </w:p>
    <w:p w14:paraId="6A443108" w14:textId="77777777" w:rsidR="003A7A6D" w:rsidRPr="001F5C9F" w:rsidRDefault="003A7A6D" w:rsidP="003A7A6D">
      <w:pPr>
        <w:pStyle w:val="ListParagraph"/>
        <w:numPr>
          <w:ilvl w:val="0"/>
          <w:numId w:val="3"/>
        </w:numPr>
        <w:rPr>
          <w:i/>
          <w:iCs/>
        </w:rPr>
      </w:pPr>
      <w:r w:rsidRPr="001F5C9F">
        <w:rPr>
          <w:i/>
          <w:iCs/>
        </w:rPr>
        <w:t>Section 39(1) - Health, Safety and the Environment</w:t>
      </w:r>
    </w:p>
    <w:p w14:paraId="5519F47E" w14:textId="77777777" w:rsidR="003A7A6D" w:rsidRPr="004061D7" w:rsidRDefault="003A7A6D" w:rsidP="003A7A6D">
      <w:r>
        <w:t>D</w:t>
      </w:r>
      <w:r w:rsidRPr="00F1333B">
        <w:t>isclosure would endanger the physical health or safety of an individual.</w:t>
      </w:r>
      <w:r>
        <w:br/>
        <w:t>Any increase in the threat to national security or the likelihood of criminality has a parallel impact on the risk of physical harm to members of the public and police officers.</w:t>
      </w:r>
    </w:p>
    <w:p w14:paraId="5FC577E3" w14:textId="1AE78ECC" w:rsidR="003A7A6D" w:rsidRDefault="003A7A6D" w:rsidP="003A7A6D">
      <w:r>
        <w:t>In terms of the public interest,</w:t>
      </w:r>
      <w:r w:rsidRPr="004061D7">
        <w:t xml:space="preserve"> accountability would favour disclosure, given the information concerns the efficient and effective use of </w:t>
      </w:r>
      <w:r>
        <w:t>body armour used by Police Scotland.</w:t>
      </w:r>
    </w:p>
    <w:p w14:paraId="359531CE" w14:textId="767A3AF0" w:rsidR="003A7A6D" w:rsidRDefault="003A7A6D" w:rsidP="003A7A6D">
      <w:r w:rsidRPr="005A09CA">
        <w:t xml:space="preserve">Similarly, disclosure would also better inform the public debate on the issue of </w:t>
      </w:r>
      <w:r>
        <w:t>protective body wear</w:t>
      </w:r>
      <w:r w:rsidRPr="005A09CA">
        <w:t xml:space="preserve"> and would contribute to the accuracy of </w:t>
      </w:r>
      <w:r>
        <w:t xml:space="preserve">that </w:t>
      </w:r>
      <w:r w:rsidRPr="005A09CA">
        <w:t>debate.</w:t>
      </w:r>
    </w:p>
    <w:p w14:paraId="37A48CB8" w14:textId="77777777" w:rsidR="003A7A6D" w:rsidRDefault="003A7A6D" w:rsidP="003A7A6D">
      <w:r w:rsidRPr="004B3E27">
        <w:t>However, ensur</w:t>
      </w:r>
      <w:r>
        <w:t>ing</w:t>
      </w:r>
      <w:r w:rsidRPr="004B3E27">
        <w:t xml:space="preserve"> </w:t>
      </w:r>
      <w:r>
        <w:t>there is no prejudice to</w:t>
      </w:r>
      <w:r w:rsidRPr="004B3E27">
        <w:t xml:space="preserve"> the prevention </w:t>
      </w:r>
      <w:r>
        <w:t>and</w:t>
      </w:r>
      <w:r w:rsidRPr="004B3E27">
        <w:t xml:space="preserve"> detection of crime</w:t>
      </w:r>
      <w:r>
        <w:t xml:space="preserve"> and keeping people safe from harm</w:t>
      </w:r>
      <w:r w:rsidRPr="004B3E27">
        <w:t>, clearly favour non-disclosure of the information</w:t>
      </w:r>
      <w:r>
        <w:t xml:space="preserve"> requested</w:t>
      </w:r>
      <w:r w:rsidRPr="004B3E27">
        <w:t>.</w:t>
      </w:r>
    </w:p>
    <w:p w14:paraId="34BDABB8" w14:textId="482860C9" w:rsidR="00255F1E" w:rsidRPr="00B11A55" w:rsidRDefault="003A7A6D" w:rsidP="00793DD5">
      <w:pPr>
        <w:tabs>
          <w:tab w:val="left" w:pos="5400"/>
        </w:tabs>
      </w:pPr>
      <w:r>
        <w:t>O</w:t>
      </w:r>
      <w:r w:rsidRPr="00F051C7">
        <w:t>n balance</w:t>
      </w:r>
      <w:r>
        <w:t>,</w:t>
      </w:r>
      <w:r w:rsidRPr="00F051C7">
        <w:t xml:space="preserve"> the public interest </w:t>
      </w:r>
      <w:r>
        <w:t>lies in maintaining the exemptions outlined above.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34522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E2DB9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4FD1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4880A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B760D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2789BA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F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4D6"/>
    <w:multiLevelType w:val="hybridMultilevel"/>
    <w:tmpl w:val="FF76EA24"/>
    <w:lvl w:ilvl="0" w:tplc="170A590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731A"/>
    <w:multiLevelType w:val="hybridMultilevel"/>
    <w:tmpl w:val="0B3A3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642540096">
    <w:abstractNumId w:val="0"/>
  </w:num>
  <w:num w:numId="3" w16cid:durableId="168246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81674"/>
    <w:rsid w:val="00195CC4"/>
    <w:rsid w:val="001A5A9D"/>
    <w:rsid w:val="00207326"/>
    <w:rsid w:val="00253DF6"/>
    <w:rsid w:val="00255F1E"/>
    <w:rsid w:val="00297128"/>
    <w:rsid w:val="0031478E"/>
    <w:rsid w:val="0034518B"/>
    <w:rsid w:val="0036503B"/>
    <w:rsid w:val="00376A4A"/>
    <w:rsid w:val="003A7A6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C0358"/>
    <w:rsid w:val="00645CFA"/>
    <w:rsid w:val="00651F47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A2AB1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552</Words>
  <Characters>3150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2025-12-30T11:25:00Z</cp:lastPrinted>
  <dcterms:created xsi:type="dcterms:W3CDTF">2025-12-08T12:29:00Z</dcterms:created>
  <dcterms:modified xsi:type="dcterms:W3CDTF">2025-12-30T11:25:00Z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