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44D65098" w:rsidR="00B17211" w:rsidRPr="00B17211" w:rsidRDefault="00B17211" w:rsidP="007F490F">
            <w:r w:rsidRPr="007F490F">
              <w:rPr>
                <w:rStyle w:val="Heading2Char"/>
              </w:rPr>
              <w:t>Our reference:</w:t>
            </w:r>
            <w:r>
              <w:t xml:space="preserve">  FOI 2</w:t>
            </w:r>
            <w:r w:rsidR="00EF0FBB">
              <w:t>5</w:t>
            </w:r>
            <w:r>
              <w:t>-</w:t>
            </w:r>
            <w:r w:rsidR="00D721DA">
              <w:t>3374</w:t>
            </w:r>
          </w:p>
          <w:p w14:paraId="34BDABA6" w14:textId="3FCFB6F9" w:rsidR="00B17211" w:rsidRDefault="00456324" w:rsidP="00EE2373">
            <w:r w:rsidRPr="007F490F">
              <w:rPr>
                <w:rStyle w:val="Heading2Char"/>
              </w:rPr>
              <w:t>Respon</w:t>
            </w:r>
            <w:r w:rsidR="007D55F6">
              <w:rPr>
                <w:rStyle w:val="Heading2Char"/>
              </w:rPr>
              <w:t>ded to:</w:t>
            </w:r>
            <w:r w:rsidR="007F490F">
              <w:t xml:space="preserve"> </w:t>
            </w:r>
            <w:r w:rsidR="00732066">
              <w:t>11</w:t>
            </w:r>
            <w:r w:rsidR="006D5799">
              <w:t xml:space="preserve"> </w:t>
            </w:r>
            <w:r w:rsidR="00D721DA">
              <w:t>November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66FA3770" w14:textId="77777777" w:rsidR="00D721DA" w:rsidRPr="00D721DA" w:rsidRDefault="00D721DA" w:rsidP="00D721DA">
      <w:pPr>
        <w:tabs>
          <w:tab w:val="left" w:pos="5400"/>
        </w:tabs>
        <w:rPr>
          <w:rFonts w:eastAsiaTheme="majorEastAsia" w:cstheme="majorBidi"/>
          <w:b/>
          <w:color w:val="000000" w:themeColor="text1"/>
          <w:szCs w:val="26"/>
        </w:rPr>
      </w:pPr>
      <w:r w:rsidRPr="00D721DA">
        <w:rPr>
          <w:rFonts w:eastAsiaTheme="majorEastAsia" w:cstheme="majorBidi"/>
          <w:b/>
          <w:color w:val="000000" w:themeColor="text1"/>
          <w:szCs w:val="26"/>
        </w:rPr>
        <w:t xml:space="preserve">Please provide the following information held by Police Scotland in relation to the referral and handling of </w:t>
      </w:r>
      <w:r w:rsidRPr="00D721DA">
        <w:rPr>
          <w:rFonts w:eastAsiaTheme="majorEastAsia" w:cstheme="majorBidi"/>
          <w:b/>
          <w:i/>
          <w:iCs/>
          <w:color w:val="000000" w:themeColor="text1"/>
          <w:szCs w:val="26"/>
        </w:rPr>
        <w:t>Other Relevant Information (ORI)</w:t>
      </w:r>
      <w:r w:rsidRPr="00D721DA">
        <w:rPr>
          <w:rFonts w:eastAsiaTheme="majorEastAsia" w:cstheme="majorBidi"/>
          <w:b/>
          <w:color w:val="000000" w:themeColor="text1"/>
          <w:szCs w:val="26"/>
        </w:rPr>
        <w:t xml:space="preserve"> for the purposes of </w:t>
      </w:r>
      <w:proofErr w:type="gramStart"/>
      <w:r w:rsidRPr="00D721DA">
        <w:rPr>
          <w:rFonts w:eastAsiaTheme="majorEastAsia" w:cstheme="majorBidi"/>
          <w:b/>
          <w:color w:val="000000" w:themeColor="text1"/>
          <w:szCs w:val="26"/>
        </w:rPr>
        <w:t>disclosure to Disclosure</w:t>
      </w:r>
      <w:proofErr w:type="gramEnd"/>
      <w:r w:rsidRPr="00D721DA">
        <w:rPr>
          <w:rFonts w:eastAsiaTheme="majorEastAsia" w:cstheme="majorBidi"/>
          <w:b/>
          <w:color w:val="000000" w:themeColor="text1"/>
          <w:szCs w:val="26"/>
        </w:rPr>
        <w:t xml:space="preserve"> Scotland under the Protection of Vulnerable Groups (Scotland) Act 2007 and related legislation.</w:t>
      </w:r>
    </w:p>
    <w:p w14:paraId="282DA625" w14:textId="77777777" w:rsidR="00D721DA" w:rsidRPr="00D721DA" w:rsidRDefault="00D721DA" w:rsidP="00D721DA">
      <w:pPr>
        <w:numPr>
          <w:ilvl w:val="0"/>
          <w:numId w:val="2"/>
        </w:numPr>
        <w:tabs>
          <w:tab w:val="num" w:pos="720"/>
          <w:tab w:val="left" w:pos="5400"/>
        </w:tabs>
        <w:rPr>
          <w:rFonts w:eastAsiaTheme="majorEastAsia" w:cstheme="majorBidi"/>
          <w:b/>
          <w:color w:val="000000" w:themeColor="text1"/>
          <w:szCs w:val="26"/>
        </w:rPr>
      </w:pPr>
      <w:r w:rsidRPr="00D721DA">
        <w:rPr>
          <w:rFonts w:eastAsiaTheme="majorEastAsia" w:cstheme="majorBidi"/>
          <w:b/>
          <w:color w:val="000000" w:themeColor="text1"/>
          <w:szCs w:val="26"/>
        </w:rPr>
        <w:t xml:space="preserve">Copies of any current or historical </w:t>
      </w:r>
      <w:r w:rsidRPr="00D721DA">
        <w:rPr>
          <w:rFonts w:eastAsiaTheme="majorEastAsia" w:cstheme="majorBidi"/>
          <w:b/>
          <w:bCs/>
          <w:color w:val="000000" w:themeColor="text1"/>
          <w:szCs w:val="26"/>
        </w:rPr>
        <w:t>guidance, standard operating procedures, or training materials</w:t>
      </w:r>
      <w:r w:rsidRPr="00D721DA">
        <w:rPr>
          <w:rFonts w:eastAsiaTheme="majorEastAsia" w:cstheme="majorBidi"/>
          <w:b/>
          <w:color w:val="000000" w:themeColor="text1"/>
          <w:szCs w:val="26"/>
        </w:rPr>
        <w:t xml:space="preserve"> instructing officers or staff on when and how to refer ORI to Disclosure Scotland.</w:t>
      </w:r>
    </w:p>
    <w:p w14:paraId="7A4BA6D7" w14:textId="77777777" w:rsidR="00D721DA" w:rsidRDefault="00D721DA" w:rsidP="00D721DA">
      <w:pPr>
        <w:numPr>
          <w:ilvl w:val="0"/>
          <w:numId w:val="2"/>
        </w:numPr>
        <w:tabs>
          <w:tab w:val="num" w:pos="720"/>
          <w:tab w:val="left" w:pos="5400"/>
        </w:tabs>
        <w:rPr>
          <w:rFonts w:eastAsiaTheme="majorEastAsia" w:cstheme="majorBidi"/>
          <w:b/>
          <w:color w:val="000000" w:themeColor="text1"/>
          <w:szCs w:val="26"/>
        </w:rPr>
      </w:pPr>
      <w:r w:rsidRPr="00D721DA">
        <w:rPr>
          <w:rFonts w:eastAsiaTheme="majorEastAsia" w:cstheme="majorBidi"/>
          <w:b/>
          <w:color w:val="000000" w:themeColor="text1"/>
          <w:szCs w:val="26"/>
        </w:rPr>
        <w:t xml:space="preserve">Any </w:t>
      </w:r>
      <w:r w:rsidRPr="00D721DA">
        <w:rPr>
          <w:rFonts w:eastAsiaTheme="majorEastAsia" w:cstheme="majorBidi"/>
          <w:b/>
          <w:bCs/>
          <w:color w:val="000000" w:themeColor="text1"/>
          <w:szCs w:val="26"/>
        </w:rPr>
        <w:t>criteria or thresholds</w:t>
      </w:r>
      <w:r w:rsidRPr="00D721DA">
        <w:rPr>
          <w:rFonts w:eastAsiaTheme="majorEastAsia" w:cstheme="majorBidi"/>
          <w:b/>
          <w:color w:val="000000" w:themeColor="text1"/>
          <w:szCs w:val="26"/>
        </w:rPr>
        <w:t xml:space="preserve"> applied by Police Scotland before referring information as ORI (for example, tests of reliability, corroboration, or risk assessment procedures).</w:t>
      </w:r>
    </w:p>
    <w:p w14:paraId="002C6EE8" w14:textId="6FABD90C" w:rsidR="00D721DA" w:rsidRDefault="00D721DA" w:rsidP="00D721DA">
      <w:pPr>
        <w:pStyle w:val="ListParagraph"/>
        <w:numPr>
          <w:ilvl w:val="0"/>
          <w:numId w:val="3"/>
        </w:numPr>
        <w:tabs>
          <w:tab w:val="left" w:pos="5400"/>
        </w:tabs>
        <w:rPr>
          <w:rFonts w:eastAsiaTheme="majorEastAsia" w:cstheme="majorBidi"/>
          <w:b/>
          <w:color w:val="000000" w:themeColor="text1"/>
          <w:szCs w:val="26"/>
        </w:rPr>
      </w:pPr>
      <w:r w:rsidRPr="00D721DA">
        <w:rPr>
          <w:rFonts w:eastAsiaTheme="majorEastAsia" w:cstheme="majorBidi"/>
          <w:b/>
          <w:color w:val="000000" w:themeColor="text1"/>
          <w:szCs w:val="26"/>
        </w:rPr>
        <w:t xml:space="preserve">Details of any </w:t>
      </w:r>
      <w:r w:rsidRPr="00D721DA">
        <w:rPr>
          <w:rFonts w:eastAsiaTheme="majorEastAsia" w:cstheme="majorBidi"/>
          <w:b/>
          <w:bCs/>
          <w:color w:val="000000" w:themeColor="text1"/>
          <w:szCs w:val="26"/>
        </w:rPr>
        <w:t>internal review, quality-assurance, or oversight process</w:t>
      </w:r>
      <w:r w:rsidRPr="00D721DA">
        <w:rPr>
          <w:rFonts w:eastAsiaTheme="majorEastAsia" w:cstheme="majorBidi"/>
          <w:b/>
          <w:color w:val="000000" w:themeColor="text1"/>
          <w:szCs w:val="26"/>
        </w:rPr>
        <w:t xml:space="preserve"> used to ensure that ORI referrals are fair, accurate, and proportionate.</w:t>
      </w:r>
    </w:p>
    <w:p w14:paraId="458F4594" w14:textId="77777777" w:rsidR="00EF77E7" w:rsidRDefault="00EF77E7" w:rsidP="00EF77E7">
      <w:pPr>
        <w:tabs>
          <w:tab w:val="left" w:pos="5400"/>
        </w:tabs>
        <w:rPr>
          <w:lang w:eastAsia="en-GB"/>
        </w:rPr>
      </w:pPr>
      <w:r>
        <w:rPr>
          <w:lang w:eastAsia="en-GB"/>
        </w:rPr>
        <w:t>The information sought is held by Police Scotland, but I am refusing to provide it in terms of section 16(1) of the Act on the basis that the section 25(1) exemption applies:</w:t>
      </w:r>
    </w:p>
    <w:p w14:paraId="4FFC92F4" w14:textId="77777777" w:rsidR="00EF77E7" w:rsidRDefault="00EF77E7" w:rsidP="00EF77E7">
      <w:pPr>
        <w:tabs>
          <w:tab w:val="left" w:pos="5400"/>
        </w:tabs>
        <w:rPr>
          <w:lang w:eastAsia="en-GB"/>
        </w:rPr>
      </w:pPr>
      <w:r>
        <w:rPr>
          <w:lang w:eastAsia="en-GB"/>
        </w:rPr>
        <w:t>“Information which the applicant can reasonably obtain other than by requesting it […] is exempt information”.</w:t>
      </w:r>
    </w:p>
    <w:p w14:paraId="065899B2" w14:textId="77777777" w:rsidR="00EF77E7" w:rsidRDefault="00EF77E7" w:rsidP="00EF77E7">
      <w:pPr>
        <w:tabs>
          <w:tab w:val="left" w:pos="5400"/>
        </w:tabs>
        <w:rPr>
          <w:lang w:eastAsia="en-GB"/>
        </w:rPr>
      </w:pPr>
      <w:r>
        <w:rPr>
          <w:lang w:eastAsia="en-GB"/>
        </w:rPr>
        <w:t>The information sought is publicly available:</w:t>
      </w:r>
    </w:p>
    <w:p w14:paraId="6932F6A7" w14:textId="07DB6259" w:rsidR="00325AD0" w:rsidRDefault="00325AD0" w:rsidP="00EF77E7">
      <w:pPr>
        <w:tabs>
          <w:tab w:val="left" w:pos="5400"/>
        </w:tabs>
        <w:rPr>
          <w:lang w:eastAsia="en-GB"/>
        </w:rPr>
      </w:pPr>
      <w:hyperlink r:id="rId11" w:history="1">
        <w:r w:rsidRPr="00325AD0">
          <w:rPr>
            <w:rStyle w:val="Hyperlink"/>
            <w:lang w:eastAsia="en-GB"/>
          </w:rPr>
          <w:t>Guidance for the Chief Constable of Police Scotland - Disclosure Scotland</w:t>
        </w:r>
      </w:hyperlink>
      <w:r w:rsidRPr="00325AD0">
        <w:rPr>
          <w:lang w:eastAsia="en-GB"/>
        </w:rPr>
        <w:br/>
      </w:r>
      <w:hyperlink r:id="rId12" w:tooltip="Disclosure, PVG &amp; Part V SOP" w:history="1">
        <w:r w:rsidRPr="00325AD0">
          <w:rPr>
            <w:rStyle w:val="Hyperlink"/>
            <w:lang w:eastAsia="en-GB"/>
          </w:rPr>
          <w:t>Disclosure, PVG &amp; Part V SOP</w:t>
        </w:r>
      </w:hyperlink>
    </w:p>
    <w:p w14:paraId="3B9ADD3D" w14:textId="77777777" w:rsidR="00325AD0" w:rsidRDefault="00325AD0" w:rsidP="00325AD0">
      <w:pPr>
        <w:spacing w:before="100" w:beforeAutospacing="1" w:after="100" w:afterAutospacing="1"/>
        <w:rPr>
          <w:lang w:eastAsia="en-GB"/>
        </w:rPr>
      </w:pPr>
    </w:p>
    <w:p w14:paraId="434C784C" w14:textId="02D0C7DC" w:rsidR="00D721DA" w:rsidRPr="00D721DA" w:rsidRDefault="00D721DA" w:rsidP="00D721DA">
      <w:pPr>
        <w:pStyle w:val="ListParagraph"/>
        <w:numPr>
          <w:ilvl w:val="0"/>
          <w:numId w:val="2"/>
        </w:numPr>
        <w:tabs>
          <w:tab w:val="left" w:pos="5400"/>
        </w:tabs>
        <w:rPr>
          <w:rFonts w:eastAsiaTheme="majorEastAsia" w:cstheme="majorBidi"/>
          <w:b/>
          <w:color w:val="000000" w:themeColor="text1"/>
          <w:szCs w:val="26"/>
        </w:rPr>
      </w:pPr>
      <w:r w:rsidRPr="00D721DA">
        <w:rPr>
          <w:rFonts w:eastAsiaTheme="majorEastAsia" w:cstheme="majorBidi"/>
          <w:b/>
          <w:color w:val="000000" w:themeColor="text1"/>
          <w:szCs w:val="26"/>
        </w:rPr>
        <w:t xml:space="preserve">The </w:t>
      </w:r>
      <w:r w:rsidRPr="00D721DA">
        <w:rPr>
          <w:rFonts w:eastAsiaTheme="majorEastAsia" w:cstheme="majorBidi"/>
          <w:b/>
          <w:bCs/>
          <w:color w:val="000000" w:themeColor="text1"/>
          <w:szCs w:val="26"/>
        </w:rPr>
        <w:t>policy governing retention, review, and dissemination</w:t>
      </w:r>
      <w:r w:rsidRPr="00D721DA">
        <w:rPr>
          <w:rFonts w:eastAsiaTheme="majorEastAsia" w:cstheme="majorBidi"/>
          <w:b/>
          <w:color w:val="000000" w:themeColor="text1"/>
          <w:szCs w:val="26"/>
        </w:rPr>
        <w:t xml:space="preserve"> of non-crime incident reports and intelligence logs which may later inform ORI referrals.</w:t>
      </w:r>
    </w:p>
    <w:p w14:paraId="6198AF39" w14:textId="5DAC2629" w:rsidR="00325AD0" w:rsidRDefault="00D721DA" w:rsidP="00D721DA">
      <w:pPr>
        <w:spacing w:before="100" w:beforeAutospacing="1" w:after="100" w:afterAutospacing="1"/>
        <w:rPr>
          <w:lang w:eastAsia="en-GB"/>
        </w:rPr>
      </w:pPr>
      <w:r>
        <w:rPr>
          <w:lang w:eastAsia="en-GB"/>
        </w:rPr>
        <w:lastRenderedPageBreak/>
        <w:t xml:space="preserve">We follow the records retention policy </w:t>
      </w:r>
      <w:r w:rsidR="00325AD0">
        <w:rPr>
          <w:lang w:eastAsia="en-GB"/>
        </w:rPr>
        <w:t>set out for Police Scotland:</w:t>
      </w:r>
    </w:p>
    <w:p w14:paraId="0EB30F68" w14:textId="3E8C119E" w:rsidR="00325AD0" w:rsidRDefault="00325AD0" w:rsidP="00D721DA">
      <w:pPr>
        <w:spacing w:before="100" w:beforeAutospacing="1" w:after="100" w:afterAutospacing="1"/>
        <w:rPr>
          <w:lang w:eastAsia="en-GB"/>
        </w:rPr>
      </w:pPr>
      <w:hyperlink r:id="rId13" w:history="1">
        <w:r>
          <w:rPr>
            <w:rStyle w:val="Hyperlink"/>
            <w:lang w:eastAsia="en-GB"/>
          </w:rPr>
          <w:t>Record Retention SOP</w:t>
        </w:r>
      </w:hyperlink>
      <w:r>
        <w:rPr>
          <w:lang w:eastAsia="en-GB"/>
        </w:rPr>
        <w:t xml:space="preserve"> </w:t>
      </w:r>
    </w:p>
    <w:p w14:paraId="4D986E9B" w14:textId="39871811" w:rsidR="00D721DA" w:rsidRDefault="00D721DA" w:rsidP="00D721DA">
      <w:pPr>
        <w:spacing w:before="100" w:beforeAutospacing="1" w:after="100" w:afterAutospacing="1"/>
        <w:rPr>
          <w:lang w:eastAsia="en-GB"/>
        </w:rPr>
      </w:pPr>
      <w:r>
        <w:rPr>
          <w:lang w:eastAsia="en-GB"/>
        </w:rPr>
        <w:t>If the information is still held by Police Scotland, it can be considered for release as Other Relevant Information (ORI).</w:t>
      </w:r>
    </w:p>
    <w:p w14:paraId="71EC647E" w14:textId="77777777" w:rsidR="00D721DA" w:rsidRPr="00D721DA" w:rsidRDefault="00D721DA" w:rsidP="00D721DA">
      <w:pPr>
        <w:tabs>
          <w:tab w:val="left" w:pos="5400"/>
        </w:tabs>
        <w:rPr>
          <w:rFonts w:eastAsiaTheme="majorEastAsia" w:cstheme="majorBidi"/>
          <w:b/>
          <w:color w:val="000000" w:themeColor="text1"/>
          <w:szCs w:val="26"/>
        </w:rPr>
      </w:pPr>
    </w:p>
    <w:p w14:paraId="20FAAA15" w14:textId="77777777" w:rsidR="00325AD0" w:rsidRDefault="00D721DA" w:rsidP="00F20363">
      <w:pPr>
        <w:pStyle w:val="ListParagraph"/>
        <w:numPr>
          <w:ilvl w:val="0"/>
          <w:numId w:val="3"/>
        </w:numPr>
        <w:tabs>
          <w:tab w:val="left" w:pos="5400"/>
        </w:tabs>
        <w:rPr>
          <w:rFonts w:eastAsiaTheme="majorEastAsia" w:cstheme="majorBidi"/>
          <w:b/>
          <w:color w:val="000000" w:themeColor="text1"/>
          <w:szCs w:val="26"/>
        </w:rPr>
      </w:pPr>
      <w:r w:rsidRPr="00D721DA">
        <w:rPr>
          <w:rFonts w:eastAsiaTheme="majorEastAsia" w:cstheme="majorBidi"/>
          <w:b/>
          <w:color w:val="000000" w:themeColor="text1"/>
          <w:szCs w:val="26"/>
        </w:rPr>
        <w:t xml:space="preserve">The </w:t>
      </w:r>
      <w:r w:rsidRPr="00D721DA">
        <w:rPr>
          <w:rFonts w:eastAsiaTheme="majorEastAsia" w:cstheme="majorBidi"/>
          <w:b/>
          <w:bCs/>
          <w:color w:val="000000" w:themeColor="text1"/>
          <w:szCs w:val="26"/>
        </w:rPr>
        <w:t>number of ORI referrals made annually</w:t>
      </w:r>
      <w:r w:rsidRPr="00D721DA">
        <w:rPr>
          <w:rFonts w:eastAsiaTheme="majorEastAsia" w:cstheme="majorBidi"/>
          <w:b/>
          <w:color w:val="000000" w:themeColor="text1"/>
          <w:szCs w:val="26"/>
        </w:rPr>
        <w:t xml:space="preserve"> to Disclosure Scotland during the past five financial years, including a breakdown (if available) of how many originated from:</w:t>
      </w:r>
    </w:p>
    <w:p w14:paraId="2FFEFAFA" w14:textId="1610E3AA" w:rsidR="00D721DA" w:rsidRPr="00325AD0" w:rsidRDefault="00D721DA" w:rsidP="00325AD0">
      <w:pPr>
        <w:tabs>
          <w:tab w:val="left" w:pos="5400"/>
        </w:tabs>
        <w:rPr>
          <w:rFonts w:eastAsiaTheme="majorEastAsia" w:cstheme="majorBidi"/>
          <w:b/>
          <w:color w:val="000000" w:themeColor="text1"/>
          <w:szCs w:val="26"/>
        </w:rPr>
      </w:pPr>
      <w:r>
        <w:rPr>
          <w:lang w:eastAsia="en-GB"/>
        </w:rPr>
        <w:t>In relation to Other Relevant Information (ORI) issued for applications the number is provided below:</w:t>
      </w:r>
    </w:p>
    <w:tbl>
      <w:tblPr>
        <w:tblW w:w="0" w:type="auto"/>
        <w:tblInd w:w="-6" w:type="dxa"/>
        <w:tblCellMar>
          <w:left w:w="0" w:type="dxa"/>
          <w:right w:w="0" w:type="dxa"/>
        </w:tblCellMar>
        <w:tblLook w:val="04A0" w:firstRow="1" w:lastRow="0" w:firstColumn="1" w:lastColumn="0" w:noHBand="0" w:noVBand="1"/>
      </w:tblPr>
      <w:tblGrid>
        <w:gridCol w:w="1272"/>
        <w:gridCol w:w="1134"/>
      </w:tblGrid>
      <w:tr w:rsidR="00D721DA" w14:paraId="57174574" w14:textId="77777777" w:rsidTr="00D721DA">
        <w:tc>
          <w:tcPr>
            <w:tcW w:w="127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40142BC" w14:textId="77777777" w:rsidR="00D721DA" w:rsidRPr="00D721DA" w:rsidRDefault="00D721DA" w:rsidP="00D721DA">
            <w:pPr>
              <w:spacing w:before="100" w:beforeAutospacing="1" w:after="100" w:afterAutospacing="1"/>
              <w:jc w:val="both"/>
              <w:rPr>
                <w:b/>
                <w:bCs/>
                <w:color w:val="000000" w:themeColor="text1"/>
                <w:lang w:eastAsia="en-GB"/>
              </w:rPr>
            </w:pPr>
            <w:r w:rsidRPr="00D721DA">
              <w:rPr>
                <w:b/>
                <w:bCs/>
                <w:color w:val="000000" w:themeColor="text1"/>
                <w:lang w:eastAsia="en-GB"/>
              </w:rPr>
              <w:t>Year</w:t>
            </w:r>
          </w:p>
        </w:tc>
        <w:tc>
          <w:tcPr>
            <w:tcW w:w="1134"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F6A2B97" w14:textId="77777777" w:rsidR="00D721DA" w:rsidRPr="00D721DA" w:rsidRDefault="00D721DA" w:rsidP="00D721DA">
            <w:pPr>
              <w:spacing w:before="100" w:beforeAutospacing="1" w:after="100" w:afterAutospacing="1"/>
              <w:jc w:val="both"/>
              <w:rPr>
                <w:b/>
                <w:bCs/>
                <w:color w:val="000000" w:themeColor="text1"/>
                <w:lang w:eastAsia="en-GB"/>
              </w:rPr>
            </w:pPr>
            <w:r w:rsidRPr="00D721DA">
              <w:rPr>
                <w:b/>
                <w:bCs/>
                <w:color w:val="000000" w:themeColor="text1"/>
                <w:lang w:eastAsia="en-GB"/>
              </w:rPr>
              <w:t>Number</w:t>
            </w:r>
          </w:p>
        </w:tc>
      </w:tr>
      <w:tr w:rsidR="00D721DA" w14:paraId="0FC72C63" w14:textId="77777777" w:rsidTr="00D721DA">
        <w:tc>
          <w:tcPr>
            <w:tcW w:w="1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D047E3" w14:textId="77777777" w:rsidR="00D721DA" w:rsidRDefault="00D721DA">
            <w:pPr>
              <w:spacing w:before="100" w:beforeAutospacing="1" w:after="100" w:afterAutospacing="1"/>
              <w:rPr>
                <w:lang w:eastAsia="en-GB"/>
              </w:rPr>
            </w:pPr>
            <w:r>
              <w:rPr>
                <w:lang w:eastAsia="en-GB"/>
              </w:rPr>
              <w:t>2020/21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7B6293A5" w14:textId="77777777" w:rsidR="00D721DA" w:rsidRDefault="00D721DA" w:rsidP="00D721DA">
            <w:pPr>
              <w:spacing w:before="100" w:beforeAutospacing="1" w:after="100" w:afterAutospacing="1"/>
              <w:jc w:val="right"/>
              <w:rPr>
                <w:lang w:eastAsia="en-GB"/>
              </w:rPr>
            </w:pPr>
            <w:r>
              <w:rPr>
                <w:lang w:eastAsia="en-GB"/>
              </w:rPr>
              <w:t>85</w:t>
            </w:r>
          </w:p>
        </w:tc>
      </w:tr>
      <w:tr w:rsidR="00D721DA" w14:paraId="217231A1" w14:textId="77777777" w:rsidTr="00D721DA">
        <w:tc>
          <w:tcPr>
            <w:tcW w:w="1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FE86CA" w14:textId="77777777" w:rsidR="00D721DA" w:rsidRDefault="00D721DA">
            <w:pPr>
              <w:spacing w:before="100" w:beforeAutospacing="1" w:after="100" w:afterAutospacing="1"/>
              <w:rPr>
                <w:lang w:eastAsia="en-GB"/>
              </w:rPr>
            </w:pPr>
            <w:r>
              <w:rPr>
                <w:lang w:eastAsia="en-GB"/>
              </w:rPr>
              <w:t>2021/22</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4D85CF65" w14:textId="77777777" w:rsidR="00D721DA" w:rsidRDefault="00D721DA" w:rsidP="00D721DA">
            <w:pPr>
              <w:spacing w:before="100" w:beforeAutospacing="1" w:after="100" w:afterAutospacing="1"/>
              <w:jc w:val="right"/>
              <w:rPr>
                <w:lang w:eastAsia="en-GB"/>
              </w:rPr>
            </w:pPr>
            <w:r>
              <w:rPr>
                <w:lang w:eastAsia="en-GB"/>
              </w:rPr>
              <w:t>173</w:t>
            </w:r>
          </w:p>
        </w:tc>
      </w:tr>
      <w:tr w:rsidR="00D721DA" w14:paraId="1BFB2EF0" w14:textId="77777777" w:rsidTr="00D721DA">
        <w:tc>
          <w:tcPr>
            <w:tcW w:w="1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E6C275" w14:textId="77777777" w:rsidR="00D721DA" w:rsidRDefault="00D721DA">
            <w:pPr>
              <w:spacing w:before="100" w:beforeAutospacing="1" w:after="100" w:afterAutospacing="1"/>
              <w:rPr>
                <w:lang w:eastAsia="en-GB"/>
              </w:rPr>
            </w:pPr>
            <w:r>
              <w:rPr>
                <w:lang w:eastAsia="en-GB"/>
              </w:rPr>
              <w:t>2022/23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13BEDB99" w14:textId="77777777" w:rsidR="00D721DA" w:rsidRDefault="00D721DA" w:rsidP="00D721DA">
            <w:pPr>
              <w:spacing w:before="100" w:beforeAutospacing="1" w:after="100" w:afterAutospacing="1"/>
              <w:jc w:val="right"/>
              <w:rPr>
                <w:lang w:eastAsia="en-GB"/>
              </w:rPr>
            </w:pPr>
            <w:r>
              <w:rPr>
                <w:lang w:eastAsia="en-GB"/>
              </w:rPr>
              <w:t>158</w:t>
            </w:r>
          </w:p>
        </w:tc>
      </w:tr>
      <w:tr w:rsidR="00D721DA" w14:paraId="3E8530DA" w14:textId="77777777" w:rsidTr="00D721DA">
        <w:tc>
          <w:tcPr>
            <w:tcW w:w="1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446310" w14:textId="77777777" w:rsidR="00D721DA" w:rsidRDefault="00D721DA">
            <w:pPr>
              <w:spacing w:before="100" w:beforeAutospacing="1" w:after="100" w:afterAutospacing="1"/>
              <w:rPr>
                <w:lang w:eastAsia="en-GB"/>
              </w:rPr>
            </w:pPr>
            <w:r>
              <w:rPr>
                <w:lang w:eastAsia="en-GB"/>
              </w:rPr>
              <w:t>2023/24</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7099274A" w14:textId="77777777" w:rsidR="00D721DA" w:rsidRDefault="00D721DA" w:rsidP="00D721DA">
            <w:pPr>
              <w:spacing w:before="100" w:beforeAutospacing="1" w:after="100" w:afterAutospacing="1"/>
              <w:jc w:val="right"/>
              <w:rPr>
                <w:lang w:eastAsia="en-GB"/>
              </w:rPr>
            </w:pPr>
            <w:r>
              <w:rPr>
                <w:lang w:eastAsia="en-GB"/>
              </w:rPr>
              <w:t>130</w:t>
            </w:r>
          </w:p>
        </w:tc>
      </w:tr>
      <w:tr w:rsidR="00D721DA" w14:paraId="22411149" w14:textId="77777777" w:rsidTr="00D721DA">
        <w:tc>
          <w:tcPr>
            <w:tcW w:w="1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AFF57D" w14:textId="77777777" w:rsidR="00D721DA" w:rsidRDefault="00D721DA">
            <w:pPr>
              <w:spacing w:before="100" w:beforeAutospacing="1" w:after="100" w:afterAutospacing="1"/>
              <w:rPr>
                <w:lang w:eastAsia="en-GB"/>
              </w:rPr>
            </w:pPr>
            <w:r>
              <w:rPr>
                <w:lang w:eastAsia="en-GB"/>
              </w:rPr>
              <w:t>2024/25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77696B2A" w14:textId="77777777" w:rsidR="00D721DA" w:rsidRDefault="00D721DA" w:rsidP="00D721DA">
            <w:pPr>
              <w:spacing w:before="100" w:beforeAutospacing="1" w:after="100" w:afterAutospacing="1"/>
              <w:jc w:val="right"/>
              <w:rPr>
                <w:lang w:eastAsia="en-GB"/>
              </w:rPr>
            </w:pPr>
            <w:r>
              <w:rPr>
                <w:lang w:eastAsia="en-GB"/>
              </w:rPr>
              <w:t>92</w:t>
            </w:r>
          </w:p>
        </w:tc>
      </w:tr>
    </w:tbl>
    <w:p w14:paraId="3E1F9978" w14:textId="77777777" w:rsidR="00D721DA" w:rsidRPr="00D721DA" w:rsidRDefault="00D721DA" w:rsidP="00D721DA">
      <w:pPr>
        <w:tabs>
          <w:tab w:val="left" w:pos="5400"/>
        </w:tabs>
        <w:rPr>
          <w:rFonts w:eastAsiaTheme="majorEastAsia" w:cstheme="majorBidi"/>
          <w:bCs/>
          <w:color w:val="000000" w:themeColor="text1"/>
          <w:szCs w:val="26"/>
        </w:rPr>
      </w:pPr>
      <w:r w:rsidRPr="00D721DA">
        <w:rPr>
          <w:rFonts w:eastAsiaTheme="majorEastAsia" w:cstheme="majorBidi"/>
          <w:bCs/>
          <w:color w:val="000000" w:themeColor="text1"/>
          <w:szCs w:val="26"/>
        </w:rPr>
        <w:t>Please note that these figures include PVG applications as well as enhanced applications under Part V of the Police Act 1997.</w:t>
      </w:r>
    </w:p>
    <w:p w14:paraId="6477C4D9" w14:textId="77777777" w:rsidR="00D721DA" w:rsidRDefault="00D721DA" w:rsidP="00D721DA">
      <w:pPr>
        <w:tabs>
          <w:tab w:val="left" w:pos="5400"/>
        </w:tabs>
        <w:rPr>
          <w:rFonts w:eastAsiaTheme="majorEastAsia" w:cstheme="majorBidi"/>
          <w:bCs/>
          <w:color w:val="000000" w:themeColor="text1"/>
          <w:szCs w:val="26"/>
        </w:rPr>
      </w:pPr>
      <w:r w:rsidRPr="00D721DA">
        <w:rPr>
          <w:rFonts w:eastAsiaTheme="majorEastAsia" w:cstheme="majorBidi"/>
          <w:bCs/>
          <w:color w:val="000000" w:themeColor="text1"/>
          <w:szCs w:val="26"/>
        </w:rPr>
        <w:t xml:space="preserve">In relation to ORI issued for ongoing monitoring or amendments to ORI due to ongoing review.  This information is not currently held within a format which allows for statistics to be produced automatically.  </w:t>
      </w:r>
    </w:p>
    <w:p w14:paraId="34BF3E21" w14:textId="77777777" w:rsidR="00EF77E7" w:rsidRDefault="00D721DA" w:rsidP="00EF77E7">
      <w:r w:rsidRPr="00D721DA">
        <w:rPr>
          <w:rFonts w:eastAsiaTheme="majorEastAsia" w:cstheme="majorBidi"/>
          <w:bCs/>
          <w:color w:val="000000" w:themeColor="text1"/>
          <w:szCs w:val="26"/>
        </w:rPr>
        <w:t xml:space="preserve">A manual review of each ongoing monitoring trigger would be required </w:t>
      </w:r>
      <w:proofErr w:type="gramStart"/>
      <w:r w:rsidRPr="00D721DA">
        <w:rPr>
          <w:rFonts w:eastAsiaTheme="majorEastAsia" w:cstheme="majorBidi"/>
          <w:bCs/>
          <w:color w:val="000000" w:themeColor="text1"/>
          <w:szCs w:val="26"/>
        </w:rPr>
        <w:t>in order to</w:t>
      </w:r>
      <w:proofErr w:type="gramEnd"/>
      <w:r w:rsidRPr="00D721DA">
        <w:rPr>
          <w:rFonts w:eastAsiaTheme="majorEastAsia" w:cstheme="majorBidi"/>
          <w:bCs/>
          <w:color w:val="000000" w:themeColor="text1"/>
          <w:szCs w:val="26"/>
        </w:rPr>
        <w:t xml:space="preserve"> retrieve this information.  </w:t>
      </w:r>
      <w:r w:rsidR="00EF77E7">
        <w:t>Unfortunately,</w:t>
      </w:r>
      <w:r w:rsidR="00EF77E7" w:rsidRPr="00453F0A">
        <w:t xml:space="preserve"> I estimate that it would cost well </w:t>
      </w:r>
      <w:proofErr w:type="gramStart"/>
      <w:r w:rsidR="00EF77E7" w:rsidRPr="00453F0A">
        <w:t>in excess</w:t>
      </w:r>
      <w:r w:rsidR="00EF77E7">
        <w:t xml:space="preserve"> of</w:t>
      </w:r>
      <w:proofErr w:type="gramEnd"/>
      <w:r w:rsidR="00EF77E7" w:rsidRPr="00453F0A">
        <w:t xml:space="preserve"> </w:t>
      </w:r>
      <w:r w:rsidR="00EF77E7">
        <w:t>t</w:t>
      </w:r>
      <w:r w:rsidR="00EF77E7" w:rsidRPr="00453F0A">
        <w:t xml:space="preserve">he </w:t>
      </w:r>
      <w:r w:rsidR="00EF77E7" w:rsidRPr="00982D19">
        <w:t>current FOI cost threshold</w:t>
      </w:r>
      <w:r w:rsidR="00EF77E7">
        <w:t xml:space="preserve"> of </w:t>
      </w:r>
      <w:r w:rsidR="00EF77E7" w:rsidRPr="00453F0A">
        <w:t>£600</w:t>
      </w:r>
      <w:r w:rsidR="00EF77E7">
        <w:t xml:space="preserve"> to process your request.  I am therefore refusing to provide the information sought in terms of s</w:t>
      </w:r>
      <w:r w:rsidR="00EF77E7" w:rsidRPr="00453F0A">
        <w:t xml:space="preserve">ection 12(1) </w:t>
      </w:r>
      <w:r w:rsidR="00EF77E7">
        <w:t xml:space="preserve">of the Act - </w:t>
      </w:r>
      <w:r w:rsidR="00EF77E7" w:rsidRPr="00453F0A">
        <w:t>Excessive Cost of Compliance.</w:t>
      </w:r>
    </w:p>
    <w:p w14:paraId="5589D1B8" w14:textId="27BF4398" w:rsidR="00D721DA" w:rsidRDefault="00D721DA" w:rsidP="00D721DA">
      <w:pPr>
        <w:tabs>
          <w:tab w:val="left" w:pos="5400"/>
        </w:tabs>
        <w:rPr>
          <w:rFonts w:eastAsiaTheme="majorEastAsia" w:cstheme="majorBidi"/>
          <w:b/>
          <w:color w:val="000000" w:themeColor="text1"/>
          <w:szCs w:val="26"/>
        </w:rPr>
      </w:pPr>
      <w:r w:rsidRPr="00D721DA">
        <w:rPr>
          <w:rFonts w:eastAsiaTheme="majorEastAsia" w:cstheme="majorBidi"/>
          <w:bCs/>
          <w:color w:val="000000" w:themeColor="text1"/>
          <w:szCs w:val="26"/>
        </w:rPr>
        <w:t xml:space="preserve">As an example, for 2024/25 alone, this would mean a review of over 163,000 triggers to confirm if a disclosure had been made.  </w:t>
      </w:r>
      <w:r w:rsidRPr="00D721DA">
        <w:rPr>
          <w:rFonts w:eastAsiaTheme="majorEastAsia" w:cstheme="majorBidi"/>
          <w:b/>
          <w:color w:val="000000" w:themeColor="text1"/>
          <w:szCs w:val="26"/>
        </w:rPr>
        <w:br/>
      </w:r>
    </w:p>
    <w:p w14:paraId="16C1B665" w14:textId="6D25931E" w:rsidR="00D721DA" w:rsidRDefault="00D721DA" w:rsidP="00D721DA">
      <w:pPr>
        <w:tabs>
          <w:tab w:val="left" w:pos="5400"/>
        </w:tabs>
        <w:rPr>
          <w:rFonts w:eastAsiaTheme="majorEastAsia" w:cstheme="majorBidi"/>
          <w:b/>
          <w:color w:val="000000" w:themeColor="text1"/>
          <w:szCs w:val="26"/>
        </w:rPr>
      </w:pPr>
      <w:r w:rsidRPr="00D721DA">
        <w:rPr>
          <w:rFonts w:eastAsiaTheme="majorEastAsia" w:cstheme="majorBidi"/>
          <w:b/>
          <w:color w:val="000000" w:themeColor="text1"/>
          <w:szCs w:val="26"/>
        </w:rPr>
        <w:lastRenderedPageBreak/>
        <w:t>a) cases marked “No Further Action,” and</w:t>
      </w:r>
      <w:r w:rsidRPr="00D721DA">
        <w:rPr>
          <w:rFonts w:eastAsiaTheme="majorEastAsia" w:cstheme="majorBidi"/>
          <w:b/>
          <w:color w:val="000000" w:themeColor="text1"/>
          <w:szCs w:val="26"/>
        </w:rPr>
        <w:br/>
        <w:t>b) cases resulting in an acquittal.</w:t>
      </w:r>
    </w:p>
    <w:p w14:paraId="0C3C7B1F" w14:textId="0562D6DB" w:rsidR="00D721DA" w:rsidRPr="00D721DA" w:rsidRDefault="00D721DA" w:rsidP="00D721DA">
      <w:pPr>
        <w:tabs>
          <w:tab w:val="left" w:pos="5400"/>
        </w:tabs>
        <w:rPr>
          <w:rFonts w:eastAsiaTheme="majorEastAsia" w:cstheme="majorBidi"/>
          <w:bCs/>
          <w:color w:val="000000" w:themeColor="text1"/>
          <w:szCs w:val="26"/>
        </w:rPr>
      </w:pPr>
      <w:r w:rsidRPr="00D721DA">
        <w:rPr>
          <w:rFonts w:eastAsiaTheme="majorEastAsia" w:cstheme="majorBidi"/>
          <w:bCs/>
          <w:color w:val="000000" w:themeColor="text1"/>
          <w:szCs w:val="26"/>
        </w:rPr>
        <w:t>In relation to applications, we do not hold this information in a format which allows for statistics to be produced automatically and so each file would have to be reviewed individually.  There are 638 files over the course of the period requested and to check each one would be a time-consuming task that would take a large amount of time to complete and engage s12(1) of the Act.</w:t>
      </w:r>
    </w:p>
    <w:p w14:paraId="074C1527" w14:textId="77777777" w:rsidR="00D721DA" w:rsidRPr="00D721DA" w:rsidRDefault="00D721DA" w:rsidP="00D721DA">
      <w:pPr>
        <w:tabs>
          <w:tab w:val="left" w:pos="5400"/>
        </w:tabs>
        <w:rPr>
          <w:rFonts w:eastAsiaTheme="majorEastAsia" w:cstheme="majorBidi"/>
          <w:bCs/>
          <w:color w:val="000000" w:themeColor="text1"/>
          <w:szCs w:val="26"/>
        </w:rPr>
      </w:pPr>
      <w:r w:rsidRPr="00D721DA">
        <w:rPr>
          <w:rFonts w:eastAsiaTheme="majorEastAsia" w:cstheme="majorBidi"/>
          <w:bCs/>
          <w:color w:val="000000" w:themeColor="text1"/>
          <w:szCs w:val="26"/>
        </w:rPr>
        <w:t>In relation to ongoing monitoring, the above s12 still applies.</w:t>
      </w:r>
    </w:p>
    <w:p w14:paraId="15CD9EA5" w14:textId="77777777" w:rsidR="00D721DA" w:rsidRPr="00D721DA" w:rsidRDefault="00D721DA" w:rsidP="00D721DA">
      <w:pPr>
        <w:tabs>
          <w:tab w:val="left" w:pos="5400"/>
        </w:tabs>
        <w:rPr>
          <w:rFonts w:eastAsiaTheme="majorEastAsia" w:cstheme="majorBidi"/>
          <w:b/>
          <w:color w:val="000000" w:themeColor="text1"/>
          <w:szCs w:val="26"/>
        </w:rPr>
      </w:pPr>
    </w:p>
    <w:p w14:paraId="6DF7FD39" w14:textId="77777777" w:rsidR="00D721DA" w:rsidRPr="00D721DA" w:rsidRDefault="00D721DA" w:rsidP="00D721DA">
      <w:pPr>
        <w:numPr>
          <w:ilvl w:val="0"/>
          <w:numId w:val="3"/>
        </w:numPr>
        <w:tabs>
          <w:tab w:val="num" w:pos="720"/>
          <w:tab w:val="left" w:pos="5400"/>
        </w:tabs>
        <w:rPr>
          <w:rFonts w:eastAsiaTheme="majorEastAsia" w:cstheme="majorBidi"/>
          <w:b/>
          <w:color w:val="000000" w:themeColor="text1"/>
          <w:szCs w:val="26"/>
        </w:rPr>
      </w:pPr>
      <w:r w:rsidRPr="00D721DA">
        <w:rPr>
          <w:rFonts w:eastAsiaTheme="majorEastAsia" w:cstheme="majorBidi"/>
          <w:b/>
          <w:color w:val="000000" w:themeColor="text1"/>
          <w:szCs w:val="26"/>
        </w:rPr>
        <w:t xml:space="preserve">Copies of any </w:t>
      </w:r>
      <w:r w:rsidRPr="00D721DA">
        <w:rPr>
          <w:rFonts w:eastAsiaTheme="majorEastAsia" w:cstheme="majorBidi"/>
          <w:b/>
          <w:bCs/>
          <w:color w:val="000000" w:themeColor="text1"/>
          <w:szCs w:val="26"/>
        </w:rPr>
        <w:t>equality, human-rights, or data-protection impact assessments</w:t>
      </w:r>
      <w:r w:rsidRPr="00D721DA">
        <w:rPr>
          <w:rFonts w:eastAsiaTheme="majorEastAsia" w:cstheme="majorBidi"/>
          <w:b/>
          <w:color w:val="000000" w:themeColor="text1"/>
          <w:szCs w:val="26"/>
        </w:rPr>
        <w:t xml:space="preserve"> (EIA, HRIA, DPIA) conducted by Police Scotland that address ORI or disclosure of untested allegations to Disclosure Scotland.</w:t>
      </w:r>
    </w:p>
    <w:p w14:paraId="76220544" w14:textId="77777777" w:rsidR="00F20363" w:rsidRDefault="00F20363" w:rsidP="00F20363">
      <w:pPr>
        <w:tabs>
          <w:tab w:val="left" w:pos="5400"/>
        </w:tabs>
        <w:rPr>
          <w:rFonts w:eastAsiaTheme="majorEastAsia" w:cstheme="majorBidi"/>
          <w:bCs/>
          <w:color w:val="000000" w:themeColor="text1"/>
          <w:szCs w:val="26"/>
        </w:rPr>
      </w:pPr>
      <w:r w:rsidRPr="00F20363">
        <w:rPr>
          <w:rFonts w:eastAsiaTheme="majorEastAsia" w:cstheme="majorBidi"/>
          <w:bCs/>
          <w:color w:val="000000" w:themeColor="text1"/>
          <w:szCs w:val="26"/>
        </w:rPr>
        <w:t>The information sought is not held by Police Scotland and section 17 of the Act therefore applies.</w:t>
      </w:r>
    </w:p>
    <w:p w14:paraId="0EB2B83F" w14:textId="77777777" w:rsidR="00F20363" w:rsidRPr="00F20363" w:rsidRDefault="00F20363" w:rsidP="00F20363">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By way of explanation, </w:t>
      </w:r>
      <w:r w:rsidRPr="00F20363">
        <w:rPr>
          <w:rFonts w:eastAsiaTheme="majorEastAsia" w:cstheme="majorBidi"/>
          <w:bCs/>
          <w:color w:val="000000" w:themeColor="text1"/>
          <w:szCs w:val="26"/>
        </w:rPr>
        <w:t>no such EIA, HRIA or DPIA are held on the specific topic requested.</w:t>
      </w:r>
    </w:p>
    <w:p w14:paraId="34BDABBD" w14:textId="77777777" w:rsidR="00BF6B81" w:rsidRPr="00B11A55" w:rsidRDefault="00BF6B81"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4" w:history="1">
        <w:r>
          <w:rPr>
            <w:rStyle w:val="Hyperlink"/>
          </w:rPr>
          <w:t>email</w:t>
        </w:r>
      </w:hyperlink>
      <w:r w:rsidRPr="007C470A">
        <w:t xml:space="preserve"> or by letter (Information Management - FOI, Police Scotland, Clyde Gateway, 2 French Street, </w:t>
      </w:r>
      <w:proofErr w:type="spellStart"/>
      <w:r w:rsidRPr="007C470A">
        <w:t>Dalmarnock</w:t>
      </w:r>
      <w:proofErr w:type="spellEnd"/>
      <w:r w:rsidRPr="007C470A">
        <w:t>,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5" w:history="1">
        <w:r w:rsidRPr="007C470A">
          <w:rPr>
            <w:rStyle w:val="Hyperlink"/>
          </w:rPr>
          <w:t>online</w:t>
        </w:r>
      </w:hyperlink>
      <w:r w:rsidRPr="007C470A">
        <w:t>,</w:t>
      </w:r>
      <w:r>
        <w:t xml:space="preserve"> by</w:t>
      </w:r>
      <w:r w:rsidRPr="007C470A">
        <w:t xml:space="preserve"> </w:t>
      </w:r>
      <w:hyperlink r:id="rId16" w:history="1">
        <w:r>
          <w:rPr>
            <w:rStyle w:val="Hyperlink"/>
          </w:rPr>
          <w:t>email</w:t>
        </w:r>
      </w:hyperlink>
      <w:r w:rsidRPr="007C470A">
        <w:t xml:space="preserve"> or by letter (OSIC, Kinburn Castle, </w:t>
      </w:r>
      <w:proofErr w:type="spellStart"/>
      <w:r w:rsidRPr="007C470A">
        <w:t>Doubledykes</w:t>
      </w:r>
      <w:proofErr w:type="spellEnd"/>
      <w:r w:rsidRPr="007C470A">
        <w:t xml:space="preserve">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7"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6BE5B6E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w:t>
    </w:r>
    <w:proofErr w:type="spellStart"/>
    <w:r>
      <w:rPr>
        <w:sz w:val="16"/>
        <w:szCs w:val="16"/>
      </w:rPr>
      <w:t>PoliceScotland</w:t>
    </w:r>
    <w:proofErr w:type="spellEnd"/>
  </w:p>
  <w:p w14:paraId="34BDABD1" w14:textId="6598E2C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731BF75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02453D9D"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34033EC6"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09246BB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C7ED5"/>
    <w:multiLevelType w:val="hybridMultilevel"/>
    <w:tmpl w:val="6592E91A"/>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0703D53"/>
    <w:multiLevelType w:val="multilevel"/>
    <w:tmpl w:val="A264583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2"/>
  </w:num>
  <w:num w:numId="2" w16cid:durableId="19881973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8556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41533"/>
    <w:rsid w:val="00167528"/>
    <w:rsid w:val="00184727"/>
    <w:rsid w:val="00195CC4"/>
    <w:rsid w:val="001F2261"/>
    <w:rsid w:val="00207326"/>
    <w:rsid w:val="00253DF6"/>
    <w:rsid w:val="00255F1E"/>
    <w:rsid w:val="00260FBC"/>
    <w:rsid w:val="00325AD0"/>
    <w:rsid w:val="0036503B"/>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583486"/>
    <w:rsid w:val="006029D9"/>
    <w:rsid w:val="0060390B"/>
    <w:rsid w:val="00640E26"/>
    <w:rsid w:val="00645CFA"/>
    <w:rsid w:val="00685219"/>
    <w:rsid w:val="006D5799"/>
    <w:rsid w:val="00732066"/>
    <w:rsid w:val="007440EA"/>
    <w:rsid w:val="00750D83"/>
    <w:rsid w:val="00785DBC"/>
    <w:rsid w:val="00793DD5"/>
    <w:rsid w:val="007D55F6"/>
    <w:rsid w:val="007F490F"/>
    <w:rsid w:val="0086779C"/>
    <w:rsid w:val="00874BFD"/>
    <w:rsid w:val="008964EF"/>
    <w:rsid w:val="00915E01"/>
    <w:rsid w:val="0093207F"/>
    <w:rsid w:val="009631A4"/>
    <w:rsid w:val="00977296"/>
    <w:rsid w:val="00993797"/>
    <w:rsid w:val="009B2208"/>
    <w:rsid w:val="009D2AA5"/>
    <w:rsid w:val="00A25E93"/>
    <w:rsid w:val="00A320FF"/>
    <w:rsid w:val="00A70AC0"/>
    <w:rsid w:val="00A84EA9"/>
    <w:rsid w:val="00AC443C"/>
    <w:rsid w:val="00B033D6"/>
    <w:rsid w:val="00B11A55"/>
    <w:rsid w:val="00B17211"/>
    <w:rsid w:val="00B461B2"/>
    <w:rsid w:val="00B654B6"/>
    <w:rsid w:val="00B71B3C"/>
    <w:rsid w:val="00BC389E"/>
    <w:rsid w:val="00BD0588"/>
    <w:rsid w:val="00BE1888"/>
    <w:rsid w:val="00BF6B81"/>
    <w:rsid w:val="00C077A8"/>
    <w:rsid w:val="00C14FF4"/>
    <w:rsid w:val="00C1679F"/>
    <w:rsid w:val="00C606A2"/>
    <w:rsid w:val="00C63872"/>
    <w:rsid w:val="00C84948"/>
    <w:rsid w:val="00C94ED8"/>
    <w:rsid w:val="00CE09FA"/>
    <w:rsid w:val="00CF1111"/>
    <w:rsid w:val="00D05706"/>
    <w:rsid w:val="00D27DC5"/>
    <w:rsid w:val="00D47E36"/>
    <w:rsid w:val="00D721DA"/>
    <w:rsid w:val="00E55D79"/>
    <w:rsid w:val="00EC3833"/>
    <w:rsid w:val="00EE2373"/>
    <w:rsid w:val="00EF0FBB"/>
    <w:rsid w:val="00EF4761"/>
    <w:rsid w:val="00EF77E7"/>
    <w:rsid w:val="00F20363"/>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325A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5515">
      <w:bodyDiv w:val="1"/>
      <w:marLeft w:val="0"/>
      <w:marRight w:val="0"/>
      <w:marTop w:val="0"/>
      <w:marBottom w:val="0"/>
      <w:divBdr>
        <w:top w:val="none" w:sz="0" w:space="0" w:color="auto"/>
        <w:left w:val="none" w:sz="0" w:space="0" w:color="auto"/>
        <w:bottom w:val="none" w:sz="0" w:space="0" w:color="auto"/>
        <w:right w:val="none" w:sz="0" w:space="0" w:color="auto"/>
      </w:divBdr>
    </w:div>
    <w:div w:id="78412278">
      <w:bodyDiv w:val="1"/>
      <w:marLeft w:val="0"/>
      <w:marRight w:val="0"/>
      <w:marTop w:val="0"/>
      <w:marBottom w:val="0"/>
      <w:divBdr>
        <w:top w:val="none" w:sz="0" w:space="0" w:color="auto"/>
        <w:left w:val="none" w:sz="0" w:space="0" w:color="auto"/>
        <w:bottom w:val="none" w:sz="0" w:space="0" w:color="auto"/>
        <w:right w:val="none" w:sz="0" w:space="0" w:color="auto"/>
      </w:divBdr>
    </w:div>
    <w:div w:id="305090303">
      <w:bodyDiv w:val="1"/>
      <w:marLeft w:val="0"/>
      <w:marRight w:val="0"/>
      <w:marTop w:val="0"/>
      <w:marBottom w:val="0"/>
      <w:divBdr>
        <w:top w:val="none" w:sz="0" w:space="0" w:color="auto"/>
        <w:left w:val="none" w:sz="0" w:space="0" w:color="auto"/>
        <w:bottom w:val="none" w:sz="0" w:space="0" w:color="auto"/>
        <w:right w:val="none" w:sz="0" w:space="0" w:color="auto"/>
      </w:divBdr>
    </w:div>
    <w:div w:id="557129559">
      <w:bodyDiv w:val="1"/>
      <w:marLeft w:val="0"/>
      <w:marRight w:val="0"/>
      <w:marTop w:val="0"/>
      <w:marBottom w:val="0"/>
      <w:divBdr>
        <w:top w:val="none" w:sz="0" w:space="0" w:color="auto"/>
        <w:left w:val="none" w:sz="0" w:space="0" w:color="auto"/>
        <w:bottom w:val="none" w:sz="0" w:space="0" w:color="auto"/>
        <w:right w:val="none" w:sz="0" w:space="0" w:color="auto"/>
      </w:divBdr>
    </w:div>
    <w:div w:id="602153436">
      <w:bodyDiv w:val="1"/>
      <w:marLeft w:val="0"/>
      <w:marRight w:val="0"/>
      <w:marTop w:val="0"/>
      <w:marBottom w:val="0"/>
      <w:divBdr>
        <w:top w:val="none" w:sz="0" w:space="0" w:color="auto"/>
        <w:left w:val="none" w:sz="0" w:space="0" w:color="auto"/>
        <w:bottom w:val="none" w:sz="0" w:space="0" w:color="auto"/>
        <w:right w:val="none" w:sz="0" w:space="0" w:color="auto"/>
      </w:divBdr>
    </w:div>
    <w:div w:id="1103844539">
      <w:bodyDiv w:val="1"/>
      <w:marLeft w:val="0"/>
      <w:marRight w:val="0"/>
      <w:marTop w:val="0"/>
      <w:marBottom w:val="0"/>
      <w:divBdr>
        <w:top w:val="none" w:sz="0" w:space="0" w:color="auto"/>
        <w:left w:val="none" w:sz="0" w:space="0" w:color="auto"/>
        <w:bottom w:val="none" w:sz="0" w:space="0" w:color="auto"/>
        <w:right w:val="none" w:sz="0" w:space="0" w:color="auto"/>
      </w:divBdr>
    </w:div>
    <w:div w:id="1417088956">
      <w:bodyDiv w:val="1"/>
      <w:marLeft w:val="0"/>
      <w:marRight w:val="0"/>
      <w:marTop w:val="0"/>
      <w:marBottom w:val="0"/>
      <w:divBdr>
        <w:top w:val="none" w:sz="0" w:space="0" w:color="auto"/>
        <w:left w:val="none" w:sz="0" w:space="0" w:color="auto"/>
        <w:bottom w:val="none" w:sz="0" w:space="0" w:color="auto"/>
        <w:right w:val="none" w:sz="0" w:space="0" w:color="auto"/>
      </w:divBdr>
    </w:div>
    <w:div w:id="1422146396">
      <w:bodyDiv w:val="1"/>
      <w:marLeft w:val="0"/>
      <w:marRight w:val="0"/>
      <w:marTop w:val="0"/>
      <w:marBottom w:val="0"/>
      <w:divBdr>
        <w:top w:val="none" w:sz="0" w:space="0" w:color="auto"/>
        <w:left w:val="none" w:sz="0" w:space="0" w:color="auto"/>
        <w:bottom w:val="none" w:sz="0" w:space="0" w:color="auto"/>
        <w:right w:val="none" w:sz="0" w:space="0" w:color="auto"/>
      </w:divBdr>
    </w:div>
    <w:div w:id="1457487324">
      <w:bodyDiv w:val="1"/>
      <w:marLeft w:val="0"/>
      <w:marRight w:val="0"/>
      <w:marTop w:val="0"/>
      <w:marBottom w:val="0"/>
      <w:divBdr>
        <w:top w:val="none" w:sz="0" w:space="0" w:color="auto"/>
        <w:left w:val="none" w:sz="0" w:space="0" w:color="auto"/>
        <w:bottom w:val="none" w:sz="0" w:space="0" w:color="auto"/>
        <w:right w:val="none" w:sz="0" w:space="0" w:color="auto"/>
      </w:divBdr>
    </w:div>
    <w:div w:id="1506169588">
      <w:bodyDiv w:val="1"/>
      <w:marLeft w:val="0"/>
      <w:marRight w:val="0"/>
      <w:marTop w:val="0"/>
      <w:marBottom w:val="0"/>
      <w:divBdr>
        <w:top w:val="none" w:sz="0" w:space="0" w:color="auto"/>
        <w:left w:val="none" w:sz="0" w:space="0" w:color="auto"/>
        <w:bottom w:val="none" w:sz="0" w:space="0" w:color="auto"/>
        <w:right w:val="none" w:sz="0" w:space="0" w:color="auto"/>
      </w:divBdr>
    </w:div>
    <w:div w:id="1542664937">
      <w:bodyDiv w:val="1"/>
      <w:marLeft w:val="0"/>
      <w:marRight w:val="0"/>
      <w:marTop w:val="0"/>
      <w:marBottom w:val="0"/>
      <w:divBdr>
        <w:top w:val="none" w:sz="0" w:space="0" w:color="auto"/>
        <w:left w:val="none" w:sz="0" w:space="0" w:color="auto"/>
        <w:bottom w:val="none" w:sz="0" w:space="0" w:color="auto"/>
        <w:right w:val="none" w:sz="0" w:space="0" w:color="auto"/>
      </w:divBdr>
    </w:div>
    <w:div w:id="1730227422">
      <w:bodyDiv w:val="1"/>
      <w:marLeft w:val="0"/>
      <w:marRight w:val="0"/>
      <w:marTop w:val="0"/>
      <w:marBottom w:val="0"/>
      <w:divBdr>
        <w:top w:val="none" w:sz="0" w:space="0" w:color="auto"/>
        <w:left w:val="none" w:sz="0" w:space="0" w:color="auto"/>
        <w:bottom w:val="none" w:sz="0" w:space="0" w:color="auto"/>
        <w:right w:val="none" w:sz="0" w:space="0" w:color="auto"/>
      </w:divBdr>
    </w:div>
    <w:div w:id="2028214798">
      <w:bodyDiv w:val="1"/>
      <w:marLeft w:val="0"/>
      <w:marRight w:val="0"/>
      <w:marTop w:val="0"/>
      <w:marBottom w:val="0"/>
      <w:divBdr>
        <w:top w:val="none" w:sz="0" w:space="0" w:color="auto"/>
        <w:left w:val="none" w:sz="0" w:space="0" w:color="auto"/>
        <w:bottom w:val="none" w:sz="0" w:space="0" w:color="auto"/>
        <w:right w:val="none" w:sz="0" w:space="0" w:color="auto"/>
      </w:divBdr>
    </w:div>
    <w:div w:id="2069107598">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cotland.police.uk/spa-media/nhobty5i/record-retention-sop.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scotland.police.uk/spa-media/3m1ioe1u/disclosure-pvg-part-v-sop.docx" TargetMode="External"/><Relationship Id="rId17" Type="http://schemas.openxmlformats.org/officeDocument/2006/relationships/hyperlink" Target="http://www.scotland.police.uk/access-to-information/freedom-of-information/disclosure-lo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nquiries@foi.sco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isclosure.gov.scot/guidance-for-chief-constable-of-police-scotland"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foi.scot/appeal"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oi@scotland.police.uk"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795</Words>
  <Characters>4533</Characters>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2025-11-11T11:15:00Z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