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9EBC0C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E3C3D">
              <w:t>1</w:t>
            </w:r>
            <w:r w:rsidR="005037B0">
              <w:t>384</w:t>
            </w:r>
          </w:p>
          <w:p w14:paraId="34BDABA6" w14:textId="118EF43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444B1">
              <w:t>13</w:t>
            </w:r>
            <w:r w:rsidR="00EF37F8">
              <w:t xml:space="preserve">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975F63F" w14:textId="3D4B8B88" w:rsidR="00405B38" w:rsidRPr="00405B38" w:rsidRDefault="00405B38" w:rsidP="00405B38">
      <w:pPr>
        <w:rPr>
          <w:rFonts w:eastAsiaTheme="majorEastAsia" w:cstheme="majorBidi"/>
          <w:b/>
          <w:color w:val="000000" w:themeColor="text1"/>
          <w:szCs w:val="26"/>
        </w:rPr>
      </w:pPr>
      <w:r w:rsidRPr="00405B38">
        <w:rPr>
          <w:rFonts w:eastAsiaTheme="majorEastAsia" w:cstheme="majorBidi"/>
          <w:b/>
          <w:color w:val="000000" w:themeColor="text1"/>
          <w:szCs w:val="26"/>
        </w:rPr>
        <w:t>The information I am looking for is as follows:</w:t>
      </w:r>
    </w:p>
    <w:p w14:paraId="0F379C38" w14:textId="6C8ECC96" w:rsidR="00405B38" w:rsidRPr="00405B38" w:rsidRDefault="00405B38" w:rsidP="00405B38">
      <w:pPr>
        <w:rPr>
          <w:rFonts w:eastAsiaTheme="majorEastAsia" w:cstheme="majorBidi"/>
          <w:b/>
          <w:color w:val="000000" w:themeColor="text1"/>
          <w:szCs w:val="26"/>
        </w:rPr>
      </w:pPr>
      <w:r w:rsidRPr="00405B38">
        <w:rPr>
          <w:rFonts w:eastAsiaTheme="majorEastAsia" w:cstheme="majorBidi"/>
          <w:b/>
          <w:color w:val="000000" w:themeColor="text1"/>
          <w:szCs w:val="26"/>
        </w:rPr>
        <w:t>As at 1st April 2013 (or the closest date thereafter for which data is available)</w:t>
      </w:r>
    </w:p>
    <w:p w14:paraId="7AB8A291" w14:textId="4C1F6C69" w:rsidR="00405B38" w:rsidRPr="00405B38" w:rsidRDefault="00405B38" w:rsidP="00405B38">
      <w:pPr>
        <w:rPr>
          <w:rFonts w:eastAsiaTheme="majorEastAsia" w:cstheme="majorBidi"/>
          <w:b/>
          <w:color w:val="000000" w:themeColor="text1"/>
          <w:szCs w:val="26"/>
        </w:rPr>
      </w:pPr>
      <w:r w:rsidRPr="00405B38">
        <w:rPr>
          <w:rFonts w:eastAsiaTheme="majorEastAsia" w:cstheme="majorBidi"/>
          <w:b/>
          <w:color w:val="000000" w:themeColor="text1"/>
          <w:szCs w:val="26"/>
        </w:rPr>
        <w:t>The number of officers of the rank of constable</w:t>
      </w:r>
    </w:p>
    <w:p w14:paraId="2580BE5B" w14:textId="765C4065" w:rsidR="00405B38" w:rsidRPr="00405B38" w:rsidRDefault="00405B38" w:rsidP="00405B38">
      <w:pPr>
        <w:rPr>
          <w:rFonts w:eastAsiaTheme="majorEastAsia" w:cstheme="majorBidi"/>
          <w:b/>
          <w:color w:val="000000" w:themeColor="text1"/>
          <w:szCs w:val="26"/>
        </w:rPr>
      </w:pPr>
      <w:r w:rsidRPr="00405B38">
        <w:rPr>
          <w:rFonts w:eastAsiaTheme="majorEastAsia" w:cstheme="majorBidi"/>
          <w:b/>
          <w:color w:val="000000" w:themeColor="text1"/>
          <w:szCs w:val="26"/>
        </w:rPr>
        <w:t>The number of officers of the rank of sergeant</w:t>
      </w:r>
    </w:p>
    <w:p w14:paraId="11172C0E" w14:textId="59DFB62A" w:rsidR="00405B38" w:rsidRPr="00405B38" w:rsidRDefault="00405B38" w:rsidP="00405B38">
      <w:pPr>
        <w:rPr>
          <w:rFonts w:eastAsiaTheme="majorEastAsia" w:cstheme="majorBidi"/>
          <w:b/>
          <w:color w:val="000000" w:themeColor="text1"/>
          <w:szCs w:val="26"/>
        </w:rPr>
      </w:pPr>
      <w:r w:rsidRPr="00405B38">
        <w:rPr>
          <w:rFonts w:eastAsiaTheme="majorEastAsia" w:cstheme="majorBidi"/>
          <w:b/>
          <w:color w:val="000000" w:themeColor="text1"/>
          <w:szCs w:val="26"/>
        </w:rPr>
        <w:t>The number of officers of the ranks of Assistant Chief Constable and Deputy Chief Constable</w:t>
      </w:r>
    </w:p>
    <w:p w14:paraId="7C780DFB" w14:textId="769554B6" w:rsidR="00405B38" w:rsidRPr="00405B38" w:rsidRDefault="00405B38" w:rsidP="00405B38">
      <w:pPr>
        <w:rPr>
          <w:rFonts w:eastAsiaTheme="majorEastAsia" w:cstheme="majorBidi"/>
          <w:b/>
          <w:color w:val="000000" w:themeColor="text1"/>
          <w:szCs w:val="26"/>
        </w:rPr>
      </w:pPr>
      <w:r w:rsidRPr="00405B38">
        <w:rPr>
          <w:rFonts w:eastAsiaTheme="majorEastAsia" w:cstheme="majorBidi"/>
          <w:b/>
          <w:color w:val="000000" w:themeColor="text1"/>
          <w:szCs w:val="26"/>
        </w:rPr>
        <w:t>As at 31st March 2024 (or the closest date thereafter for which data is available)</w:t>
      </w:r>
    </w:p>
    <w:p w14:paraId="0E96A67E" w14:textId="105A6304" w:rsidR="00405B38" w:rsidRPr="00405B38" w:rsidRDefault="00405B38" w:rsidP="00405B38">
      <w:pPr>
        <w:rPr>
          <w:rFonts w:eastAsiaTheme="majorEastAsia" w:cstheme="majorBidi"/>
          <w:b/>
          <w:color w:val="000000" w:themeColor="text1"/>
          <w:szCs w:val="26"/>
        </w:rPr>
      </w:pPr>
      <w:r w:rsidRPr="00405B38">
        <w:rPr>
          <w:rFonts w:eastAsiaTheme="majorEastAsia" w:cstheme="majorBidi"/>
          <w:b/>
          <w:color w:val="000000" w:themeColor="text1"/>
          <w:szCs w:val="26"/>
        </w:rPr>
        <w:t>The number of officers of the rank of constable</w:t>
      </w:r>
    </w:p>
    <w:p w14:paraId="2B72CC36" w14:textId="43D9A9F8" w:rsidR="00405B38" w:rsidRPr="00405B38" w:rsidRDefault="00405B38" w:rsidP="00405B38">
      <w:pPr>
        <w:rPr>
          <w:rFonts w:eastAsiaTheme="majorEastAsia" w:cstheme="majorBidi"/>
          <w:b/>
          <w:color w:val="000000" w:themeColor="text1"/>
          <w:szCs w:val="26"/>
        </w:rPr>
      </w:pPr>
      <w:r w:rsidRPr="00405B38">
        <w:rPr>
          <w:rFonts w:eastAsiaTheme="majorEastAsia" w:cstheme="majorBidi"/>
          <w:b/>
          <w:color w:val="000000" w:themeColor="text1"/>
          <w:szCs w:val="26"/>
        </w:rPr>
        <w:t>The number of officers of the rank of sergeant</w:t>
      </w:r>
    </w:p>
    <w:p w14:paraId="6E10EE82" w14:textId="77777777" w:rsidR="00405B38" w:rsidRPr="00405B38" w:rsidRDefault="00405B38" w:rsidP="00405B38">
      <w:pPr>
        <w:rPr>
          <w:rFonts w:eastAsiaTheme="majorEastAsia" w:cstheme="majorBidi"/>
          <w:b/>
          <w:color w:val="000000" w:themeColor="text1"/>
          <w:szCs w:val="26"/>
        </w:rPr>
      </w:pPr>
      <w:r w:rsidRPr="00405B38">
        <w:rPr>
          <w:rFonts w:eastAsiaTheme="majorEastAsia" w:cstheme="majorBidi"/>
          <w:b/>
          <w:color w:val="000000" w:themeColor="text1"/>
          <w:szCs w:val="26"/>
        </w:rPr>
        <w:t>The number of officers of the ranks of Assistant Chief Constable and Deputy Chief Constable</w:t>
      </w:r>
    </w:p>
    <w:p w14:paraId="5D0EF71C" w14:textId="21F6F537" w:rsidR="00E90585" w:rsidRPr="00405B38" w:rsidRDefault="00405B38" w:rsidP="009949F7">
      <w:pPr>
        <w:rPr>
          <w:rFonts w:eastAsiaTheme="majorEastAsia" w:cstheme="majorBidi"/>
          <w:bCs/>
          <w:color w:val="000000" w:themeColor="text1"/>
          <w:szCs w:val="26"/>
        </w:rPr>
      </w:pPr>
      <w:r w:rsidRPr="00405B38">
        <w:rPr>
          <w:rFonts w:eastAsiaTheme="majorEastAsia" w:cstheme="majorBidi"/>
          <w:bCs/>
          <w:color w:val="000000" w:themeColor="text1"/>
          <w:szCs w:val="26"/>
        </w:rPr>
        <w:t>31</w:t>
      </w:r>
      <w:r w:rsidRPr="00405B38"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 w:rsidRPr="00405B38">
        <w:rPr>
          <w:rFonts w:eastAsiaTheme="majorEastAsia" w:cstheme="majorBidi"/>
          <w:bCs/>
          <w:color w:val="000000" w:themeColor="text1"/>
          <w:szCs w:val="26"/>
        </w:rPr>
        <w:t xml:space="preserve"> March 2015 is the first </w:t>
      </w:r>
      <w:r>
        <w:rPr>
          <w:rFonts w:eastAsiaTheme="majorEastAsia" w:cstheme="majorBidi"/>
          <w:bCs/>
          <w:color w:val="000000" w:themeColor="text1"/>
          <w:szCs w:val="26"/>
        </w:rPr>
        <w:t>d</w:t>
      </w:r>
      <w:r w:rsidRPr="00405B38">
        <w:rPr>
          <w:rFonts w:eastAsiaTheme="majorEastAsia" w:cstheme="majorBidi"/>
          <w:bCs/>
          <w:color w:val="000000" w:themeColor="text1"/>
          <w:szCs w:val="26"/>
        </w:rPr>
        <w:t xml:space="preserve">ate we can provide breakdown in rank. Data </w:t>
      </w:r>
      <w:r>
        <w:rPr>
          <w:rFonts w:eastAsiaTheme="majorEastAsia" w:cstheme="majorBidi"/>
          <w:bCs/>
          <w:color w:val="000000" w:themeColor="text1"/>
          <w:szCs w:val="26"/>
        </w:rPr>
        <w:t>relating to ranks prior to this date is no longer held and section 17 of the Act therefore applies.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fficer Ranks - March 2015 and March 2024"/>
      </w:tblPr>
      <w:tblGrid>
        <w:gridCol w:w="2407"/>
        <w:gridCol w:w="2407"/>
        <w:gridCol w:w="2407"/>
        <w:gridCol w:w="2407"/>
      </w:tblGrid>
      <w:tr w:rsidR="00E90585" w:rsidRPr="00E90585" w14:paraId="452D6567" w14:textId="77777777" w:rsidTr="00E90585">
        <w:tc>
          <w:tcPr>
            <w:tcW w:w="2407" w:type="dxa"/>
            <w:shd w:val="clear" w:color="auto" w:fill="D9D9D9" w:themeFill="background1" w:themeFillShade="D9"/>
          </w:tcPr>
          <w:p w14:paraId="3C4FD3E1" w14:textId="128EFF2C" w:rsidR="00E90585" w:rsidRPr="00E90585" w:rsidRDefault="00E90585" w:rsidP="00E90585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407" w:type="dxa"/>
            <w:shd w:val="clear" w:color="auto" w:fill="D9D9D9" w:themeFill="background1" w:themeFillShade="D9"/>
          </w:tcPr>
          <w:p w14:paraId="5D802086" w14:textId="061C382E" w:rsidR="00E90585" w:rsidRPr="00E90585" w:rsidRDefault="00405B38" w:rsidP="00405B3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Constable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176CA0F4" w14:textId="1E1DF46B" w:rsidR="00E90585" w:rsidRPr="00E90585" w:rsidRDefault="00405B38" w:rsidP="00405B3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Sergeant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3D67762D" w14:textId="3500251F" w:rsidR="00E90585" w:rsidRPr="00E90585" w:rsidRDefault="00405B38" w:rsidP="00405B3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 and DCC</w:t>
            </w:r>
          </w:p>
        </w:tc>
      </w:tr>
      <w:tr w:rsidR="00E90585" w14:paraId="799BAFFA" w14:textId="77777777" w:rsidTr="00E90585">
        <w:tc>
          <w:tcPr>
            <w:tcW w:w="2407" w:type="dxa"/>
          </w:tcPr>
          <w:p w14:paraId="64A97E4A" w14:textId="7FCD9149" w:rsidR="00E90585" w:rsidRDefault="00405B38" w:rsidP="00405B38">
            <w:pPr>
              <w:spacing w:line="276" w:lineRule="auto"/>
              <w:jc w:val="center"/>
            </w:pPr>
            <w:r>
              <w:t>31</w:t>
            </w:r>
            <w:r w:rsidRPr="00405B38">
              <w:rPr>
                <w:vertAlign w:val="superscript"/>
              </w:rPr>
              <w:t>st</w:t>
            </w:r>
            <w:r>
              <w:t xml:space="preserve"> March 2015</w:t>
            </w:r>
          </w:p>
        </w:tc>
        <w:tc>
          <w:tcPr>
            <w:tcW w:w="2407" w:type="dxa"/>
          </w:tcPr>
          <w:p w14:paraId="555EC09D" w14:textId="6BBCA6DC" w:rsidR="00E90585" w:rsidRDefault="00405B38" w:rsidP="00405B38">
            <w:pPr>
              <w:spacing w:line="276" w:lineRule="auto"/>
              <w:jc w:val="center"/>
            </w:pPr>
            <w:r>
              <w:t>13,408.271</w:t>
            </w:r>
          </w:p>
        </w:tc>
        <w:tc>
          <w:tcPr>
            <w:tcW w:w="2407" w:type="dxa"/>
          </w:tcPr>
          <w:p w14:paraId="2F1017CF" w14:textId="30470857" w:rsidR="00E90585" w:rsidRDefault="00405B38" w:rsidP="00405B38">
            <w:pPr>
              <w:spacing w:line="276" w:lineRule="auto"/>
              <w:jc w:val="center"/>
            </w:pPr>
            <w:r>
              <w:t>2,486.74</w:t>
            </w:r>
          </w:p>
        </w:tc>
        <w:tc>
          <w:tcPr>
            <w:tcW w:w="2407" w:type="dxa"/>
          </w:tcPr>
          <w:p w14:paraId="176E32B3" w14:textId="371A38C5" w:rsidR="00E90585" w:rsidRDefault="00405B38" w:rsidP="00405B38">
            <w:pPr>
              <w:spacing w:line="276" w:lineRule="auto"/>
              <w:jc w:val="center"/>
            </w:pPr>
            <w:r>
              <w:t>13</w:t>
            </w:r>
          </w:p>
        </w:tc>
      </w:tr>
      <w:tr w:rsidR="00405B38" w14:paraId="38E8D20B" w14:textId="77777777" w:rsidTr="00E90585">
        <w:tc>
          <w:tcPr>
            <w:tcW w:w="2407" w:type="dxa"/>
          </w:tcPr>
          <w:p w14:paraId="55569FD9" w14:textId="379ACF9F" w:rsidR="00405B38" w:rsidRDefault="00405B38" w:rsidP="00405B38">
            <w:pPr>
              <w:spacing w:line="276" w:lineRule="auto"/>
              <w:jc w:val="center"/>
            </w:pPr>
            <w:r>
              <w:t>31</w:t>
            </w:r>
            <w:r w:rsidRPr="00405B38">
              <w:rPr>
                <w:vertAlign w:val="superscript"/>
              </w:rPr>
              <w:t>st</w:t>
            </w:r>
            <w:r>
              <w:t xml:space="preserve"> March 2024</w:t>
            </w:r>
          </w:p>
        </w:tc>
        <w:tc>
          <w:tcPr>
            <w:tcW w:w="2407" w:type="dxa"/>
          </w:tcPr>
          <w:p w14:paraId="773F2CD5" w14:textId="2BCF3C56" w:rsidR="00405B38" w:rsidRDefault="00405B38" w:rsidP="00405B38">
            <w:pPr>
              <w:spacing w:line="276" w:lineRule="auto"/>
              <w:jc w:val="center"/>
            </w:pPr>
            <w:r>
              <w:t>12,625.872</w:t>
            </w:r>
          </w:p>
        </w:tc>
        <w:tc>
          <w:tcPr>
            <w:tcW w:w="2407" w:type="dxa"/>
          </w:tcPr>
          <w:p w14:paraId="4DA7E1E3" w14:textId="1BD17AC3" w:rsidR="00405B38" w:rsidRDefault="00405B38" w:rsidP="00405B38">
            <w:pPr>
              <w:spacing w:line="276" w:lineRule="auto"/>
              <w:jc w:val="center"/>
            </w:pPr>
            <w:r>
              <w:t>2,500.219</w:t>
            </w:r>
          </w:p>
        </w:tc>
        <w:tc>
          <w:tcPr>
            <w:tcW w:w="2407" w:type="dxa"/>
          </w:tcPr>
          <w:p w14:paraId="3C919AB4" w14:textId="2AD95ED5" w:rsidR="00405B38" w:rsidRDefault="00405B38" w:rsidP="00405B38">
            <w:pPr>
              <w:spacing w:line="276" w:lineRule="auto"/>
              <w:jc w:val="center"/>
            </w:pPr>
            <w:r>
              <w:t>13</w:t>
            </w:r>
          </w:p>
        </w:tc>
      </w:tr>
    </w:tbl>
    <w:p w14:paraId="61912830" w14:textId="77777777" w:rsidR="00E90585" w:rsidRPr="00B11A55" w:rsidRDefault="00E90585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B18F3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44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B516AF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44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3C0D34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44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0282F8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44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0049BA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44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B17FFC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44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444B1"/>
    <w:rsid w:val="00253DF6"/>
    <w:rsid w:val="00255F1E"/>
    <w:rsid w:val="0036503B"/>
    <w:rsid w:val="003D6D03"/>
    <w:rsid w:val="003E12CA"/>
    <w:rsid w:val="004010DC"/>
    <w:rsid w:val="00405B38"/>
    <w:rsid w:val="004341F0"/>
    <w:rsid w:val="00456324"/>
    <w:rsid w:val="00475460"/>
    <w:rsid w:val="00490317"/>
    <w:rsid w:val="00491644"/>
    <w:rsid w:val="00496A08"/>
    <w:rsid w:val="004E1605"/>
    <w:rsid w:val="004F653C"/>
    <w:rsid w:val="005037B0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E3C3D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50A7B"/>
    <w:rsid w:val="00E004C1"/>
    <w:rsid w:val="00E55D79"/>
    <w:rsid w:val="00E90585"/>
    <w:rsid w:val="00ED3D85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2024-06-11T10:17:00Z</dcterms:created>
  <dcterms:modified xsi:type="dcterms:W3CDTF">2024-06-13T07:15:00Z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