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3C690312" w:rsidR="00B17211" w:rsidRPr="00B17211" w:rsidRDefault="00B17211" w:rsidP="007F490F">
            <w:r w:rsidRPr="007F490F">
              <w:rPr>
                <w:rStyle w:val="Heading2Char"/>
              </w:rPr>
              <w:t>Our reference:</w:t>
            </w:r>
            <w:r>
              <w:t xml:space="preserve">  FOI 2</w:t>
            </w:r>
            <w:r w:rsidR="00706E8D">
              <w:t>4</w:t>
            </w:r>
            <w:r w:rsidR="00B834DC">
              <w:t>-</w:t>
            </w:r>
            <w:r w:rsidR="005320CE">
              <w:t>0074</w:t>
            </w:r>
          </w:p>
          <w:p w14:paraId="5BEC4C5F"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D228D43" w14:textId="4F37C08E" w:rsidR="000632A2" w:rsidRDefault="005320CE" w:rsidP="005320CE">
      <w:pPr>
        <w:pStyle w:val="Heading2"/>
      </w:pPr>
      <w:r>
        <w:t>In respect of Gilmerton Station Road, Edinburgh on 16th December 2023, please let me have the specific numbers of persons cautioned or charged for a) drug driving or b) drink driving.</w:t>
      </w:r>
    </w:p>
    <w:p w14:paraId="486E8C82" w14:textId="20A97E5B" w:rsidR="00702B92" w:rsidRDefault="00702B92" w:rsidP="00702B92">
      <w:r>
        <w:t xml:space="preserve">An FOI response is a public disclosure and so it is not usually possible to disclose information about particular individuals or related investigations.  </w:t>
      </w:r>
    </w:p>
    <w:p w14:paraId="54113F87" w14:textId="75ED80BD" w:rsidR="00702B92" w:rsidRDefault="00702B92" w:rsidP="00702B92">
      <w:r>
        <w:t>In terms of section 18 of the Act, I am therefore refusing to confirm or deny whether the information sought is held by Police Scotland.</w:t>
      </w:r>
    </w:p>
    <w:p w14:paraId="34BEF1E4" w14:textId="77777777" w:rsidR="00702B92" w:rsidRDefault="00702B92" w:rsidP="00702B92">
      <w:r>
        <w:t xml:space="preserve">The public interest overwhelmingly lies in protecting individuals’ right to privacy and honouring their expectation of confidentiality.  Furthermore, third party personal data - where it is assessed that disclosure would contravene the data protection principles as defined in the Act, is exempt from disclosure in terms of section 38(1)(b) of the Act. </w:t>
      </w:r>
    </w:p>
    <w:p w14:paraId="06B27F5E" w14:textId="77777777" w:rsidR="00702B92" w:rsidRPr="005372B9" w:rsidRDefault="00702B92" w:rsidP="00702B92">
      <w:pPr>
        <w:rPr>
          <w:u w:val="single"/>
        </w:rPr>
      </w:pPr>
      <w:r w:rsidRPr="005372B9">
        <w:rPr>
          <w:u w:val="single"/>
        </w:rPr>
        <w:t>Section 38(1)(b) - Personal Data</w:t>
      </w:r>
    </w:p>
    <w:p w14:paraId="08CCEEF3" w14:textId="77777777" w:rsidR="00702B92" w:rsidRDefault="00702B92" w:rsidP="00702B92">
      <w:r>
        <w:t>Personal data is defined in Article 4 of the General Data Protection Regulation (GDPR) as:</w:t>
      </w:r>
    </w:p>
    <w:p w14:paraId="38F7A3CA" w14:textId="70EF8839" w:rsidR="00702B92" w:rsidRDefault="00702B92" w:rsidP="00702B92">
      <w: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w:t>
      </w:r>
      <w:r w:rsidR="005372B9">
        <w:t>person’.</w:t>
      </w:r>
    </w:p>
    <w:p w14:paraId="0F53491D" w14:textId="77777777" w:rsidR="00702B92" w:rsidRDefault="00702B92" w:rsidP="00702B92">
      <w:r>
        <w:t>Section 38(2A) of the Act provides that personal data is exempt from disclosure where disclosure would contravene any of the data protection principles set out at Article 5(1) of the GDPR which states that:</w:t>
      </w:r>
    </w:p>
    <w:p w14:paraId="09289104" w14:textId="3049E8A5" w:rsidR="00702B92" w:rsidRDefault="00702B92" w:rsidP="00702B92">
      <w:r>
        <w:t>‘Personal data shall be processed lawfully, fairly and in a transparent manner in relation to the data subject’</w:t>
      </w:r>
      <w:r w:rsidR="005372B9">
        <w:t>.</w:t>
      </w:r>
    </w:p>
    <w:p w14:paraId="744FF1C2" w14:textId="77777777" w:rsidR="00702B92" w:rsidRDefault="00702B92" w:rsidP="00702B92">
      <w:r>
        <w:lastRenderedPageBreak/>
        <w:t>Article 6 of the GDPR goes on to state that processing shall be lawful only if certain conditions are met.</w:t>
      </w:r>
    </w:p>
    <w:p w14:paraId="39FA9F3B" w14:textId="77777777" w:rsidR="00702B92" w:rsidRDefault="00702B92" w:rsidP="00702B92">
      <w:r>
        <w:t>The only potentially applicable condition is set out at Article 6(1)(f) which states:</w:t>
      </w:r>
    </w:p>
    <w:p w14:paraId="5EBB68BB" w14:textId="77777777" w:rsidR="00702B92" w:rsidRDefault="00702B92" w:rsidP="00702B92">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4677354" w14:textId="56ADC704" w:rsidR="005320CE" w:rsidRDefault="00702B92" w:rsidP="00702B92">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67BC31E0" w14:textId="77777777" w:rsidR="005372B9" w:rsidRDefault="005372B9" w:rsidP="005372B9">
      <w:r>
        <w:t>I can further advise that Section 34(1)(b) – Investigations may also apply.</w:t>
      </w:r>
    </w:p>
    <w:p w14:paraId="39D248D9" w14:textId="7EE0B1D8" w:rsidR="005372B9" w:rsidRDefault="005372B9" w:rsidP="005372B9">
      <w:r>
        <w:t>In such circumstances, information is exempt if it is held for the purposes of an investigation which in the circumstances may lead to a decision to report a matter to the Procurator Fiscal.</w:t>
      </w:r>
    </w:p>
    <w:p w14:paraId="53418AF1" w14:textId="77777777" w:rsidR="005372B9" w:rsidRDefault="005372B9" w:rsidP="005372B9">
      <w:r>
        <w:t>This is a non-absolute exemption and requires the application of the public interest test.</w:t>
      </w:r>
    </w:p>
    <w:p w14:paraId="147C1ECA" w14:textId="77777777" w:rsidR="005372B9" w:rsidRPr="005372B9" w:rsidRDefault="005372B9" w:rsidP="005372B9">
      <w:pPr>
        <w:rPr>
          <w:u w:val="single"/>
        </w:rPr>
      </w:pPr>
      <w:r w:rsidRPr="005372B9">
        <w:rPr>
          <w:u w:val="single"/>
        </w:rPr>
        <w:t xml:space="preserve">Public Interest Test </w:t>
      </w:r>
    </w:p>
    <w:p w14:paraId="78B5D9AF" w14:textId="77777777" w:rsidR="005372B9" w:rsidRDefault="005372B9" w:rsidP="005372B9">
      <w:r>
        <w:t xml:space="preserve">Public awareness would favour disclosure as it would contribute to the public debate surrounding the police handling of an enquiry. </w:t>
      </w:r>
    </w:p>
    <w:p w14:paraId="736D1884" w14:textId="77777777" w:rsidR="005372B9" w:rsidRDefault="005372B9" w:rsidP="005372B9">
      <w:r>
        <w:t>I would, however, contend that the efficient/effective conduct of the service and public safety favours retention of the information as it cannot be in the public interest to release information that would prejudice law enforcement.</w:t>
      </w:r>
    </w:p>
    <w:p w14:paraId="04F28A9C" w14:textId="3B52693A" w:rsidR="005372B9" w:rsidRDefault="005372B9" w:rsidP="005372B9">
      <w:r>
        <w:t>Accordingly, at this time the public interest lies in protecting the integrity of investigative and criminal justice procedures by refusing to provide the information sought.</w:t>
      </w:r>
    </w:p>
    <w:p w14:paraId="16BFA51A" w14:textId="3B8ECECF" w:rsidR="00702B92" w:rsidRDefault="00702B92" w:rsidP="00702B92">
      <w:pPr>
        <w:rPr>
          <w:i/>
        </w:rPr>
      </w:pPr>
      <w:r w:rsidRPr="00EF692B">
        <w:rPr>
          <w:i/>
        </w:rPr>
        <w:t xml:space="preserve">No inference should be taken from this response as to whether the information you have requested does or does not exist. </w:t>
      </w:r>
    </w:p>
    <w:p w14:paraId="47CD2A4C" w14:textId="77777777" w:rsidR="005372B9" w:rsidRPr="00702B92" w:rsidRDefault="005372B9" w:rsidP="00702B92">
      <w:pPr>
        <w:rPr>
          <w:i/>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752001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41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009FF5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41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6FA7F6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41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508AF5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41D6">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7B184E3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41D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5CCCCFC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41D6">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320CE"/>
    <w:rsid w:val="005372B9"/>
    <w:rsid w:val="00540A52"/>
    <w:rsid w:val="00557306"/>
    <w:rsid w:val="005816D1"/>
    <w:rsid w:val="005C0D87"/>
    <w:rsid w:val="005E6A4B"/>
    <w:rsid w:val="00663826"/>
    <w:rsid w:val="00702B92"/>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9941D6"/>
    <w:rsid w:val="00A25E93"/>
    <w:rsid w:val="00A320FF"/>
    <w:rsid w:val="00A70AC0"/>
    <w:rsid w:val="00AC443C"/>
    <w:rsid w:val="00B11A55"/>
    <w:rsid w:val="00B17211"/>
    <w:rsid w:val="00B239DF"/>
    <w:rsid w:val="00B461B2"/>
    <w:rsid w:val="00B71B3C"/>
    <w:rsid w:val="00B834D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738</Words>
  <Characters>4208</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2024-02-02T15:25:00Z</cp:lastPrinted>
  <dcterms:created xsi:type="dcterms:W3CDTF">2024-02-02T10:38:00Z</dcterms:created>
  <dcterms:modified xsi:type="dcterms:W3CDTF">2024-02-02T15:26:00Z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