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3260D00" w:rsidR="00B17211" w:rsidRPr="00B17211" w:rsidRDefault="00B17211" w:rsidP="007F490F">
            <w:r w:rsidRPr="007F490F">
              <w:rPr>
                <w:rStyle w:val="Heading2Char"/>
              </w:rPr>
              <w:t>Our reference:</w:t>
            </w:r>
            <w:r>
              <w:t xml:space="preserve">  FOI 2</w:t>
            </w:r>
            <w:r w:rsidR="00EF0FBB">
              <w:t>5</w:t>
            </w:r>
            <w:r>
              <w:t>-</w:t>
            </w:r>
            <w:r w:rsidR="00C01549">
              <w:t>1985</w:t>
            </w:r>
          </w:p>
          <w:p w14:paraId="34BDABA6" w14:textId="1425360D" w:rsidR="00B17211" w:rsidRDefault="00456324" w:rsidP="00EE2373">
            <w:r w:rsidRPr="007F490F">
              <w:rPr>
                <w:rStyle w:val="Heading2Char"/>
              </w:rPr>
              <w:t>Respon</w:t>
            </w:r>
            <w:r w:rsidR="007D55F6">
              <w:rPr>
                <w:rStyle w:val="Heading2Char"/>
              </w:rPr>
              <w:t>ded to:</w:t>
            </w:r>
            <w:r w:rsidR="007F490F">
              <w:t xml:space="preserve">  </w:t>
            </w:r>
            <w:r w:rsidR="00C01549">
              <w:t>20</w:t>
            </w:r>
            <w:r w:rsidR="006D5799">
              <w:t xml:space="preserve"> </w:t>
            </w:r>
            <w:r w:rsidR="00375AA0">
              <w:t>August</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02B22D26" w14:textId="77777777" w:rsidR="00C01549" w:rsidRDefault="00C01549" w:rsidP="00C01549">
      <w:pPr>
        <w:pStyle w:val="Heading2"/>
        <w:rPr>
          <w:rFonts w:eastAsia="Times New Roman"/>
        </w:rPr>
      </w:pPr>
      <w:r>
        <w:rPr>
          <w:rFonts w:eastAsia="Times New Roman"/>
        </w:rPr>
        <w:t>The number of road traffic incidents at the junction of the A904 and A993 at Snab Brae, Bo'ness, Falkirk Council, that have been reported to Police Scotland from 2010 to 2025.</w:t>
      </w:r>
    </w:p>
    <w:p w14:paraId="35E6BAEF" w14:textId="77777777" w:rsidR="005A0835" w:rsidRDefault="005A0835" w:rsidP="005A0835">
      <w:pPr>
        <w:pStyle w:val="Heading2"/>
        <w:rPr>
          <w:rFonts w:eastAsia="Times New Roman"/>
        </w:rPr>
      </w:pPr>
      <w:r>
        <w:rPr>
          <w:rFonts w:eastAsia="Times New Roman"/>
        </w:rPr>
        <w:t>The number of casualties recorded at these incidents.</w:t>
      </w:r>
    </w:p>
    <w:p w14:paraId="1243D51D" w14:textId="19DC26CF" w:rsidR="005A0835" w:rsidRPr="005A0835" w:rsidRDefault="005A0835" w:rsidP="005A0835">
      <w:pPr>
        <w:pStyle w:val="Heading2"/>
        <w:rPr>
          <w:b w:val="0"/>
          <w:bCs/>
        </w:rPr>
      </w:pPr>
      <w:r>
        <w:rPr>
          <w:b w:val="0"/>
          <w:bCs/>
        </w:rPr>
        <w:t>The table below details r</w:t>
      </w:r>
      <w:r w:rsidRPr="005A0835">
        <w:rPr>
          <w:b w:val="0"/>
          <w:bCs/>
        </w:rPr>
        <w:t>ecorded Road Traffic Collisions</w:t>
      </w:r>
      <w:r>
        <w:rPr>
          <w:b w:val="0"/>
          <w:bCs/>
        </w:rPr>
        <w:t xml:space="preserve"> (RTC)</w:t>
      </w:r>
      <w:r w:rsidRPr="005A0835">
        <w:rPr>
          <w:b w:val="0"/>
          <w:bCs/>
        </w:rPr>
        <w:t>, mapped the junction of the A904 and A993, Bo'ness, Forth Valley Division</w:t>
      </w:r>
      <w:r>
        <w:rPr>
          <w:b w:val="0"/>
          <w:bCs/>
        </w:rPr>
        <w:t xml:space="preserve"> - </w:t>
      </w:r>
      <w:r w:rsidRPr="005A0835">
        <w:rPr>
          <w:b w:val="0"/>
          <w:bCs/>
        </w:rPr>
        <w:t>1st January 2010 to 31st July 2025</w:t>
      </w:r>
      <w:r>
        <w:rPr>
          <w:b w:val="0"/>
          <w:bCs/>
        </w:rPr>
        <w:t>:</w:t>
      </w:r>
    </w:p>
    <w:tbl>
      <w:tblPr>
        <w:tblStyle w:val="TableGrid"/>
        <w:tblW w:w="9932" w:type="dxa"/>
        <w:tblLook w:val="04A0" w:firstRow="1" w:lastRow="0" w:firstColumn="1" w:lastColumn="0" w:noHBand="0" w:noVBand="1"/>
      </w:tblPr>
      <w:tblGrid>
        <w:gridCol w:w="2337"/>
        <w:gridCol w:w="1899"/>
        <w:gridCol w:w="1898"/>
        <w:gridCol w:w="1899"/>
        <w:gridCol w:w="1899"/>
      </w:tblGrid>
      <w:tr w:rsidR="005A0835" w:rsidRPr="00557306" w14:paraId="430EB78B" w14:textId="77777777" w:rsidTr="005A0835">
        <w:trPr>
          <w:tblHeader/>
        </w:trPr>
        <w:tc>
          <w:tcPr>
            <w:tcW w:w="2337" w:type="dxa"/>
            <w:shd w:val="clear" w:color="auto" w:fill="D9D9D9" w:themeFill="background1" w:themeFillShade="D9"/>
          </w:tcPr>
          <w:p w14:paraId="4F537135" w14:textId="77777777" w:rsidR="005A0835" w:rsidRPr="00557306" w:rsidRDefault="005A0835" w:rsidP="005B560C">
            <w:pPr>
              <w:spacing w:line="240" w:lineRule="auto"/>
              <w:rPr>
                <w:b/>
              </w:rPr>
            </w:pPr>
            <w:r>
              <w:rPr>
                <w:b/>
              </w:rPr>
              <w:t>Collision severity</w:t>
            </w:r>
          </w:p>
        </w:tc>
        <w:tc>
          <w:tcPr>
            <w:tcW w:w="1899" w:type="dxa"/>
            <w:shd w:val="clear" w:color="auto" w:fill="D9D9D9" w:themeFill="background1" w:themeFillShade="D9"/>
          </w:tcPr>
          <w:p w14:paraId="4F2AD685" w14:textId="77777777" w:rsidR="005A0835" w:rsidRPr="00557306" w:rsidRDefault="005A0835" w:rsidP="005B560C">
            <w:pPr>
              <w:spacing w:line="240" w:lineRule="auto"/>
              <w:rPr>
                <w:b/>
              </w:rPr>
            </w:pPr>
            <w:r>
              <w:rPr>
                <w:b/>
              </w:rPr>
              <w:t>2012</w:t>
            </w:r>
          </w:p>
        </w:tc>
        <w:tc>
          <w:tcPr>
            <w:tcW w:w="1898" w:type="dxa"/>
            <w:shd w:val="clear" w:color="auto" w:fill="D9D9D9" w:themeFill="background1" w:themeFillShade="D9"/>
          </w:tcPr>
          <w:p w14:paraId="3974851B" w14:textId="77777777" w:rsidR="005A0835" w:rsidRPr="00557306" w:rsidRDefault="005A0835" w:rsidP="005B560C">
            <w:pPr>
              <w:spacing w:line="240" w:lineRule="auto"/>
              <w:rPr>
                <w:b/>
              </w:rPr>
            </w:pPr>
            <w:r>
              <w:rPr>
                <w:b/>
              </w:rPr>
              <w:t>2013</w:t>
            </w:r>
          </w:p>
        </w:tc>
        <w:tc>
          <w:tcPr>
            <w:tcW w:w="1899" w:type="dxa"/>
            <w:shd w:val="clear" w:color="auto" w:fill="D9D9D9" w:themeFill="background1" w:themeFillShade="D9"/>
          </w:tcPr>
          <w:p w14:paraId="46234003" w14:textId="77777777" w:rsidR="005A0835" w:rsidRPr="00557306" w:rsidRDefault="005A0835" w:rsidP="005B560C">
            <w:pPr>
              <w:spacing w:line="240" w:lineRule="auto"/>
              <w:rPr>
                <w:b/>
              </w:rPr>
            </w:pPr>
            <w:r>
              <w:rPr>
                <w:b/>
              </w:rPr>
              <w:t>2014</w:t>
            </w:r>
          </w:p>
        </w:tc>
        <w:tc>
          <w:tcPr>
            <w:tcW w:w="1899" w:type="dxa"/>
            <w:shd w:val="clear" w:color="auto" w:fill="D9D9D9" w:themeFill="background1" w:themeFillShade="D9"/>
          </w:tcPr>
          <w:p w14:paraId="515B9FCF" w14:textId="77777777" w:rsidR="005A0835" w:rsidRPr="00557306" w:rsidRDefault="005A0835" w:rsidP="005B560C">
            <w:pPr>
              <w:spacing w:line="240" w:lineRule="auto"/>
              <w:rPr>
                <w:b/>
              </w:rPr>
            </w:pPr>
            <w:r>
              <w:rPr>
                <w:b/>
              </w:rPr>
              <w:t>2016</w:t>
            </w:r>
          </w:p>
        </w:tc>
      </w:tr>
      <w:tr w:rsidR="005A0835" w14:paraId="42D0DFD9" w14:textId="77777777" w:rsidTr="005A0835">
        <w:tc>
          <w:tcPr>
            <w:tcW w:w="2337" w:type="dxa"/>
          </w:tcPr>
          <w:p w14:paraId="26A42631" w14:textId="77777777" w:rsidR="005A0835" w:rsidRDefault="005A0835" w:rsidP="005B560C">
            <w:pPr>
              <w:tabs>
                <w:tab w:val="left" w:pos="5400"/>
              </w:tabs>
              <w:spacing w:line="240" w:lineRule="auto"/>
            </w:pPr>
            <w:r>
              <w:t>Slight</w:t>
            </w:r>
          </w:p>
        </w:tc>
        <w:tc>
          <w:tcPr>
            <w:tcW w:w="1899" w:type="dxa"/>
          </w:tcPr>
          <w:p w14:paraId="0259DF5A" w14:textId="77777777" w:rsidR="005A0835" w:rsidRDefault="005A0835" w:rsidP="005B560C">
            <w:pPr>
              <w:tabs>
                <w:tab w:val="left" w:pos="5400"/>
              </w:tabs>
              <w:spacing w:line="240" w:lineRule="auto"/>
            </w:pPr>
            <w:r>
              <w:t>1</w:t>
            </w:r>
          </w:p>
        </w:tc>
        <w:tc>
          <w:tcPr>
            <w:tcW w:w="1898" w:type="dxa"/>
          </w:tcPr>
          <w:p w14:paraId="4CDA1FFD" w14:textId="77777777" w:rsidR="005A0835" w:rsidRDefault="005A0835" w:rsidP="005B560C">
            <w:pPr>
              <w:tabs>
                <w:tab w:val="left" w:pos="5400"/>
              </w:tabs>
              <w:spacing w:line="240" w:lineRule="auto"/>
            </w:pPr>
            <w:r>
              <w:t>2</w:t>
            </w:r>
          </w:p>
        </w:tc>
        <w:tc>
          <w:tcPr>
            <w:tcW w:w="1899" w:type="dxa"/>
          </w:tcPr>
          <w:p w14:paraId="670A11C4" w14:textId="77777777" w:rsidR="005A0835" w:rsidRDefault="005A0835" w:rsidP="005B560C">
            <w:pPr>
              <w:tabs>
                <w:tab w:val="left" w:pos="5400"/>
              </w:tabs>
              <w:spacing w:line="240" w:lineRule="auto"/>
            </w:pPr>
            <w:r>
              <w:t>1</w:t>
            </w:r>
          </w:p>
        </w:tc>
        <w:tc>
          <w:tcPr>
            <w:tcW w:w="1899" w:type="dxa"/>
          </w:tcPr>
          <w:p w14:paraId="0858696B" w14:textId="77777777" w:rsidR="005A0835" w:rsidRDefault="005A0835" w:rsidP="005B560C">
            <w:pPr>
              <w:tabs>
                <w:tab w:val="left" w:pos="5400"/>
              </w:tabs>
              <w:spacing w:line="240" w:lineRule="auto"/>
            </w:pPr>
            <w:r>
              <w:t>1</w:t>
            </w:r>
          </w:p>
        </w:tc>
      </w:tr>
    </w:tbl>
    <w:p w14:paraId="24DB7E4F" w14:textId="77777777" w:rsidR="005A0835" w:rsidRDefault="005A0835" w:rsidP="005A0835">
      <w:pPr>
        <w:pStyle w:val="Heading2"/>
        <w:rPr>
          <w:b w:val="0"/>
          <w:bCs/>
        </w:rPr>
      </w:pPr>
    </w:p>
    <w:p w14:paraId="0462F63F" w14:textId="3B221063" w:rsidR="005A0835" w:rsidRPr="005A0835" w:rsidRDefault="005A0835" w:rsidP="005A0835">
      <w:pPr>
        <w:pStyle w:val="Heading2"/>
        <w:rPr>
          <w:b w:val="0"/>
          <w:bCs/>
        </w:rPr>
      </w:pPr>
      <w:r>
        <w:rPr>
          <w:b w:val="0"/>
          <w:bCs/>
        </w:rPr>
        <w:t>The table below details the associated casualties for each RTC:</w:t>
      </w:r>
    </w:p>
    <w:tbl>
      <w:tblPr>
        <w:tblStyle w:val="TableGrid"/>
        <w:tblW w:w="9932" w:type="dxa"/>
        <w:tblLook w:val="04A0" w:firstRow="1" w:lastRow="0" w:firstColumn="1" w:lastColumn="0" w:noHBand="0" w:noVBand="1"/>
      </w:tblPr>
      <w:tblGrid>
        <w:gridCol w:w="2337"/>
        <w:gridCol w:w="1899"/>
        <w:gridCol w:w="1898"/>
        <w:gridCol w:w="1899"/>
        <w:gridCol w:w="1899"/>
      </w:tblGrid>
      <w:tr w:rsidR="005A0835" w:rsidRPr="00557306" w14:paraId="3F385F33" w14:textId="77777777" w:rsidTr="0019786B">
        <w:trPr>
          <w:tblHeader/>
        </w:trPr>
        <w:tc>
          <w:tcPr>
            <w:tcW w:w="2337" w:type="dxa"/>
            <w:shd w:val="clear" w:color="auto" w:fill="D9D9D9" w:themeFill="background1" w:themeFillShade="D9"/>
          </w:tcPr>
          <w:p w14:paraId="638D8F19" w14:textId="53D45C11" w:rsidR="005A0835" w:rsidRPr="00557306" w:rsidRDefault="001A688D" w:rsidP="0019786B">
            <w:pPr>
              <w:spacing w:line="240" w:lineRule="auto"/>
              <w:rPr>
                <w:b/>
              </w:rPr>
            </w:pPr>
            <w:r>
              <w:rPr>
                <w:b/>
              </w:rPr>
              <w:t>Casualty</w:t>
            </w:r>
            <w:r w:rsidR="005A0835">
              <w:rPr>
                <w:b/>
              </w:rPr>
              <w:t xml:space="preserve"> severity</w:t>
            </w:r>
          </w:p>
        </w:tc>
        <w:tc>
          <w:tcPr>
            <w:tcW w:w="1899" w:type="dxa"/>
            <w:shd w:val="clear" w:color="auto" w:fill="D9D9D9" w:themeFill="background1" w:themeFillShade="D9"/>
          </w:tcPr>
          <w:p w14:paraId="48B7A579" w14:textId="77777777" w:rsidR="005A0835" w:rsidRPr="00557306" w:rsidRDefault="005A0835" w:rsidP="0019786B">
            <w:pPr>
              <w:spacing w:line="240" w:lineRule="auto"/>
              <w:rPr>
                <w:b/>
              </w:rPr>
            </w:pPr>
            <w:r>
              <w:rPr>
                <w:b/>
              </w:rPr>
              <w:t>2012</w:t>
            </w:r>
          </w:p>
        </w:tc>
        <w:tc>
          <w:tcPr>
            <w:tcW w:w="1898" w:type="dxa"/>
            <w:shd w:val="clear" w:color="auto" w:fill="D9D9D9" w:themeFill="background1" w:themeFillShade="D9"/>
          </w:tcPr>
          <w:p w14:paraId="4853E24E" w14:textId="77777777" w:rsidR="005A0835" w:rsidRPr="00557306" w:rsidRDefault="005A0835" w:rsidP="0019786B">
            <w:pPr>
              <w:spacing w:line="240" w:lineRule="auto"/>
              <w:rPr>
                <w:b/>
              </w:rPr>
            </w:pPr>
            <w:r>
              <w:rPr>
                <w:b/>
              </w:rPr>
              <w:t>2013</w:t>
            </w:r>
          </w:p>
        </w:tc>
        <w:tc>
          <w:tcPr>
            <w:tcW w:w="1899" w:type="dxa"/>
            <w:shd w:val="clear" w:color="auto" w:fill="D9D9D9" w:themeFill="background1" w:themeFillShade="D9"/>
          </w:tcPr>
          <w:p w14:paraId="551DB1E3" w14:textId="77777777" w:rsidR="005A0835" w:rsidRPr="00557306" w:rsidRDefault="005A0835" w:rsidP="0019786B">
            <w:pPr>
              <w:spacing w:line="240" w:lineRule="auto"/>
              <w:rPr>
                <w:b/>
              </w:rPr>
            </w:pPr>
            <w:r>
              <w:rPr>
                <w:b/>
              </w:rPr>
              <w:t>2014</w:t>
            </w:r>
          </w:p>
        </w:tc>
        <w:tc>
          <w:tcPr>
            <w:tcW w:w="1899" w:type="dxa"/>
            <w:shd w:val="clear" w:color="auto" w:fill="D9D9D9" w:themeFill="background1" w:themeFillShade="D9"/>
          </w:tcPr>
          <w:p w14:paraId="6F3E2C5A" w14:textId="77777777" w:rsidR="005A0835" w:rsidRPr="00557306" w:rsidRDefault="005A0835" w:rsidP="0019786B">
            <w:pPr>
              <w:spacing w:line="240" w:lineRule="auto"/>
              <w:rPr>
                <w:b/>
              </w:rPr>
            </w:pPr>
            <w:r>
              <w:rPr>
                <w:b/>
              </w:rPr>
              <w:t>2016</w:t>
            </w:r>
          </w:p>
        </w:tc>
      </w:tr>
      <w:tr w:rsidR="005A0835" w14:paraId="6FDAE221" w14:textId="77777777" w:rsidTr="0019786B">
        <w:tc>
          <w:tcPr>
            <w:tcW w:w="2337" w:type="dxa"/>
          </w:tcPr>
          <w:p w14:paraId="70A8ED95" w14:textId="77777777" w:rsidR="005A0835" w:rsidRDefault="005A0835" w:rsidP="0019786B">
            <w:pPr>
              <w:tabs>
                <w:tab w:val="left" w:pos="5400"/>
              </w:tabs>
              <w:spacing w:line="240" w:lineRule="auto"/>
            </w:pPr>
            <w:r>
              <w:t>Slight</w:t>
            </w:r>
          </w:p>
        </w:tc>
        <w:tc>
          <w:tcPr>
            <w:tcW w:w="1899" w:type="dxa"/>
          </w:tcPr>
          <w:p w14:paraId="1BAF66F7" w14:textId="77777777" w:rsidR="005A0835" w:rsidRDefault="005A0835" w:rsidP="0019786B">
            <w:pPr>
              <w:tabs>
                <w:tab w:val="left" w:pos="5400"/>
              </w:tabs>
              <w:spacing w:line="240" w:lineRule="auto"/>
            </w:pPr>
            <w:r>
              <w:t>1</w:t>
            </w:r>
          </w:p>
        </w:tc>
        <w:tc>
          <w:tcPr>
            <w:tcW w:w="1898" w:type="dxa"/>
          </w:tcPr>
          <w:p w14:paraId="330DD2B2" w14:textId="77777777" w:rsidR="005A0835" w:rsidRDefault="005A0835" w:rsidP="0019786B">
            <w:pPr>
              <w:tabs>
                <w:tab w:val="left" w:pos="5400"/>
              </w:tabs>
              <w:spacing w:line="240" w:lineRule="auto"/>
            </w:pPr>
            <w:r>
              <w:t>2</w:t>
            </w:r>
          </w:p>
        </w:tc>
        <w:tc>
          <w:tcPr>
            <w:tcW w:w="1899" w:type="dxa"/>
          </w:tcPr>
          <w:p w14:paraId="3458BCA6" w14:textId="77777777" w:rsidR="005A0835" w:rsidRDefault="005A0835" w:rsidP="0019786B">
            <w:pPr>
              <w:tabs>
                <w:tab w:val="left" w:pos="5400"/>
              </w:tabs>
              <w:spacing w:line="240" w:lineRule="auto"/>
            </w:pPr>
            <w:r>
              <w:t>1</w:t>
            </w:r>
          </w:p>
        </w:tc>
        <w:tc>
          <w:tcPr>
            <w:tcW w:w="1899" w:type="dxa"/>
          </w:tcPr>
          <w:p w14:paraId="4B49F8CE" w14:textId="77777777" w:rsidR="005A0835" w:rsidRDefault="005A0835" w:rsidP="0019786B">
            <w:pPr>
              <w:tabs>
                <w:tab w:val="left" w:pos="5400"/>
              </w:tabs>
              <w:spacing w:line="240" w:lineRule="auto"/>
            </w:pPr>
            <w:r>
              <w:t>1</w:t>
            </w:r>
          </w:p>
        </w:tc>
      </w:tr>
    </w:tbl>
    <w:p w14:paraId="2B14A06C" w14:textId="16B8B5CE" w:rsidR="005A0835" w:rsidRDefault="005A0835" w:rsidP="005A0835">
      <w:r w:rsidRPr="00750384">
        <w:t xml:space="preserve">All statistics are provisional and should be treated as management information. </w:t>
      </w:r>
      <w:r>
        <w:br/>
        <w:t xml:space="preserve">Data was </w:t>
      </w:r>
      <w:r w:rsidRPr="00750384">
        <w:t>extracted from Police Scotland systems and are correct as of 13/08/2025</w:t>
      </w:r>
      <w:r>
        <w:br/>
      </w:r>
      <w:r w:rsidRPr="00750384">
        <w:t>Data excludes non-injury collisions as per standard operating procedure.</w:t>
      </w:r>
      <w:r>
        <w:br/>
      </w:r>
      <w:r w:rsidRPr="00750384">
        <w:t>A 50 metre buffer was placed on the selected area(s) to return relevant records</w:t>
      </w:r>
      <w:r>
        <w:br/>
        <w:t>Following implementation</w:t>
      </w:r>
      <w:r w:rsidRPr="00EA62FF">
        <w:t xml:space="preserve"> within D Division</w:t>
      </w:r>
      <w:r>
        <w:t xml:space="preserve"> on </w:t>
      </w:r>
      <w:r w:rsidRPr="00EA62FF">
        <w:t>12 June 2019</w:t>
      </w:r>
      <w:r>
        <w:t xml:space="preserve">, </w:t>
      </w:r>
      <w:r w:rsidRPr="00EA62FF">
        <w:t xml:space="preserve">CRaSH was implemented across </w:t>
      </w:r>
      <w:r>
        <w:t>all</w:t>
      </w:r>
      <w:r w:rsidRPr="00EA62FF">
        <w:t xml:space="preserve"> other Divisions</w:t>
      </w:r>
      <w:r w:rsidRPr="003C5C27">
        <w:t xml:space="preserve"> </w:t>
      </w:r>
      <w:r>
        <w:t>o</w:t>
      </w:r>
      <w:r w:rsidRPr="00EA62FF">
        <w:t>n 3 July 2019</w:t>
      </w:r>
      <w:r>
        <w:t>, rep</w:t>
      </w:r>
      <w:r w:rsidRPr="00EA62FF">
        <w:t>lac</w:t>
      </w:r>
      <w:r>
        <w:t>ing</w:t>
      </w:r>
      <w:r w:rsidRPr="00EA62FF">
        <w:t xml:space="preserve"> the existing </w:t>
      </w:r>
      <w:r>
        <w:t xml:space="preserve">RTC recording </w:t>
      </w:r>
      <w:r w:rsidRPr="00EA62FF">
        <w:t>procedures</w:t>
      </w:r>
      <w:r>
        <w:t>.</w:t>
      </w:r>
      <w:r>
        <w:br/>
        <w:t>D</w:t>
      </w:r>
      <w:r w:rsidRPr="00750384">
        <w:t>ata is subject to change and will be updated on the next extract of data from CRaSH on 3rd September 2025.</w:t>
      </w:r>
    </w:p>
    <w:p w14:paraId="2D91DA20" w14:textId="77777777" w:rsidR="005A0835" w:rsidRPr="00B11A55" w:rsidRDefault="005A0835"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4D95F1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6B6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DB31BB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6B6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20CDFC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6B6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D504D3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6B6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167664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6B6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D789EF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6B6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B05B8"/>
    <w:multiLevelType w:val="multilevel"/>
    <w:tmpl w:val="0610D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9C223DD"/>
    <w:multiLevelType w:val="hybridMultilevel"/>
    <w:tmpl w:val="66FAE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710715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9117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A688D"/>
    <w:rsid w:val="001B51CC"/>
    <w:rsid w:val="001F2261"/>
    <w:rsid w:val="00207326"/>
    <w:rsid w:val="00253DF6"/>
    <w:rsid w:val="00255F1E"/>
    <w:rsid w:val="00302EA9"/>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A0835"/>
    <w:rsid w:val="00645CFA"/>
    <w:rsid w:val="00685219"/>
    <w:rsid w:val="006D5799"/>
    <w:rsid w:val="006F24D1"/>
    <w:rsid w:val="007440EA"/>
    <w:rsid w:val="00750384"/>
    <w:rsid w:val="00750D83"/>
    <w:rsid w:val="00785DBC"/>
    <w:rsid w:val="00793DD5"/>
    <w:rsid w:val="007D55F6"/>
    <w:rsid w:val="007F490F"/>
    <w:rsid w:val="0086779C"/>
    <w:rsid w:val="00874BFD"/>
    <w:rsid w:val="008964EF"/>
    <w:rsid w:val="00901AAE"/>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86C83"/>
    <w:rsid w:val="00BC389E"/>
    <w:rsid w:val="00BE1888"/>
    <w:rsid w:val="00BF6B81"/>
    <w:rsid w:val="00C01549"/>
    <w:rsid w:val="00C06B6D"/>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2850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0e32d40b-a8f5-4c24-a46b-b72b5f0b9b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375</Words>
  <Characters>2141</Characters>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2025-08-20T14:36:00Z</cp:lastPrinted>
  <dcterms:created xsi:type="dcterms:W3CDTF">2025-08-20T09:56:00Z</dcterms:created>
  <dcterms:modified xsi:type="dcterms:W3CDTF">2025-08-20T14:36:00Z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