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60189E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B4D64">
              <w:t>2101</w:t>
            </w:r>
          </w:p>
          <w:p w14:paraId="5979BB04" w14:textId="16C164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31BF">
              <w:t>14</w:t>
            </w:r>
            <w:r w:rsidR="00F231BF" w:rsidRPr="00F231BF">
              <w:rPr>
                <w:vertAlign w:val="superscript"/>
              </w:rPr>
              <w:t>th</w:t>
            </w:r>
            <w:r w:rsidR="00F231BF">
              <w:t xml:space="preserve"> September</w:t>
            </w:r>
            <w:r>
              <w:t xml:space="preserve"> 2023</w:t>
            </w:r>
          </w:p>
        </w:tc>
      </w:tr>
    </w:tbl>
    <w:p w14:paraId="1331031A" w14:textId="794C0FD9" w:rsidR="00793DD5" w:rsidRDefault="00793DD5" w:rsidP="0036503B">
      <w:pPr>
        <w:rPr>
          <w:b/>
        </w:rPr>
      </w:pPr>
      <w:r w:rsidRPr="00793DD5">
        <w:t xml:space="preserve">Your recent </w:t>
      </w:r>
      <w:r w:rsidR="008B4D64">
        <w:t xml:space="preserve">clarified </w:t>
      </w:r>
      <w:r w:rsidRPr="00793DD5">
        <w:t xml:space="preserve">request for information is replicated below, together with </w:t>
      </w:r>
      <w:r w:rsidR="004341F0">
        <w:t>our</w:t>
      </w:r>
      <w:r w:rsidRPr="00793DD5">
        <w:t xml:space="preserve"> response.</w:t>
      </w:r>
    </w:p>
    <w:p w14:paraId="3D6782A8" w14:textId="7DAF17DD" w:rsidR="008B4D64" w:rsidRPr="008B4D64" w:rsidRDefault="008B4D64" w:rsidP="008B4D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bCs/>
          <w:color w:val="000000" w:themeColor="text1"/>
          <w:szCs w:val="26"/>
        </w:rPr>
        <w:t>I</w:t>
      </w:r>
      <w:r w:rsidRPr="008B4D64">
        <w:rPr>
          <w:rFonts w:eastAsiaTheme="majorEastAsia" w:cstheme="majorBidi"/>
          <w:b/>
          <w:bCs/>
          <w:color w:val="000000" w:themeColor="text1"/>
          <w:szCs w:val="26"/>
        </w:rPr>
        <w:t xml:space="preserve">n each year 18/19, 19/20, 20/21, 21/22 and 22/23 how many </w:t>
      </w:r>
      <w:r>
        <w:rPr>
          <w:rFonts w:eastAsiaTheme="majorEastAsia" w:cstheme="majorBidi"/>
          <w:b/>
          <w:bCs/>
          <w:color w:val="000000" w:themeColor="text1"/>
          <w:szCs w:val="26"/>
        </w:rPr>
        <w:t>Complaints Against the Police</w:t>
      </w:r>
      <w:r w:rsidRPr="008B4D64">
        <w:rPr>
          <w:rFonts w:eastAsiaTheme="majorEastAsia" w:cstheme="majorBidi"/>
          <w:b/>
          <w:bCs/>
          <w:color w:val="000000" w:themeColor="text1"/>
          <w:szCs w:val="26"/>
        </w:rPr>
        <w:t xml:space="preserve"> against officers and staff were appended with a ‘sexual circumstance’ marker.</w:t>
      </w:r>
      <w:r>
        <w:rPr>
          <w:rFonts w:eastAsiaTheme="majorEastAsia" w:cstheme="majorBidi"/>
          <w:b/>
          <w:bCs/>
          <w:color w:val="000000" w:themeColor="text1"/>
          <w:szCs w:val="26"/>
        </w:rPr>
        <w:t xml:space="preserve">  </w:t>
      </w:r>
      <w:r w:rsidRPr="008B4D64">
        <w:rPr>
          <w:rFonts w:eastAsiaTheme="majorEastAsia" w:cstheme="majorBidi"/>
          <w:b/>
          <w:bCs/>
          <w:color w:val="000000" w:themeColor="text1"/>
          <w:szCs w:val="26"/>
        </w:rPr>
        <w:t>Please also provide a breakdown of the outcomes.</w:t>
      </w:r>
    </w:p>
    <w:p w14:paraId="44AFBC61" w14:textId="45B0A044" w:rsidR="008B4D64" w:rsidRDefault="008B4D64" w:rsidP="008B4D64">
      <w:pPr>
        <w:tabs>
          <w:tab w:val="left" w:pos="5400"/>
        </w:tabs>
      </w:pPr>
      <w:r w:rsidRPr="008B4D64">
        <w:t xml:space="preserve">To provide some context to our response, it may be helpful to outline how the complaints and conduct processes operate in Scotland. </w:t>
      </w:r>
    </w:p>
    <w:p w14:paraId="073A7578" w14:textId="73087CCD" w:rsidR="00F82696" w:rsidRPr="007943B4" w:rsidRDefault="00F82696" w:rsidP="007943B4">
      <w:r w:rsidRPr="007943B4">
        <w:t xml:space="preserve">The Police Scotland </w:t>
      </w:r>
      <w:hyperlink r:id="rId8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</w:t>
      </w:r>
    </w:p>
    <w:p w14:paraId="75E87383" w14:textId="3409044A" w:rsidR="008B4D64" w:rsidRPr="008B4D64" w:rsidRDefault="008B4D64" w:rsidP="008B4D64">
      <w:pPr>
        <w:tabs>
          <w:tab w:val="left" w:pos="5400"/>
        </w:tabs>
      </w:pPr>
      <w:r w:rsidRPr="008B4D64">
        <w:t>The complaint and conduct process</w:t>
      </w:r>
      <w:r>
        <w:t>es</w:t>
      </w:r>
      <w:r w:rsidRPr="008B4D64">
        <w:t xml:space="preserve"> are distinct and both have separate assessment and recording processes within the Professional Standards Department (PSD) database. </w:t>
      </w:r>
    </w:p>
    <w:p w14:paraId="479210BE" w14:textId="2EEFC4C1" w:rsidR="008B4D64" w:rsidRPr="008B4D64" w:rsidRDefault="008B4D64" w:rsidP="008B4D64">
      <w:pPr>
        <w:tabs>
          <w:tab w:val="left" w:pos="5400"/>
        </w:tabs>
      </w:pPr>
      <w:r w:rsidRPr="008B4D64">
        <w:t xml:space="preserve">Once complaint matters are concluded, the circumstances </w:t>
      </w:r>
      <w:r w:rsidRPr="008B4D64">
        <w:rPr>
          <w:i/>
          <w:iCs/>
        </w:rPr>
        <w:t>may</w:t>
      </w:r>
      <w:r w:rsidRPr="008B4D64">
        <w:t xml:space="preserve"> be referred for a Conduct Assessment (not necessarily every aspect of the complaint, or every officer involved. There is therefore potential for the same officer/</w:t>
      </w:r>
      <w:r>
        <w:t xml:space="preserve"> </w:t>
      </w:r>
      <w:r w:rsidRPr="008B4D64">
        <w:t xml:space="preserve">circumstances to appear on a complaint case and a conduct case. Due to these processes, complaint and conduct </w:t>
      </w:r>
      <w:r w:rsidR="005D0F46">
        <w:t>data</w:t>
      </w:r>
      <w:r w:rsidRPr="008B4D64">
        <w:t xml:space="preserve"> cannot simply be added together. </w:t>
      </w:r>
    </w:p>
    <w:p w14:paraId="12B8CB83" w14:textId="08E38A92" w:rsidR="008B4D64" w:rsidRPr="008B4D64" w:rsidRDefault="008B4D64" w:rsidP="008B4D64">
      <w:pPr>
        <w:tabs>
          <w:tab w:val="left" w:pos="5400"/>
        </w:tabs>
      </w:pPr>
      <w:r w:rsidRPr="008B4D64">
        <w:t xml:space="preserve">There can be one or more allegations contained within one complaint case and equally, there can be one or more subject officers relative to each allegation. </w:t>
      </w:r>
      <w:r>
        <w:t xml:space="preserve"> </w:t>
      </w:r>
      <w:r w:rsidRPr="008B4D64">
        <w:t>Therefore, the number of allegations may vary from the number of cases.  </w:t>
      </w:r>
    </w:p>
    <w:p w14:paraId="16FE005F" w14:textId="77777777" w:rsidR="008B4D64" w:rsidRDefault="008B4D64" w:rsidP="008B4D64">
      <w:pPr>
        <w:tabs>
          <w:tab w:val="left" w:pos="5400"/>
        </w:tabs>
      </w:pPr>
      <w:r w:rsidRPr="008B4D64">
        <w:t xml:space="preserve">Data has been provided below in relation to Police officers and Police Staff linked to allegations involving a sexual circumstance, attached to complaints received between 01/04/2018 </w:t>
      </w:r>
      <w:r>
        <w:t>and</w:t>
      </w:r>
      <w:r w:rsidRPr="008B4D64">
        <w:t xml:space="preserve"> 31/03/2023 inclusive. </w:t>
      </w:r>
    </w:p>
    <w:p w14:paraId="3BF2FDFA" w14:textId="67BBB651" w:rsidR="008B4D64" w:rsidRPr="008B4D64" w:rsidRDefault="008B4D64" w:rsidP="008B4D64">
      <w:pPr>
        <w:tabs>
          <w:tab w:val="left" w:pos="5400"/>
        </w:tabs>
      </w:pPr>
      <w:r w:rsidRPr="008B4D64">
        <w:t>Please note that allegations involving a sexual circumstance may be criminal or non-criminal in nature</w:t>
      </w:r>
      <w:r>
        <w:t xml:space="preserve"> and </w:t>
      </w:r>
      <w:r w:rsidRPr="008B4D64">
        <w:t>allegations received may remain subject to live enquiries and/</w:t>
      </w:r>
      <w:r>
        <w:t xml:space="preserve"> </w:t>
      </w:r>
      <w:r w:rsidRPr="008B4D64">
        <w:t xml:space="preserve">or ongoing legal proceedings, therefore may not yet be concluded. </w:t>
      </w:r>
    </w:p>
    <w:p w14:paraId="2A3E63D7" w14:textId="0CEA4AF8" w:rsidR="008B4D64" w:rsidRPr="008B4D64" w:rsidRDefault="008B4D64" w:rsidP="008B4D64">
      <w:pPr>
        <w:tabs>
          <w:tab w:val="left" w:pos="5400"/>
        </w:tabs>
        <w:rPr>
          <w:i/>
          <w:iCs/>
          <w:vertAlign w:val="superscript"/>
        </w:rPr>
      </w:pPr>
      <w:r w:rsidRPr="008B4D64">
        <w:rPr>
          <w:i/>
          <w:iCs/>
        </w:rPr>
        <w:lastRenderedPageBreak/>
        <w:t xml:space="preserve">Cases and allegations involving a sexual circumstance (Complaints), by category and financial year </w:t>
      </w:r>
      <w:r w:rsidRPr="008B4D64">
        <w:rPr>
          <w:i/>
          <w:iCs/>
          <w:vertAlign w:val="superscript"/>
        </w:rPr>
        <w:t xml:space="preserve">1 2 </w:t>
      </w:r>
    </w:p>
    <w:tbl>
      <w:tblPr>
        <w:tblW w:w="831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1084"/>
        <w:gridCol w:w="1084"/>
        <w:gridCol w:w="1084"/>
        <w:gridCol w:w="1084"/>
        <w:gridCol w:w="1084"/>
      </w:tblGrid>
      <w:tr w:rsidR="008B4D64" w:rsidRPr="008B4D64" w14:paraId="673B6F50" w14:textId="77777777" w:rsidTr="008B4D64">
        <w:trPr>
          <w:trHeight w:val="315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8FCF5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Category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D1247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2018/19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30E60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2019/20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B57E3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2020/21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75F3A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2021/22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D2403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2022/23</w:t>
            </w:r>
          </w:p>
        </w:tc>
      </w:tr>
      <w:tr w:rsidR="008B4D64" w:rsidRPr="008B4D64" w14:paraId="0C1B1B8A" w14:textId="77777777" w:rsidTr="008B4D64">
        <w:trPr>
          <w:trHeight w:val="315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A434D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Number of cases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4C8BF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63741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299B9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01145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34D58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26</w:t>
            </w:r>
          </w:p>
        </w:tc>
      </w:tr>
      <w:tr w:rsidR="008B4D64" w:rsidRPr="008B4D64" w14:paraId="6D009BE6" w14:textId="77777777" w:rsidTr="008B4D64">
        <w:trPr>
          <w:trHeight w:val="315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C2633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Number of allegations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21453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2648E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88277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1D1D8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C114D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28</w:t>
            </w:r>
          </w:p>
        </w:tc>
      </w:tr>
    </w:tbl>
    <w:p w14:paraId="0B978EE8" w14:textId="6E9A8439" w:rsidR="008B4D64" w:rsidRPr="008B4D64" w:rsidRDefault="008B4D64" w:rsidP="008B4D64">
      <w:pPr>
        <w:tabs>
          <w:tab w:val="left" w:pos="5400"/>
        </w:tabs>
        <w:rPr>
          <w:i/>
          <w:iCs/>
          <w:sz w:val="20"/>
          <w:szCs w:val="20"/>
        </w:rPr>
      </w:pPr>
      <w:r w:rsidRPr="008B4D64">
        <w:rPr>
          <w:i/>
          <w:iCs/>
          <w:sz w:val="20"/>
          <w:szCs w:val="20"/>
        </w:rPr>
        <w:t xml:space="preserve">1 Data is based on the case received date. </w:t>
      </w:r>
      <w:r w:rsidRPr="008B4D64">
        <w:rPr>
          <w:i/>
          <w:iCs/>
          <w:sz w:val="20"/>
          <w:szCs w:val="20"/>
        </w:rPr>
        <w:br/>
        <w:t>2 Each case may involve multiple allegations. Therefore, the number of allegations may vary from the number of cases.</w:t>
      </w:r>
    </w:p>
    <w:p w14:paraId="7C60E2F5" w14:textId="77777777" w:rsidR="008B4D64" w:rsidRDefault="008B4D64" w:rsidP="008B4D64">
      <w:pPr>
        <w:tabs>
          <w:tab w:val="left" w:pos="5400"/>
        </w:tabs>
        <w:rPr>
          <w:i/>
          <w:iCs/>
        </w:rPr>
      </w:pPr>
    </w:p>
    <w:p w14:paraId="0D1001E8" w14:textId="58F64FD1" w:rsidR="008B4D64" w:rsidRPr="008B4D64" w:rsidRDefault="008B4D64" w:rsidP="008B4D64">
      <w:pPr>
        <w:tabs>
          <w:tab w:val="left" w:pos="5400"/>
        </w:tabs>
        <w:rPr>
          <w:i/>
          <w:iCs/>
          <w:vertAlign w:val="superscript"/>
        </w:rPr>
      </w:pPr>
      <w:r w:rsidRPr="008B4D64">
        <w:rPr>
          <w:i/>
          <w:iCs/>
        </w:rPr>
        <w:t xml:space="preserve">Allegations involving a sexual circumstance linked (Complaints), by allegation result and financial year </w:t>
      </w:r>
      <w:r w:rsidRPr="008B4D64">
        <w:rPr>
          <w:i/>
          <w:iCs/>
          <w:vertAlign w:val="superscript"/>
        </w:rPr>
        <w:t xml:space="preserve">1 2 </w:t>
      </w:r>
    </w:p>
    <w:tbl>
      <w:tblPr>
        <w:tblW w:w="955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817"/>
        <w:gridCol w:w="860"/>
        <w:gridCol w:w="855"/>
        <w:gridCol w:w="850"/>
        <w:gridCol w:w="851"/>
      </w:tblGrid>
      <w:tr w:rsidR="008B4D64" w:rsidRPr="008B4D64" w14:paraId="00DF68AE" w14:textId="77777777" w:rsidTr="008B4D64">
        <w:trPr>
          <w:trHeight w:val="315"/>
        </w:trPr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5D1B0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Allegation result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A0D73" w14:textId="0AA0A9D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18/19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2DDAD" w14:textId="308257C9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19/20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F1B13" w14:textId="5755E8F1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20/21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E90F3" w14:textId="6A90EFB0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21/22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BAD98" w14:textId="02F75A98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22/23</w:t>
            </w:r>
          </w:p>
        </w:tc>
      </w:tr>
      <w:tr w:rsidR="008B4D64" w:rsidRPr="008B4D64" w14:paraId="06582677" w14:textId="77777777" w:rsidTr="008B4D64">
        <w:trPr>
          <w:trHeight w:val="315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F8121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Abandoned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97F04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AB25A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90C85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244C1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44C19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3</w:t>
            </w:r>
          </w:p>
        </w:tc>
      </w:tr>
      <w:tr w:rsidR="008B4D64" w:rsidRPr="008B4D64" w14:paraId="42B2DA7A" w14:textId="77777777" w:rsidTr="008B4D64">
        <w:trPr>
          <w:trHeight w:val="315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84C5D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Not Upheld - Concluded by explanation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68145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A2D14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01926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1D28C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7158F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7</w:t>
            </w:r>
          </w:p>
        </w:tc>
      </w:tr>
      <w:tr w:rsidR="008B4D64" w:rsidRPr="008B4D64" w14:paraId="46C197D0" w14:textId="77777777" w:rsidTr="008B4D64">
        <w:trPr>
          <w:trHeight w:val="315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457C1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Not Upheld - Insufficient evidence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7745C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7C0D1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CF223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1E4E1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68679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</w:tr>
      <w:tr w:rsidR="008B4D64" w:rsidRPr="008B4D64" w14:paraId="0CCD5BA4" w14:textId="77777777" w:rsidTr="008B4D64">
        <w:trPr>
          <w:trHeight w:val="315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9E7D3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Not upheld - Leading to No Proceedings by APF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F344A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5BBEB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719AF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13D64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D17F8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5</w:t>
            </w:r>
          </w:p>
        </w:tc>
      </w:tr>
      <w:tr w:rsidR="008B4D64" w:rsidRPr="008B4D64" w14:paraId="1EE2FF66" w14:textId="77777777" w:rsidTr="008B4D64">
        <w:trPr>
          <w:trHeight w:val="315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14E30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Not Upheld - Malicious complaint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15657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A0558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BF495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2DC62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D76CA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</w:t>
            </w:r>
          </w:p>
        </w:tc>
      </w:tr>
      <w:tr w:rsidR="008B4D64" w:rsidRPr="008B4D64" w14:paraId="2CFA2101" w14:textId="77777777" w:rsidTr="008B4D64">
        <w:trPr>
          <w:trHeight w:val="315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CA1A2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Upheld - Concluded by explanation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17275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0CB99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F5EF0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9D30F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2D74B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</w:t>
            </w:r>
          </w:p>
        </w:tc>
      </w:tr>
      <w:tr w:rsidR="008B4D64" w:rsidRPr="008B4D64" w14:paraId="76FAD07B" w14:textId="77777777" w:rsidTr="008B4D64">
        <w:trPr>
          <w:trHeight w:val="315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0E527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Upheld - Leading to misconduct disposal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3CF13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BF7CD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E3C86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4E4B4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6A954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</w:tr>
      <w:tr w:rsidR="008B4D64" w:rsidRPr="008B4D64" w14:paraId="7E461DD9" w14:textId="77777777" w:rsidTr="008B4D64">
        <w:trPr>
          <w:trHeight w:val="315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CFE24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Withdrawn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E5D81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60111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3D5E5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1A188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EDB76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</w:t>
            </w:r>
          </w:p>
        </w:tc>
      </w:tr>
      <w:tr w:rsidR="008B4D64" w:rsidRPr="008B4D64" w14:paraId="39865DF3" w14:textId="77777777" w:rsidTr="008B4D64">
        <w:trPr>
          <w:trHeight w:val="315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401D2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Ongoing - not yet concluded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6B605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1CAC4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C78B9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041E7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CF596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</w:pPr>
            <w:r w:rsidRPr="008B4D64">
              <w:t>9</w:t>
            </w:r>
          </w:p>
        </w:tc>
      </w:tr>
      <w:tr w:rsidR="008B4D64" w:rsidRPr="008B4D64" w14:paraId="1D925D10" w14:textId="77777777" w:rsidTr="008B4D64">
        <w:trPr>
          <w:trHeight w:val="315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F0C37" w14:textId="5A205D06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Total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48B20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A08E5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3EA7E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7D18B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E9F4E" w14:textId="77777777" w:rsidR="008B4D64" w:rsidRPr="008B4D64" w:rsidRDefault="008B4D64" w:rsidP="008B4D64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B4D64">
              <w:rPr>
                <w:b/>
                <w:bCs/>
              </w:rPr>
              <w:t>28</w:t>
            </w:r>
          </w:p>
        </w:tc>
      </w:tr>
    </w:tbl>
    <w:p w14:paraId="299D5078" w14:textId="3F5DB488" w:rsidR="008B4D64" w:rsidRPr="008B4D64" w:rsidRDefault="008B4D64" w:rsidP="008B4D64">
      <w:pPr>
        <w:tabs>
          <w:tab w:val="left" w:pos="5400"/>
        </w:tabs>
        <w:rPr>
          <w:i/>
          <w:iCs/>
          <w:sz w:val="20"/>
          <w:szCs w:val="20"/>
        </w:rPr>
      </w:pPr>
      <w:r w:rsidRPr="008B4D64">
        <w:rPr>
          <w:i/>
          <w:iCs/>
          <w:sz w:val="20"/>
          <w:szCs w:val="20"/>
        </w:rPr>
        <w:t xml:space="preserve">1 Data is based on the case received date. </w:t>
      </w:r>
      <w:r>
        <w:rPr>
          <w:i/>
          <w:iCs/>
          <w:sz w:val="20"/>
          <w:szCs w:val="20"/>
        </w:rPr>
        <w:br/>
      </w:r>
      <w:r w:rsidRPr="008B4D64">
        <w:rPr>
          <w:i/>
          <w:iCs/>
          <w:sz w:val="20"/>
          <w:szCs w:val="20"/>
        </w:rPr>
        <w:t>2 Allegations received may remain subject to live enquiries and/or ongoing legal proceedings, therefore may not yet be concluded.</w:t>
      </w:r>
    </w:p>
    <w:p w14:paraId="1324C5AB" w14:textId="77777777" w:rsidR="008B4D64" w:rsidRPr="008B4D64" w:rsidRDefault="008B4D64" w:rsidP="008B4D64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B98BF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23F88D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01C397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044C8D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12BEE9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45264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0F46"/>
    <w:rsid w:val="006D5799"/>
    <w:rsid w:val="00750D83"/>
    <w:rsid w:val="00793DD5"/>
    <w:rsid w:val="007D55F6"/>
    <w:rsid w:val="007F490F"/>
    <w:rsid w:val="0086779C"/>
    <w:rsid w:val="00874BFD"/>
    <w:rsid w:val="00875529"/>
    <w:rsid w:val="008964EF"/>
    <w:rsid w:val="008B4D64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31BF"/>
    <w:rsid w:val="00F8269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gyddvsi/complaints-about-the-police-sop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646</Words>
  <Characters>3684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