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278BE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E3ED3">
              <w:t>0934</w:t>
            </w:r>
          </w:p>
          <w:p w14:paraId="34BDABA6" w14:textId="6693659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2A67">
              <w:t>22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D456FA" w14:textId="77777777" w:rsidR="007B16FB" w:rsidRPr="007B16FB" w:rsidRDefault="007B16FB" w:rsidP="007B16FB">
      <w:pPr>
        <w:pStyle w:val="Heading2"/>
        <w:rPr>
          <w:rFonts w:eastAsia="Times New Roman"/>
        </w:rPr>
      </w:pPr>
      <w:r w:rsidRPr="007B16FB">
        <w:rPr>
          <w:rFonts w:eastAsia="Times New Roman"/>
        </w:rPr>
        <w:t>The number of calls Police Scotland has received since 13 January 2025 with concerns in relation to anti-social behaviour, public disorder and needle disposal around the premises of the Thistle drug consumption facility based on 55 Hunter Street in Glasgow.</w:t>
      </w:r>
    </w:p>
    <w:p w14:paraId="2F85F002" w14:textId="4A1609E3" w:rsidR="002F00B0" w:rsidRDefault="002F00B0" w:rsidP="002F00B0">
      <w:pPr>
        <w:jc w:val="both"/>
      </w:pPr>
      <w:r>
        <w:t>The table below details recorded incidents for the period 13 January to 31 March 2025 in Hunter Street, Glasgow and the wider police beat area, BA18</w:t>
      </w:r>
      <w:r w:rsidR="008E7926">
        <w:t xml:space="preserve"> as outlined in the map below.</w:t>
      </w:r>
    </w:p>
    <w:p w14:paraId="168C7E71" w14:textId="331114F9" w:rsidR="008E7926" w:rsidRDefault="008E7926" w:rsidP="002F00B0">
      <w:pPr>
        <w:jc w:val="both"/>
      </w:pPr>
      <w:r w:rsidRPr="008E7926">
        <w:rPr>
          <w:noProof/>
        </w:rPr>
        <w:drawing>
          <wp:inline distT="0" distB="0" distL="0" distR="0" wp14:anchorId="315E55CC" wp14:editId="20AF0407">
            <wp:extent cx="2505075" cy="1780428"/>
            <wp:effectExtent l="0" t="0" r="0" b="0"/>
            <wp:docPr id="1340930954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30954" name="Picture 1" descr="A map of a city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3690" cy="178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18D3D" w14:textId="77777777" w:rsidR="002F00B0" w:rsidRDefault="002F00B0" w:rsidP="002F00B0">
      <w:pPr>
        <w:jc w:val="both"/>
      </w:pPr>
      <w:r>
        <w:t xml:space="preserve">Data has been provided by incident classification.  </w:t>
      </w:r>
    </w:p>
    <w:p w14:paraId="1A93A0C2" w14:textId="05090716" w:rsidR="002F00B0" w:rsidRDefault="002F00B0" w:rsidP="002F00B0">
      <w:pPr>
        <w:jc w:val="both"/>
      </w:pPr>
      <w:r>
        <w:t>Please note that we do not have a classification for ‘needle disposal’ specifically.</w:t>
      </w:r>
    </w:p>
    <w:tbl>
      <w:tblPr>
        <w:tblStyle w:val="TableGrid"/>
        <w:tblW w:w="7759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645"/>
        <w:gridCol w:w="2564"/>
        <w:gridCol w:w="1550"/>
      </w:tblGrid>
      <w:tr w:rsidR="002F00B0" w:rsidRPr="00557306" w14:paraId="177F089A" w14:textId="77777777" w:rsidTr="00850B71">
        <w:trPr>
          <w:tblHeader/>
        </w:trPr>
        <w:tc>
          <w:tcPr>
            <w:tcW w:w="3645" w:type="dxa"/>
            <w:shd w:val="clear" w:color="auto" w:fill="D9D9D9" w:themeFill="background1" w:themeFillShade="D9"/>
          </w:tcPr>
          <w:p w14:paraId="40553A8B" w14:textId="77777777" w:rsidR="002F00B0" w:rsidRPr="00557306" w:rsidRDefault="002F00B0" w:rsidP="00850B71">
            <w:pPr>
              <w:spacing w:line="240" w:lineRule="auto"/>
              <w:rPr>
                <w:b/>
              </w:rPr>
            </w:pPr>
            <w:r>
              <w:rPr>
                <w:b/>
              </w:rPr>
              <w:t>Incident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20B3BAB8" w14:textId="77777777" w:rsidR="002F00B0" w:rsidRPr="00557306" w:rsidRDefault="002F00B0" w:rsidP="00850B71">
            <w:pPr>
              <w:spacing w:line="240" w:lineRule="auto"/>
              <w:rPr>
                <w:b/>
              </w:rPr>
            </w:pPr>
            <w:r>
              <w:rPr>
                <w:b/>
              </w:rPr>
              <w:t>Hunter St, Glasgow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2A0EDE9D" w14:textId="77777777" w:rsidR="002F00B0" w:rsidRPr="00557306" w:rsidRDefault="002F00B0" w:rsidP="00850B71">
            <w:pPr>
              <w:spacing w:line="240" w:lineRule="auto"/>
              <w:rPr>
                <w:b/>
              </w:rPr>
            </w:pPr>
            <w:r>
              <w:rPr>
                <w:b/>
              </w:rPr>
              <w:t>Beat BA18</w:t>
            </w:r>
          </w:p>
        </w:tc>
      </w:tr>
      <w:tr w:rsidR="002F00B0" w14:paraId="4F406522" w14:textId="77777777" w:rsidTr="00850B71">
        <w:tc>
          <w:tcPr>
            <w:tcW w:w="3645" w:type="dxa"/>
          </w:tcPr>
          <w:p w14:paraId="7F79AE12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Intruder</w:t>
            </w:r>
          </w:p>
        </w:tc>
        <w:tc>
          <w:tcPr>
            <w:tcW w:w="2564" w:type="dxa"/>
          </w:tcPr>
          <w:p w14:paraId="7A17D63B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550" w:type="dxa"/>
          </w:tcPr>
          <w:p w14:paraId="7F8292A3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</w:tr>
      <w:tr w:rsidR="002F00B0" w14:paraId="20E6A3F7" w14:textId="77777777" w:rsidTr="00850B71">
        <w:tc>
          <w:tcPr>
            <w:tcW w:w="3645" w:type="dxa"/>
          </w:tcPr>
          <w:p w14:paraId="7474B52C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Public Nuisance</w:t>
            </w:r>
          </w:p>
        </w:tc>
        <w:tc>
          <w:tcPr>
            <w:tcW w:w="2564" w:type="dxa"/>
          </w:tcPr>
          <w:p w14:paraId="3C57416F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550" w:type="dxa"/>
          </w:tcPr>
          <w:p w14:paraId="7A762141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</w:tr>
      <w:tr w:rsidR="002F00B0" w14:paraId="4D74F330" w14:textId="77777777" w:rsidTr="00850B71">
        <w:tc>
          <w:tcPr>
            <w:tcW w:w="3645" w:type="dxa"/>
          </w:tcPr>
          <w:p w14:paraId="4B2CFD31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Drugs/substance misuse</w:t>
            </w:r>
          </w:p>
        </w:tc>
        <w:tc>
          <w:tcPr>
            <w:tcW w:w="2564" w:type="dxa"/>
          </w:tcPr>
          <w:p w14:paraId="17FA1F10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0" w:type="dxa"/>
          </w:tcPr>
          <w:p w14:paraId="71866F9E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13</w:t>
            </w:r>
          </w:p>
        </w:tc>
      </w:tr>
      <w:tr w:rsidR="002F00B0" w14:paraId="1DE12B60" w14:textId="77777777" w:rsidTr="00850B71">
        <w:tc>
          <w:tcPr>
            <w:tcW w:w="3645" w:type="dxa"/>
          </w:tcPr>
          <w:p w14:paraId="1AA25CC5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Disturbance</w:t>
            </w:r>
          </w:p>
        </w:tc>
        <w:tc>
          <w:tcPr>
            <w:tcW w:w="2564" w:type="dxa"/>
          </w:tcPr>
          <w:p w14:paraId="61CDAD5C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550" w:type="dxa"/>
          </w:tcPr>
          <w:p w14:paraId="2A807A50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</w:tr>
      <w:tr w:rsidR="002F00B0" w14:paraId="2FB76777" w14:textId="77777777" w:rsidTr="00850B71">
        <w:tc>
          <w:tcPr>
            <w:tcW w:w="3645" w:type="dxa"/>
          </w:tcPr>
          <w:p w14:paraId="6249D352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Noise</w:t>
            </w:r>
          </w:p>
        </w:tc>
        <w:tc>
          <w:tcPr>
            <w:tcW w:w="2564" w:type="dxa"/>
          </w:tcPr>
          <w:p w14:paraId="453CDBA3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0" w:type="dxa"/>
          </w:tcPr>
          <w:p w14:paraId="4AC2D6CE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</w:tr>
      <w:tr w:rsidR="002F00B0" w14:paraId="08710509" w14:textId="77777777" w:rsidTr="00850B71">
        <w:tc>
          <w:tcPr>
            <w:tcW w:w="3645" w:type="dxa"/>
          </w:tcPr>
          <w:p w14:paraId="2A0916C6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Neighbour dispute</w:t>
            </w:r>
          </w:p>
        </w:tc>
        <w:tc>
          <w:tcPr>
            <w:tcW w:w="2564" w:type="dxa"/>
          </w:tcPr>
          <w:p w14:paraId="39BB7BE7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0" w:type="dxa"/>
          </w:tcPr>
          <w:p w14:paraId="688D1BD1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</w:tr>
      <w:tr w:rsidR="002F00B0" w14:paraId="200EE602" w14:textId="77777777" w:rsidTr="00850B71">
        <w:tc>
          <w:tcPr>
            <w:tcW w:w="3645" w:type="dxa"/>
          </w:tcPr>
          <w:p w14:paraId="72DAD128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lastRenderedPageBreak/>
              <w:t>Hate Crime</w:t>
            </w:r>
          </w:p>
        </w:tc>
        <w:tc>
          <w:tcPr>
            <w:tcW w:w="2564" w:type="dxa"/>
          </w:tcPr>
          <w:p w14:paraId="4F96CFC9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0" w:type="dxa"/>
          </w:tcPr>
          <w:p w14:paraId="67AE2D5B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2F00B0" w14:paraId="155559CF" w14:textId="77777777" w:rsidTr="00850B71">
        <w:tc>
          <w:tcPr>
            <w:tcW w:w="3645" w:type="dxa"/>
          </w:tcPr>
          <w:p w14:paraId="769AAE6B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Abduction/ extortion/ sextortion</w:t>
            </w:r>
          </w:p>
        </w:tc>
        <w:tc>
          <w:tcPr>
            <w:tcW w:w="2564" w:type="dxa"/>
          </w:tcPr>
          <w:p w14:paraId="27223AF4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0" w:type="dxa"/>
          </w:tcPr>
          <w:p w14:paraId="673C74AF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</w:tr>
      <w:tr w:rsidR="002F00B0" w14:paraId="48D4589B" w14:textId="77777777" w:rsidTr="00850B71">
        <w:tc>
          <w:tcPr>
            <w:tcW w:w="3645" w:type="dxa"/>
          </w:tcPr>
          <w:p w14:paraId="066313D3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Sexual offence</w:t>
            </w:r>
          </w:p>
        </w:tc>
        <w:tc>
          <w:tcPr>
            <w:tcW w:w="2564" w:type="dxa"/>
          </w:tcPr>
          <w:p w14:paraId="21FC2CEB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0" w:type="dxa"/>
          </w:tcPr>
          <w:p w14:paraId="6253EDBD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2F00B0" w14:paraId="07CE135F" w14:textId="77777777" w:rsidTr="00850B71">
        <w:tc>
          <w:tcPr>
            <w:tcW w:w="3645" w:type="dxa"/>
          </w:tcPr>
          <w:p w14:paraId="15581032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Theft</w:t>
            </w:r>
          </w:p>
        </w:tc>
        <w:tc>
          <w:tcPr>
            <w:tcW w:w="2564" w:type="dxa"/>
          </w:tcPr>
          <w:p w14:paraId="6E72187E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0" w:type="dxa"/>
          </w:tcPr>
          <w:p w14:paraId="2A227ACF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95</w:t>
            </w:r>
          </w:p>
        </w:tc>
      </w:tr>
      <w:tr w:rsidR="002F00B0" w14:paraId="4AD837BD" w14:textId="77777777" w:rsidTr="00850B71">
        <w:tc>
          <w:tcPr>
            <w:tcW w:w="3645" w:type="dxa"/>
          </w:tcPr>
          <w:p w14:paraId="07C9D185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Vehicle crime</w:t>
            </w:r>
          </w:p>
        </w:tc>
        <w:tc>
          <w:tcPr>
            <w:tcW w:w="2564" w:type="dxa"/>
          </w:tcPr>
          <w:p w14:paraId="6477A305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0" w:type="dxa"/>
          </w:tcPr>
          <w:p w14:paraId="5CB5F080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</w:tr>
      <w:tr w:rsidR="002F00B0" w14:paraId="62DE93C5" w14:textId="77777777" w:rsidTr="00850B71">
        <w:tc>
          <w:tcPr>
            <w:tcW w:w="3645" w:type="dxa"/>
          </w:tcPr>
          <w:p w14:paraId="63DF344F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2564" w:type="dxa"/>
          </w:tcPr>
          <w:p w14:paraId="04E6B510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0" w:type="dxa"/>
          </w:tcPr>
          <w:p w14:paraId="21BCCBAE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</w:tr>
      <w:tr w:rsidR="002F00B0" w14:paraId="4BE76CC2" w14:textId="77777777" w:rsidTr="00850B71">
        <w:tc>
          <w:tcPr>
            <w:tcW w:w="3645" w:type="dxa"/>
          </w:tcPr>
          <w:p w14:paraId="0FD7EA4D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Damage</w:t>
            </w:r>
          </w:p>
        </w:tc>
        <w:tc>
          <w:tcPr>
            <w:tcW w:w="2564" w:type="dxa"/>
          </w:tcPr>
          <w:p w14:paraId="69443781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0" w:type="dxa"/>
          </w:tcPr>
          <w:p w14:paraId="79123E28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2F00B0" w14:paraId="0E7E6A4F" w14:textId="77777777" w:rsidTr="00850B71">
        <w:tc>
          <w:tcPr>
            <w:tcW w:w="3645" w:type="dxa"/>
          </w:tcPr>
          <w:p w14:paraId="08441B6F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Domestic incident</w:t>
            </w:r>
          </w:p>
        </w:tc>
        <w:tc>
          <w:tcPr>
            <w:tcW w:w="2564" w:type="dxa"/>
          </w:tcPr>
          <w:p w14:paraId="37DD1358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0" w:type="dxa"/>
          </w:tcPr>
          <w:p w14:paraId="373BDC47" w14:textId="77777777" w:rsidR="002F00B0" w:rsidRDefault="002F00B0" w:rsidP="00850B71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</w:tr>
    </w:tbl>
    <w:p w14:paraId="34BDABBD" w14:textId="5266472C" w:rsidR="00BF6B81" w:rsidRPr="00B11A55" w:rsidRDefault="002F00B0" w:rsidP="00793DD5">
      <w:pPr>
        <w:tabs>
          <w:tab w:val="left" w:pos="5400"/>
        </w:tabs>
      </w:pPr>
      <w:r w:rsidRPr="00D80A9E">
        <w:t xml:space="preserve">All statistics are provisional and should be treated as management information. </w:t>
      </w:r>
      <w:r>
        <w:br/>
        <w:t xml:space="preserve">Data was </w:t>
      </w:r>
      <w:r w:rsidRPr="00D80A9E">
        <w:t xml:space="preserve">extracted from Police Scotland systems </w:t>
      </w:r>
      <w:r>
        <w:t>b</w:t>
      </w:r>
      <w:r w:rsidRPr="00D80A9E">
        <w:t xml:space="preserve">ased on the incident raised date and are correct as </w:t>
      </w:r>
      <w:proofErr w:type="gramStart"/>
      <w:r w:rsidRPr="00D80A9E">
        <w:t>at</w:t>
      </w:r>
      <w:proofErr w:type="gramEnd"/>
      <w:r w:rsidRPr="00D80A9E">
        <w:t xml:space="preserve"> 14 May 2025.</w:t>
      </w:r>
      <w:r>
        <w:br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D039A52" w14:textId="77777777" w:rsidR="00D80A9E" w:rsidRDefault="00D80A9E" w:rsidP="007F490F">
      <w:pPr>
        <w:jc w:val="both"/>
      </w:pPr>
    </w:p>
    <w:p w14:paraId="56BC28BE" w14:textId="77777777" w:rsidR="00D80A9E" w:rsidRDefault="00D80A9E" w:rsidP="007F490F">
      <w:pPr>
        <w:jc w:val="both"/>
      </w:pPr>
    </w:p>
    <w:p w14:paraId="78EA8792" w14:textId="77777777" w:rsidR="00D80A9E" w:rsidRDefault="00D80A9E" w:rsidP="007F490F">
      <w:pPr>
        <w:jc w:val="both"/>
      </w:pPr>
    </w:p>
    <w:p w14:paraId="5670175E" w14:textId="77777777" w:rsidR="00DE5469" w:rsidRDefault="00DE5469" w:rsidP="007F490F">
      <w:pPr>
        <w:jc w:val="both"/>
      </w:pPr>
    </w:p>
    <w:sectPr w:rsidR="00DE5469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A39F6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28FAA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CB6B9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8AA35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B8940D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E31A4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B0560"/>
    <w:multiLevelType w:val="hybridMultilevel"/>
    <w:tmpl w:val="9CD0415A"/>
    <w:lvl w:ilvl="0" w:tplc="1EE20852">
      <w:start w:val="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3666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665D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00B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64E7B"/>
    <w:rsid w:val="00685219"/>
    <w:rsid w:val="006A005F"/>
    <w:rsid w:val="006D2A67"/>
    <w:rsid w:val="006D5799"/>
    <w:rsid w:val="007073F5"/>
    <w:rsid w:val="007440EA"/>
    <w:rsid w:val="00750D83"/>
    <w:rsid w:val="00785DBC"/>
    <w:rsid w:val="00793DD5"/>
    <w:rsid w:val="007B16FB"/>
    <w:rsid w:val="007D55F6"/>
    <w:rsid w:val="007E3ED3"/>
    <w:rsid w:val="007F490F"/>
    <w:rsid w:val="00847A9F"/>
    <w:rsid w:val="0086779C"/>
    <w:rsid w:val="00874BFD"/>
    <w:rsid w:val="008964EF"/>
    <w:rsid w:val="008E7926"/>
    <w:rsid w:val="00915E01"/>
    <w:rsid w:val="009631A4"/>
    <w:rsid w:val="00977296"/>
    <w:rsid w:val="009D5D4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572B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80A9E"/>
    <w:rsid w:val="00D92C34"/>
    <w:rsid w:val="00DE5469"/>
    <w:rsid w:val="00E25AB4"/>
    <w:rsid w:val="00E55D79"/>
    <w:rsid w:val="00EE2373"/>
    <w:rsid w:val="00EF0FBB"/>
    <w:rsid w:val="00EF4761"/>
    <w:rsid w:val="00F275FC"/>
    <w:rsid w:val="00F5068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0e32d40b-a8f5-4c24-a46b-b72b5f0b9b5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2025-05-22T13:48:00Z</cp:lastPrinted>
  <dcterms:created xsi:type="dcterms:W3CDTF">2025-05-14T15:58:00Z</dcterms:created>
  <dcterms:modified xsi:type="dcterms:W3CDTF">2025-05-22T13:48:00Z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