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134B9">
              <w:t>0441</w:t>
            </w:r>
          </w:p>
          <w:p w:rsidR="00B17211" w:rsidRDefault="00456324" w:rsidP="004F18C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F18C2">
              <w:t>10 March</w:t>
            </w:r>
            <w:r>
              <w:t xml:space="preserve"> 2023</w:t>
            </w:r>
          </w:p>
        </w:tc>
      </w:tr>
    </w:tbl>
    <w:p w:rsidR="003318F9" w:rsidRDefault="003318F9" w:rsidP="003318F9">
      <w:r w:rsidRPr="007D1918">
        <w:t xml:space="preserve">Please, first of all, accept my sincere apologies for the delay in providing </w:t>
      </w:r>
      <w:r>
        <w:t>our response.</w:t>
      </w:r>
    </w:p>
    <w:p w:rsidR="003318F9" w:rsidRPr="003318F9" w:rsidRDefault="003318F9" w:rsidP="003318F9">
      <w:r w:rsidRPr="00793DD5">
        <w:t xml:space="preserve">Your recent request for information is replicated below, together with </w:t>
      </w:r>
      <w:r>
        <w:t>our</w:t>
      </w:r>
      <w:r w:rsidRPr="00793DD5">
        <w:t xml:space="preserve"> response.</w:t>
      </w:r>
    </w:p>
    <w:p w:rsidR="001134B9" w:rsidRPr="001134B9" w:rsidRDefault="001134B9" w:rsidP="004F18C2">
      <w:pPr>
        <w:pStyle w:val="Heading2"/>
      </w:pPr>
      <w:r w:rsidRPr="001134B9">
        <w:t xml:space="preserve">The number of incidents reported to you involving a collision between at least 1 pedestrian and at least 1 cyclist in the last 12 months. </w:t>
      </w:r>
    </w:p>
    <w:p w:rsidR="001134B9" w:rsidRPr="001134B9" w:rsidRDefault="001134B9" w:rsidP="004F18C2">
      <w:pPr>
        <w:pStyle w:val="Heading2"/>
      </w:pPr>
      <w:r w:rsidRPr="001134B9">
        <w:t xml:space="preserve">If known, how many of those incidents resulted in any person involved being killed or seriously injured. </w:t>
      </w:r>
    </w:p>
    <w:p w:rsidR="00255F1E" w:rsidRDefault="004F18C2" w:rsidP="00793DD5">
      <w:pPr>
        <w:tabs>
          <w:tab w:val="left" w:pos="5400"/>
        </w:tabs>
      </w:pPr>
      <w:r>
        <w:t>In response to your request:</w:t>
      </w:r>
    </w:p>
    <w:p w:rsidR="004F18C2" w:rsidRDefault="004F18C2" w:rsidP="00793DD5">
      <w:pPr>
        <w:tabs>
          <w:tab w:val="left" w:pos="5400"/>
        </w:tabs>
      </w:pPr>
      <w:r w:rsidRPr="004F18C2">
        <w:t>Recorded Road Traffic Pedestrian Casualties, involved with a Pedal Cyclist, Police Scotland</w:t>
      </w:r>
      <w:r>
        <w:t xml:space="preserve">. </w:t>
      </w:r>
      <w:r w:rsidRPr="004F18C2">
        <w:t>1st January 2022 to 28th February 2023, Calendar Months.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  <w:tblCaption w:val="Table of casualties by month"/>
        <w:tblDescription w:val="Table of casualties by month"/>
      </w:tblPr>
      <w:tblGrid>
        <w:gridCol w:w="2351"/>
        <w:gridCol w:w="560"/>
        <w:gridCol w:w="560"/>
        <w:gridCol w:w="560"/>
        <w:gridCol w:w="560"/>
        <w:gridCol w:w="561"/>
        <w:gridCol w:w="560"/>
        <w:gridCol w:w="560"/>
        <w:gridCol w:w="560"/>
        <w:gridCol w:w="561"/>
        <w:gridCol w:w="560"/>
        <w:gridCol w:w="560"/>
        <w:gridCol w:w="560"/>
        <w:gridCol w:w="561"/>
      </w:tblGrid>
      <w:tr w:rsidR="00424171" w:rsidRPr="00312B18" w:rsidTr="00424171">
        <w:trPr>
          <w:trHeight w:val="20"/>
          <w:tblHeader/>
        </w:trPr>
        <w:tc>
          <w:tcPr>
            <w:tcW w:w="2351" w:type="dxa"/>
            <w:shd w:val="clear" w:color="auto" w:fill="D9D9D9" w:themeFill="background1" w:themeFillShade="D9"/>
          </w:tcPr>
          <w:p w:rsidR="00312B18" w:rsidRPr="00312B18" w:rsidRDefault="00312B18" w:rsidP="00312B18">
            <w:pPr>
              <w:tabs>
                <w:tab w:val="left" w:pos="5400"/>
              </w:tabs>
              <w:rPr>
                <w:b/>
              </w:rPr>
            </w:pPr>
            <w:r w:rsidRPr="00312B18">
              <w:rPr>
                <w:b/>
              </w:rPr>
              <w:t>Casualty Severity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312B18" w:rsidRPr="00312B18" w:rsidRDefault="00424171" w:rsidP="00424171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312B18" w:rsidRPr="00312B18" w:rsidRDefault="00424171" w:rsidP="00424171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312B18" w:rsidRPr="00312B18" w:rsidRDefault="00424171" w:rsidP="00424171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312B18" w:rsidRPr="00312B18" w:rsidRDefault="00424171" w:rsidP="00424171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312B18" w:rsidRPr="00312B18" w:rsidRDefault="00424171" w:rsidP="00424171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312B18" w:rsidRPr="00312B18" w:rsidRDefault="00424171" w:rsidP="00424171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312B18" w:rsidRPr="00312B18" w:rsidRDefault="00424171" w:rsidP="00424171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312B18" w:rsidRPr="00312B18" w:rsidRDefault="00424171" w:rsidP="00424171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312B18" w:rsidRPr="00312B18" w:rsidRDefault="00424171" w:rsidP="00424171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312B18" w:rsidRPr="00312B18" w:rsidRDefault="00424171" w:rsidP="00424171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312B18" w:rsidRPr="00312B18" w:rsidRDefault="00424171" w:rsidP="00424171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:rsidR="00312B18" w:rsidRPr="00312B18" w:rsidRDefault="00424171" w:rsidP="00424171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61" w:type="dxa"/>
            <w:shd w:val="clear" w:color="auto" w:fill="D9D9D9" w:themeFill="background1" w:themeFillShade="D9"/>
          </w:tcPr>
          <w:p w:rsidR="00312B18" w:rsidRPr="00312B18" w:rsidRDefault="00424171" w:rsidP="00424171">
            <w:pPr>
              <w:tabs>
                <w:tab w:val="left" w:pos="5400"/>
              </w:tabs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</w:tr>
      <w:tr w:rsidR="00312B18" w:rsidRPr="00312B18" w:rsidTr="00424171">
        <w:trPr>
          <w:trHeight w:val="20"/>
        </w:trPr>
        <w:tc>
          <w:tcPr>
            <w:tcW w:w="2351" w:type="dxa"/>
            <w:noWrap/>
            <w:hideMark/>
          </w:tcPr>
          <w:p w:rsidR="00312B18" w:rsidRPr="00312B18" w:rsidRDefault="00312B18" w:rsidP="00312B18">
            <w:pPr>
              <w:tabs>
                <w:tab w:val="left" w:pos="5400"/>
              </w:tabs>
              <w:rPr>
                <w:bCs/>
              </w:rPr>
            </w:pPr>
            <w:r w:rsidRPr="00312B18">
              <w:rPr>
                <w:bCs/>
              </w:rPr>
              <w:t>Fatal</w:t>
            </w:r>
          </w:p>
        </w:tc>
        <w:tc>
          <w:tcPr>
            <w:tcW w:w="560" w:type="dxa"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0</w:t>
            </w:r>
          </w:p>
        </w:tc>
        <w:tc>
          <w:tcPr>
            <w:tcW w:w="560" w:type="dxa"/>
            <w:noWrap/>
            <w:hideMark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1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1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1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1</w:t>
            </w:r>
          </w:p>
        </w:tc>
      </w:tr>
      <w:tr w:rsidR="00312B18" w:rsidRPr="00312B18" w:rsidTr="00424171">
        <w:trPr>
          <w:trHeight w:val="20"/>
        </w:trPr>
        <w:tc>
          <w:tcPr>
            <w:tcW w:w="2351" w:type="dxa"/>
            <w:noWrap/>
            <w:hideMark/>
          </w:tcPr>
          <w:p w:rsidR="00312B18" w:rsidRPr="00312B18" w:rsidRDefault="00312B18" w:rsidP="00312B18">
            <w:pPr>
              <w:tabs>
                <w:tab w:val="left" w:pos="5400"/>
              </w:tabs>
              <w:rPr>
                <w:bCs/>
              </w:rPr>
            </w:pPr>
            <w:r w:rsidRPr="00312B18">
              <w:rPr>
                <w:bCs/>
              </w:rPr>
              <w:t>Serious</w:t>
            </w:r>
          </w:p>
        </w:tc>
        <w:tc>
          <w:tcPr>
            <w:tcW w:w="560" w:type="dxa"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0</w:t>
            </w:r>
          </w:p>
        </w:tc>
        <w:tc>
          <w:tcPr>
            <w:tcW w:w="560" w:type="dxa"/>
            <w:noWrap/>
            <w:hideMark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1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1</w:t>
            </w:r>
          </w:p>
        </w:tc>
        <w:tc>
          <w:tcPr>
            <w:tcW w:w="561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2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1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2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1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1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1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</w:tr>
      <w:tr w:rsidR="00312B18" w:rsidRPr="00312B18" w:rsidTr="00424171">
        <w:trPr>
          <w:trHeight w:val="20"/>
        </w:trPr>
        <w:tc>
          <w:tcPr>
            <w:tcW w:w="2351" w:type="dxa"/>
            <w:noWrap/>
            <w:hideMark/>
          </w:tcPr>
          <w:p w:rsidR="00312B18" w:rsidRPr="00312B18" w:rsidRDefault="00312B18" w:rsidP="00312B18">
            <w:pPr>
              <w:tabs>
                <w:tab w:val="left" w:pos="5400"/>
              </w:tabs>
              <w:rPr>
                <w:bCs/>
              </w:rPr>
            </w:pPr>
            <w:r w:rsidRPr="00312B18">
              <w:rPr>
                <w:bCs/>
              </w:rPr>
              <w:t>Slight</w:t>
            </w:r>
          </w:p>
        </w:tc>
        <w:tc>
          <w:tcPr>
            <w:tcW w:w="560" w:type="dxa"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0</w:t>
            </w:r>
          </w:p>
        </w:tc>
        <w:tc>
          <w:tcPr>
            <w:tcW w:w="560" w:type="dxa"/>
            <w:noWrap/>
            <w:hideMark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1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1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1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1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1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1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  <w:tc>
          <w:tcPr>
            <w:tcW w:w="561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</w:pPr>
            <w:r w:rsidRPr="00312B18">
              <w:t>0</w:t>
            </w:r>
          </w:p>
        </w:tc>
      </w:tr>
      <w:tr w:rsidR="00312B18" w:rsidRPr="00312B18" w:rsidTr="00424171">
        <w:trPr>
          <w:trHeight w:val="20"/>
        </w:trPr>
        <w:tc>
          <w:tcPr>
            <w:tcW w:w="2351" w:type="dxa"/>
            <w:noWrap/>
            <w:hideMark/>
          </w:tcPr>
          <w:p w:rsidR="00312B18" w:rsidRPr="00312B18" w:rsidRDefault="00312B18" w:rsidP="00312B18">
            <w:pPr>
              <w:tabs>
                <w:tab w:val="left" w:pos="5400"/>
              </w:tabs>
              <w:rPr>
                <w:bCs/>
              </w:rPr>
            </w:pPr>
            <w:r w:rsidRPr="00312B18">
              <w:rPr>
                <w:bCs/>
              </w:rPr>
              <w:t>Total</w:t>
            </w:r>
          </w:p>
        </w:tc>
        <w:tc>
          <w:tcPr>
            <w:tcW w:w="560" w:type="dxa"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0</w:t>
            </w:r>
          </w:p>
        </w:tc>
        <w:tc>
          <w:tcPr>
            <w:tcW w:w="560" w:type="dxa"/>
            <w:noWrap/>
            <w:hideMark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1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1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1</w:t>
            </w:r>
          </w:p>
        </w:tc>
        <w:tc>
          <w:tcPr>
            <w:tcW w:w="561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2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0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2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0</w:t>
            </w:r>
          </w:p>
        </w:tc>
        <w:tc>
          <w:tcPr>
            <w:tcW w:w="561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2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1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1</w:t>
            </w:r>
          </w:p>
        </w:tc>
        <w:tc>
          <w:tcPr>
            <w:tcW w:w="560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0</w:t>
            </w:r>
          </w:p>
        </w:tc>
        <w:tc>
          <w:tcPr>
            <w:tcW w:w="561" w:type="dxa"/>
            <w:noWrap/>
          </w:tcPr>
          <w:p w:rsidR="00312B18" w:rsidRPr="00312B18" w:rsidRDefault="00312B18" w:rsidP="00424171">
            <w:pPr>
              <w:tabs>
                <w:tab w:val="left" w:pos="5400"/>
              </w:tabs>
              <w:jc w:val="center"/>
              <w:rPr>
                <w:bCs/>
              </w:rPr>
            </w:pPr>
            <w:r w:rsidRPr="00312B18">
              <w:rPr>
                <w:bCs/>
              </w:rPr>
              <w:t>1</w:t>
            </w:r>
          </w:p>
        </w:tc>
      </w:tr>
    </w:tbl>
    <w:p w:rsidR="00424171" w:rsidRDefault="00424171" w:rsidP="00793DD5">
      <w:pPr>
        <w:tabs>
          <w:tab w:val="left" w:pos="5400"/>
        </w:tabs>
      </w:pPr>
    </w:p>
    <w:p w:rsidR="00424171" w:rsidRDefault="004F18C2" w:rsidP="00793DD5">
      <w:pPr>
        <w:tabs>
          <w:tab w:val="left" w:pos="5400"/>
        </w:tabs>
      </w:pPr>
      <w:r w:rsidRPr="004F18C2">
        <w:t xml:space="preserve">All statistics are provisional and should be treated as management information. </w:t>
      </w:r>
      <w:r w:rsidR="00424171">
        <w:br/>
      </w:r>
      <w:r w:rsidRPr="004F18C2">
        <w:t>All data have been extracted from Police Scotland internal systems and are correct as at 6/3/2023.</w:t>
      </w:r>
      <w:r w:rsidR="00424171">
        <w:t xml:space="preserve">  </w:t>
      </w:r>
      <w:r w:rsidRPr="004F18C2">
        <w:t>Note - the data is subject to change and will be updated on the next extract of data from CRaSH on 3rd April 2023.</w:t>
      </w:r>
    </w:p>
    <w:p w:rsidR="00424171" w:rsidRDefault="004F18C2" w:rsidP="00312B18">
      <w:r>
        <w:t xml:space="preserve">Please note that a reportable collision is defined under Section 170 of the Road Traffic Act 1988 and describes the legal responsibility on those drivers involved to report the matter to the police.  </w:t>
      </w:r>
    </w:p>
    <w:p w:rsidR="004F18C2" w:rsidRDefault="004F18C2" w:rsidP="00312B18">
      <w:r>
        <w:lastRenderedPageBreak/>
        <w:t>Where those involved exchange personal details, there is no legal requirement to report a collision to the police and this applies particularly to non-injury collisions.</w:t>
      </w:r>
    </w:p>
    <w:p w:rsidR="004F18C2" w:rsidRDefault="004F18C2" w:rsidP="00312B18">
      <w:r>
        <w:t>As such, there may have been other collisions within the location of your request, which were not reported to Police Scotland, nor which required a collision report to be created, and will therefore not be included within the statistics.</w:t>
      </w:r>
    </w:p>
    <w:p w:rsidR="004F18C2" w:rsidRDefault="004F18C2" w:rsidP="00424171"/>
    <w:p w:rsidR="004F18C2" w:rsidRPr="001134B9" w:rsidRDefault="004F18C2" w:rsidP="004F18C2">
      <w:pPr>
        <w:pStyle w:val="Heading2"/>
      </w:pPr>
      <w:r w:rsidRPr="001134B9">
        <w:t>If known, how many of those incidents occurred in pedestrianised areas or areas in which cyclists are otherwise not permitted.</w:t>
      </w:r>
    </w:p>
    <w:p w:rsidR="004F18C2" w:rsidRDefault="004F18C2" w:rsidP="00312B18">
      <w:r>
        <w:t>I can advise you that the location are recorded as follows:</w:t>
      </w:r>
    </w:p>
    <w:p w:rsidR="004F18C2" w:rsidRDefault="004F18C2" w:rsidP="00312B18">
      <w:r w:rsidRPr="004F18C2">
        <w:t>In road on pedestrian crossing -</w:t>
      </w:r>
      <w:r>
        <w:t xml:space="preserve"> </w:t>
      </w:r>
      <w:r w:rsidRPr="004F18C2">
        <w:t>5</w:t>
      </w:r>
    </w:p>
    <w:p w:rsidR="004F18C2" w:rsidRDefault="004F18C2" w:rsidP="00312B18">
      <w:r w:rsidRPr="004F18C2">
        <w:t>In road crossing elsewhere - 3</w:t>
      </w:r>
    </w:p>
    <w:p w:rsidR="004F18C2" w:rsidRDefault="004F18C2" w:rsidP="00312B18">
      <w:r w:rsidRPr="004F18C2">
        <w:t>On footway or verge</w:t>
      </w:r>
      <w:r>
        <w:t xml:space="preserve"> -</w:t>
      </w:r>
      <w:r w:rsidRPr="004F18C2">
        <w:t xml:space="preserve"> 2</w:t>
      </w:r>
    </w:p>
    <w:p w:rsidR="004F18C2" w:rsidRDefault="004F18C2" w:rsidP="00312B18">
      <w:r w:rsidRPr="004F18C2">
        <w:t>In road - not crossing -2</w:t>
      </w:r>
    </w:p>
    <w:p w:rsidR="004F18C2" w:rsidRPr="004F18C2" w:rsidRDefault="004F18C2" w:rsidP="00312B18">
      <w:r w:rsidRPr="004F18C2">
        <w:t>Unknown/Other</w:t>
      </w:r>
      <w:r>
        <w:t xml:space="preserve"> - 1</w:t>
      </w:r>
    </w:p>
    <w:p w:rsidR="004F18C2" w:rsidRDefault="004F18C2" w:rsidP="00312B18">
      <w:r w:rsidRPr="004F18C2">
        <w:t xml:space="preserve">You may find the information available from Transport Scotland useful: </w:t>
      </w:r>
      <w:hyperlink r:id="rId8" w:history="1">
        <w:r w:rsidRPr="004F18C2">
          <w:rPr>
            <w:rStyle w:val="Hyperlink"/>
          </w:rPr>
          <w:t>Key Reported Road Casualties Scotland 2021 | Transport Scotland</w:t>
        </w:r>
      </w:hyperlink>
      <w:r w:rsidRPr="004F18C2">
        <w:t xml:space="preserve"> previous years data is also available on their website.</w:t>
      </w:r>
    </w:p>
    <w:p w:rsidR="00312B18" w:rsidRPr="004F18C2" w:rsidRDefault="00312B18" w:rsidP="00312B18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424171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  <w:r w:rsidR="00424171">
        <w:t xml:space="preserve"> 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30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30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30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30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30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30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134B9"/>
    <w:rsid w:val="00141533"/>
    <w:rsid w:val="00167528"/>
    <w:rsid w:val="00195CC4"/>
    <w:rsid w:val="00253DF6"/>
    <w:rsid w:val="00255F1E"/>
    <w:rsid w:val="002B7C0B"/>
    <w:rsid w:val="00312B18"/>
    <w:rsid w:val="003318F9"/>
    <w:rsid w:val="0036503B"/>
    <w:rsid w:val="003D6D03"/>
    <w:rsid w:val="003E12CA"/>
    <w:rsid w:val="004010DC"/>
    <w:rsid w:val="00424171"/>
    <w:rsid w:val="004341F0"/>
    <w:rsid w:val="00452299"/>
    <w:rsid w:val="00456324"/>
    <w:rsid w:val="00475460"/>
    <w:rsid w:val="00490317"/>
    <w:rsid w:val="00491644"/>
    <w:rsid w:val="00496A08"/>
    <w:rsid w:val="004E1605"/>
    <w:rsid w:val="004F18C2"/>
    <w:rsid w:val="004F653C"/>
    <w:rsid w:val="00540A52"/>
    <w:rsid w:val="00557306"/>
    <w:rsid w:val="006430F7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odyText">
    <w:name w:val="Body Text"/>
    <w:basedOn w:val="Normal"/>
    <w:link w:val="BodyTextChar"/>
    <w:rsid w:val="004F18C2"/>
    <w:pPr>
      <w:tabs>
        <w:tab w:val="left" w:pos="5400"/>
      </w:tabs>
      <w:spacing w:before="0" w:after="0" w:line="240" w:lineRule="auto"/>
      <w:outlineLvl w:val="0"/>
    </w:pPr>
    <w:rPr>
      <w:rFonts w:eastAsia="Times New Roman"/>
      <w:bCs/>
      <w:lang w:eastAsia="en-GB"/>
    </w:rPr>
  </w:style>
  <w:style w:type="character" w:customStyle="1" w:styleId="BodyTextChar">
    <w:name w:val="Body Text Char"/>
    <w:basedOn w:val="DefaultParagraphFont"/>
    <w:link w:val="BodyText"/>
    <w:rsid w:val="004F18C2"/>
    <w:rPr>
      <w:rFonts w:eastAsia="Times New Roman"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t.gov.scot/publication/key-reported-road-casualties-scotland-2021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Allardyce, Heather</cp:lastModifiedBy>
  <cp:revision>47</cp:revision>
  <cp:lastPrinted>2023-03-10T14:13:00Z</cp:lastPrinted>
  <dcterms:created xsi:type="dcterms:W3CDTF">2021-10-06T12:31:00Z</dcterms:created>
  <dcterms:modified xsi:type="dcterms:W3CDTF">2023-03-10T14:13:00Z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