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481059" w:rsidR="00B17211" w:rsidRPr="00B17211" w:rsidRDefault="00B17211" w:rsidP="007F490F">
            <w:r w:rsidRPr="007F490F">
              <w:rPr>
                <w:rStyle w:val="Heading2Char"/>
              </w:rPr>
              <w:t>Our reference:</w:t>
            </w:r>
            <w:r>
              <w:t xml:space="preserve">  FOI 2</w:t>
            </w:r>
            <w:r w:rsidR="00EF0FBB">
              <w:t>5</w:t>
            </w:r>
            <w:r>
              <w:t>-</w:t>
            </w:r>
            <w:r w:rsidR="00EE4891">
              <w:t>1</w:t>
            </w:r>
            <w:r w:rsidR="005B3E04">
              <w:t>703</w:t>
            </w:r>
          </w:p>
          <w:p w14:paraId="34BDABA6" w14:textId="40A47B5E" w:rsidR="00B17211" w:rsidRDefault="00456324" w:rsidP="00EE2373">
            <w:r w:rsidRPr="007F490F">
              <w:rPr>
                <w:rStyle w:val="Heading2Char"/>
              </w:rPr>
              <w:t>Respon</w:t>
            </w:r>
            <w:r w:rsidR="007D55F6">
              <w:rPr>
                <w:rStyle w:val="Heading2Char"/>
              </w:rPr>
              <w:t>ded to:</w:t>
            </w:r>
            <w:r w:rsidR="007F490F">
              <w:t xml:space="preserve">  </w:t>
            </w:r>
            <w:r w:rsidR="00171665">
              <w:t>30</w:t>
            </w:r>
            <w:r w:rsidR="006D5799">
              <w:t xml:space="preserve"> </w:t>
            </w:r>
            <w:r w:rsidR="00EE4891">
              <w:t>June</w:t>
            </w:r>
            <w:r>
              <w:t xml:space="preserve"> 202</w:t>
            </w:r>
            <w:r w:rsidR="00EF0FBB">
              <w:t>5</w:t>
            </w:r>
          </w:p>
        </w:tc>
      </w:tr>
    </w:tbl>
    <w:p w14:paraId="34BDABA8" w14:textId="3CEE7B8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6AF5DE" w14:textId="076F55D4" w:rsidR="005B3E04" w:rsidRPr="005B3E04" w:rsidRDefault="005B3E04" w:rsidP="005B3E04">
      <w:pPr>
        <w:rPr>
          <w:rFonts w:eastAsiaTheme="majorEastAsia" w:cstheme="majorBidi"/>
          <w:b/>
          <w:color w:val="000000" w:themeColor="text1"/>
          <w:szCs w:val="26"/>
        </w:rPr>
      </w:pPr>
      <w:r w:rsidRPr="005B3E04">
        <w:rPr>
          <w:rFonts w:eastAsiaTheme="majorEastAsia" w:cstheme="majorBidi"/>
          <w:b/>
          <w:color w:val="000000" w:themeColor="text1"/>
          <w:szCs w:val="26"/>
        </w:rPr>
        <w:t>I would be grateful if you could advise me how many Public Relations and Commumications Full Time Equivalent staff you employ and what the total salary costs</w:t>
      </w:r>
      <w:r w:rsidR="00F3770F">
        <w:rPr>
          <w:rFonts w:eastAsiaTheme="majorEastAsia" w:cstheme="majorBidi"/>
          <w:b/>
          <w:color w:val="000000" w:themeColor="text1"/>
          <w:szCs w:val="26"/>
        </w:rPr>
        <w:t xml:space="preserve"> </w:t>
      </w:r>
      <w:r w:rsidRPr="005B3E04">
        <w:rPr>
          <w:rFonts w:eastAsiaTheme="majorEastAsia" w:cstheme="majorBidi"/>
          <w:b/>
          <w:color w:val="000000" w:themeColor="text1"/>
          <w:szCs w:val="26"/>
        </w:rPr>
        <w:t>(including on costs such as national insurance and pension contributions) was. </w:t>
      </w:r>
    </w:p>
    <w:p w14:paraId="2FD3C066" w14:textId="11F8C5B8" w:rsidR="00AB1AEA" w:rsidRDefault="00F3770F" w:rsidP="00AB1AEA">
      <w:r w:rsidRPr="00F3770F">
        <w:t>The table below details Police Officers and Police Staff within our Corporate Communications team</w:t>
      </w:r>
      <w:r>
        <w:t>:</w:t>
      </w:r>
    </w:p>
    <w:tbl>
      <w:tblPr>
        <w:tblW w:w="9628" w:type="dxa"/>
        <w:tblInd w:w="5" w:type="dxa"/>
        <w:tblCellMar>
          <w:left w:w="0" w:type="dxa"/>
          <w:right w:w="0" w:type="dxa"/>
        </w:tblCellMar>
        <w:tblLook w:val="04A0" w:firstRow="1" w:lastRow="0" w:firstColumn="1" w:lastColumn="0" w:noHBand="0" w:noVBand="1"/>
      </w:tblPr>
      <w:tblGrid>
        <w:gridCol w:w="6792"/>
        <w:gridCol w:w="1418"/>
        <w:gridCol w:w="1418"/>
      </w:tblGrid>
      <w:tr w:rsidR="00F3770F" w:rsidRPr="00F3770F" w14:paraId="48546EDD" w14:textId="77777777" w:rsidTr="00F3770F">
        <w:tc>
          <w:tcPr>
            <w:tcW w:w="6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39123BC" w14:textId="41A75715" w:rsidR="00F3770F" w:rsidRPr="00F3770F" w:rsidRDefault="00F3770F" w:rsidP="00F3770F">
            <w:pPr>
              <w:spacing w:line="240" w:lineRule="auto"/>
              <w:rPr>
                <w:b/>
                <w:bCs/>
              </w:rPr>
            </w:pPr>
            <w:r>
              <w:rPr>
                <w:b/>
                <w:bCs/>
              </w:rPr>
              <w:t>Resourcing/ Financial Information</w:t>
            </w: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214B1D2" w14:textId="77777777" w:rsidR="00F3770F" w:rsidRPr="00F3770F" w:rsidRDefault="00F3770F" w:rsidP="00F3770F">
            <w:pPr>
              <w:spacing w:line="240" w:lineRule="auto"/>
              <w:rPr>
                <w:b/>
                <w:bCs/>
              </w:rPr>
            </w:pPr>
            <w:r w:rsidRPr="00F3770F">
              <w:rPr>
                <w:b/>
                <w:bCs/>
              </w:rPr>
              <w:t>2023/24</w:t>
            </w:r>
          </w:p>
        </w:tc>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EF6ACEB" w14:textId="77777777" w:rsidR="00F3770F" w:rsidRPr="00F3770F" w:rsidRDefault="00F3770F" w:rsidP="00F3770F">
            <w:pPr>
              <w:spacing w:line="240" w:lineRule="auto"/>
              <w:rPr>
                <w:b/>
                <w:bCs/>
              </w:rPr>
            </w:pPr>
            <w:r w:rsidRPr="00F3770F">
              <w:rPr>
                <w:b/>
                <w:bCs/>
              </w:rPr>
              <w:t>2024/25</w:t>
            </w:r>
          </w:p>
        </w:tc>
      </w:tr>
      <w:tr w:rsidR="00F3770F" w:rsidRPr="00F3770F" w14:paraId="07779959" w14:textId="77777777" w:rsidTr="00F3770F">
        <w:tc>
          <w:tcPr>
            <w:tcW w:w="68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A2DF6AA" w14:textId="77777777" w:rsidR="00F3770F" w:rsidRPr="00F3770F" w:rsidRDefault="00F3770F" w:rsidP="00F3770F">
            <w:pPr>
              <w:spacing w:line="240" w:lineRule="auto"/>
            </w:pPr>
            <w:r w:rsidRPr="00F3770F">
              <w:t>Average FTE *</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05CC48F" w14:textId="77777777" w:rsidR="00F3770F" w:rsidRPr="00F3770F" w:rsidRDefault="00F3770F" w:rsidP="00F3770F">
            <w:pPr>
              <w:spacing w:line="240" w:lineRule="auto"/>
            </w:pPr>
            <w:r w:rsidRPr="00F3770F">
              <w:t>61.98</w:t>
            </w:r>
          </w:p>
        </w:tc>
        <w:tc>
          <w:tcPr>
            <w:tcW w:w="13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1ED4B8A" w14:textId="77777777" w:rsidR="00F3770F" w:rsidRPr="00F3770F" w:rsidRDefault="00F3770F" w:rsidP="00F3770F">
            <w:pPr>
              <w:spacing w:line="240" w:lineRule="auto"/>
            </w:pPr>
            <w:r w:rsidRPr="00F3770F">
              <w:t>69.56</w:t>
            </w:r>
          </w:p>
        </w:tc>
      </w:tr>
      <w:tr w:rsidR="00F3770F" w:rsidRPr="00F3770F" w14:paraId="515604F9" w14:textId="77777777" w:rsidTr="00F3770F">
        <w:tc>
          <w:tcPr>
            <w:tcW w:w="68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2428D44" w14:textId="77777777" w:rsidR="00F3770F" w:rsidRPr="00F3770F" w:rsidRDefault="00F3770F" w:rsidP="00F3770F">
            <w:pPr>
              <w:spacing w:line="240" w:lineRule="auto"/>
            </w:pPr>
            <w:r w:rsidRPr="00F3770F">
              <w:t>Headcount</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E322829" w14:textId="77777777" w:rsidR="00F3770F" w:rsidRPr="00F3770F" w:rsidRDefault="00F3770F" w:rsidP="00F3770F">
            <w:pPr>
              <w:spacing w:line="240" w:lineRule="auto"/>
            </w:pPr>
            <w:r w:rsidRPr="00F3770F">
              <w:t>65</w:t>
            </w:r>
          </w:p>
        </w:tc>
        <w:tc>
          <w:tcPr>
            <w:tcW w:w="13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53B5C71" w14:textId="77777777" w:rsidR="00F3770F" w:rsidRPr="00F3770F" w:rsidRDefault="00F3770F" w:rsidP="00F3770F">
            <w:pPr>
              <w:spacing w:line="240" w:lineRule="auto"/>
            </w:pPr>
            <w:r w:rsidRPr="00F3770F">
              <w:t>73</w:t>
            </w:r>
          </w:p>
        </w:tc>
      </w:tr>
      <w:tr w:rsidR="00F3770F" w:rsidRPr="00F3770F" w14:paraId="4DDC2D0D" w14:textId="77777777" w:rsidTr="00F3770F">
        <w:tc>
          <w:tcPr>
            <w:tcW w:w="68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09A334" w14:textId="584165CE" w:rsidR="00F3770F" w:rsidRPr="00F3770F" w:rsidRDefault="00F3770F" w:rsidP="00F3770F">
            <w:pPr>
              <w:spacing w:line="240" w:lineRule="auto"/>
            </w:pPr>
            <w:r w:rsidRPr="00F3770F">
              <w:t xml:space="preserve">Total salary costs (including on costs </w:t>
            </w:r>
            <w:r>
              <w:t>- eg.</w:t>
            </w:r>
            <w:r w:rsidRPr="00F3770F">
              <w:t xml:space="preserve"> national insurance and pension contributions)</w:t>
            </w: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C6E2D9" w14:textId="77777777" w:rsidR="00F3770F" w:rsidRPr="00F3770F" w:rsidRDefault="00F3770F" w:rsidP="00F3770F">
            <w:pPr>
              <w:spacing w:line="240" w:lineRule="auto"/>
            </w:pPr>
            <w:r w:rsidRPr="00F3770F">
              <w:t xml:space="preserve">£3,696,062 </w:t>
            </w:r>
          </w:p>
        </w:tc>
        <w:tc>
          <w:tcPr>
            <w:tcW w:w="13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F97A79" w14:textId="77777777" w:rsidR="00F3770F" w:rsidRPr="00F3770F" w:rsidRDefault="00F3770F" w:rsidP="00F3770F">
            <w:pPr>
              <w:spacing w:line="240" w:lineRule="auto"/>
            </w:pPr>
            <w:r w:rsidRPr="00F3770F">
              <w:t>£3,844,721</w:t>
            </w:r>
          </w:p>
        </w:tc>
      </w:tr>
    </w:tbl>
    <w:p w14:paraId="35D55D5A" w14:textId="77777777" w:rsidR="00AB1AEA" w:rsidRDefault="00AB1AEA" w:rsidP="00AB1AEA"/>
    <w:p w14:paraId="46C0FCAD" w14:textId="3C75165F" w:rsidR="00AB1AEA" w:rsidRDefault="00AB1AEA" w:rsidP="00AB1AEA">
      <w:r>
        <w:t>*</w:t>
      </w:r>
      <w:r w:rsidRPr="00AB1AEA">
        <w:t xml:space="preserve"> As the data is provide</w:t>
      </w:r>
      <w:r w:rsidR="00F3770F">
        <w:t>d</w:t>
      </w:r>
      <w:r w:rsidRPr="00AB1AEA">
        <w:t xml:space="preserve"> for full year (rather than as at a point in time) the </w:t>
      </w:r>
      <w:r w:rsidRPr="00AB1AEA">
        <w:rPr>
          <w:rFonts w:eastAsiaTheme="majorEastAsia" w:cstheme="majorBidi"/>
          <w:color w:val="000000" w:themeColor="text1"/>
          <w:szCs w:val="26"/>
        </w:rPr>
        <w:t>Full Time Equivalent (</w:t>
      </w:r>
      <w:r w:rsidRPr="00AB1AEA">
        <w:t>FTE) has been averaged.  For example, if member of staff has been part time and moved to full time during the financial year reported then the FTE has been calculated as an average for the full year.</w:t>
      </w:r>
    </w:p>
    <w:p w14:paraId="56F78A66" w14:textId="77777777" w:rsidR="00AB1AEA" w:rsidRDefault="00AB1AEA" w:rsidP="00793DD5"/>
    <w:p w14:paraId="34BDABBE" w14:textId="1E3461BB" w:rsidR="00496A08"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3EB"/>
    <w:multiLevelType w:val="hybridMultilevel"/>
    <w:tmpl w:val="3EE4037E"/>
    <w:lvl w:ilvl="0" w:tplc="59BCF398">
      <w:start w:val="1"/>
      <w:numFmt w:val="decimal"/>
      <w:lvlText w:val="%1)"/>
      <w:lvlJc w:val="left"/>
      <w:pPr>
        <w:ind w:left="720" w:hanging="360"/>
      </w:pPr>
      <w:rPr>
        <w:rFonts w:ascii="Arial" w:eastAsiaTheme="majorEastAsia" w:hAnsi="Arial" w:cstheme="maj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76134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034"/>
    <w:rsid w:val="00090F3B"/>
    <w:rsid w:val="00096329"/>
    <w:rsid w:val="000E2F19"/>
    <w:rsid w:val="000E6526"/>
    <w:rsid w:val="00126ACA"/>
    <w:rsid w:val="00141533"/>
    <w:rsid w:val="00151DD0"/>
    <w:rsid w:val="00167528"/>
    <w:rsid w:val="00171665"/>
    <w:rsid w:val="00195CC4"/>
    <w:rsid w:val="00207326"/>
    <w:rsid w:val="00253DF6"/>
    <w:rsid w:val="00255F1E"/>
    <w:rsid w:val="002947C7"/>
    <w:rsid w:val="002C3264"/>
    <w:rsid w:val="002F5274"/>
    <w:rsid w:val="0036503B"/>
    <w:rsid w:val="00376A4A"/>
    <w:rsid w:val="003D6D03"/>
    <w:rsid w:val="003E12CA"/>
    <w:rsid w:val="003F4BE7"/>
    <w:rsid w:val="004010DC"/>
    <w:rsid w:val="004341F0"/>
    <w:rsid w:val="00456324"/>
    <w:rsid w:val="00475460"/>
    <w:rsid w:val="00490317"/>
    <w:rsid w:val="00490DE0"/>
    <w:rsid w:val="00491644"/>
    <w:rsid w:val="00496A08"/>
    <w:rsid w:val="004E1605"/>
    <w:rsid w:val="004F653C"/>
    <w:rsid w:val="00540A52"/>
    <w:rsid w:val="00557306"/>
    <w:rsid w:val="005A3BF9"/>
    <w:rsid w:val="005B3E04"/>
    <w:rsid w:val="006407C8"/>
    <w:rsid w:val="00645CFA"/>
    <w:rsid w:val="00685219"/>
    <w:rsid w:val="006D5799"/>
    <w:rsid w:val="006E020A"/>
    <w:rsid w:val="007070EB"/>
    <w:rsid w:val="007440EA"/>
    <w:rsid w:val="00750D83"/>
    <w:rsid w:val="00785DBC"/>
    <w:rsid w:val="00793DD5"/>
    <w:rsid w:val="007D55F6"/>
    <w:rsid w:val="007F490F"/>
    <w:rsid w:val="0086779C"/>
    <w:rsid w:val="00874BFD"/>
    <w:rsid w:val="0089634A"/>
    <w:rsid w:val="008964EF"/>
    <w:rsid w:val="008F2AA8"/>
    <w:rsid w:val="00910669"/>
    <w:rsid w:val="00915E01"/>
    <w:rsid w:val="00937E25"/>
    <w:rsid w:val="009631A4"/>
    <w:rsid w:val="00977296"/>
    <w:rsid w:val="00A04A7E"/>
    <w:rsid w:val="00A25E93"/>
    <w:rsid w:val="00A320FF"/>
    <w:rsid w:val="00A70AC0"/>
    <w:rsid w:val="00A84EA9"/>
    <w:rsid w:val="00AB1AEA"/>
    <w:rsid w:val="00AC443C"/>
    <w:rsid w:val="00B033D6"/>
    <w:rsid w:val="00B11A55"/>
    <w:rsid w:val="00B17211"/>
    <w:rsid w:val="00B461B2"/>
    <w:rsid w:val="00B654B6"/>
    <w:rsid w:val="00B71B3C"/>
    <w:rsid w:val="00BB13B3"/>
    <w:rsid w:val="00BC389E"/>
    <w:rsid w:val="00BD5DBD"/>
    <w:rsid w:val="00BE1888"/>
    <w:rsid w:val="00BE4F44"/>
    <w:rsid w:val="00BF6B81"/>
    <w:rsid w:val="00C077A8"/>
    <w:rsid w:val="00C14FF4"/>
    <w:rsid w:val="00C1679F"/>
    <w:rsid w:val="00C25EC5"/>
    <w:rsid w:val="00C606A2"/>
    <w:rsid w:val="00C63872"/>
    <w:rsid w:val="00C70D25"/>
    <w:rsid w:val="00C84948"/>
    <w:rsid w:val="00C86000"/>
    <w:rsid w:val="00C94ED8"/>
    <w:rsid w:val="00CD6826"/>
    <w:rsid w:val="00CE0696"/>
    <w:rsid w:val="00CF1111"/>
    <w:rsid w:val="00D05706"/>
    <w:rsid w:val="00D14CBE"/>
    <w:rsid w:val="00D27DC5"/>
    <w:rsid w:val="00D47E36"/>
    <w:rsid w:val="00DA1167"/>
    <w:rsid w:val="00DF3689"/>
    <w:rsid w:val="00E25AB4"/>
    <w:rsid w:val="00E55D79"/>
    <w:rsid w:val="00EE2373"/>
    <w:rsid w:val="00EE4891"/>
    <w:rsid w:val="00EF0FBB"/>
    <w:rsid w:val="00EF4761"/>
    <w:rsid w:val="00F3770F"/>
    <w:rsid w:val="00F47D4E"/>
    <w:rsid w:val="00FC2A31"/>
    <w:rsid w:val="00FC2DA7"/>
    <w:rsid w:val="00FC3266"/>
    <w:rsid w:val="00FC376C"/>
    <w:rsid w:val="00FC7AB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86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563">
      <w:bodyDiv w:val="1"/>
      <w:marLeft w:val="0"/>
      <w:marRight w:val="0"/>
      <w:marTop w:val="0"/>
      <w:marBottom w:val="0"/>
      <w:divBdr>
        <w:top w:val="none" w:sz="0" w:space="0" w:color="auto"/>
        <w:left w:val="none" w:sz="0" w:space="0" w:color="auto"/>
        <w:bottom w:val="none" w:sz="0" w:space="0" w:color="auto"/>
        <w:right w:val="none" w:sz="0" w:space="0" w:color="auto"/>
      </w:divBdr>
    </w:div>
    <w:div w:id="114720134">
      <w:bodyDiv w:val="1"/>
      <w:marLeft w:val="0"/>
      <w:marRight w:val="0"/>
      <w:marTop w:val="0"/>
      <w:marBottom w:val="0"/>
      <w:divBdr>
        <w:top w:val="none" w:sz="0" w:space="0" w:color="auto"/>
        <w:left w:val="none" w:sz="0" w:space="0" w:color="auto"/>
        <w:bottom w:val="none" w:sz="0" w:space="0" w:color="auto"/>
        <w:right w:val="none" w:sz="0" w:space="0" w:color="auto"/>
      </w:divBdr>
    </w:div>
    <w:div w:id="116066925">
      <w:bodyDiv w:val="1"/>
      <w:marLeft w:val="0"/>
      <w:marRight w:val="0"/>
      <w:marTop w:val="0"/>
      <w:marBottom w:val="0"/>
      <w:divBdr>
        <w:top w:val="none" w:sz="0" w:space="0" w:color="auto"/>
        <w:left w:val="none" w:sz="0" w:space="0" w:color="auto"/>
        <w:bottom w:val="none" w:sz="0" w:space="0" w:color="auto"/>
        <w:right w:val="none" w:sz="0" w:space="0" w:color="auto"/>
      </w:divBdr>
    </w:div>
    <w:div w:id="444347980">
      <w:bodyDiv w:val="1"/>
      <w:marLeft w:val="0"/>
      <w:marRight w:val="0"/>
      <w:marTop w:val="0"/>
      <w:marBottom w:val="0"/>
      <w:divBdr>
        <w:top w:val="none" w:sz="0" w:space="0" w:color="auto"/>
        <w:left w:val="none" w:sz="0" w:space="0" w:color="auto"/>
        <w:bottom w:val="none" w:sz="0" w:space="0" w:color="auto"/>
        <w:right w:val="none" w:sz="0" w:space="0" w:color="auto"/>
      </w:divBdr>
    </w:div>
    <w:div w:id="461966263">
      <w:bodyDiv w:val="1"/>
      <w:marLeft w:val="0"/>
      <w:marRight w:val="0"/>
      <w:marTop w:val="0"/>
      <w:marBottom w:val="0"/>
      <w:divBdr>
        <w:top w:val="none" w:sz="0" w:space="0" w:color="auto"/>
        <w:left w:val="none" w:sz="0" w:space="0" w:color="auto"/>
        <w:bottom w:val="none" w:sz="0" w:space="0" w:color="auto"/>
        <w:right w:val="none" w:sz="0" w:space="0" w:color="auto"/>
      </w:divBdr>
    </w:div>
    <w:div w:id="537664001">
      <w:bodyDiv w:val="1"/>
      <w:marLeft w:val="0"/>
      <w:marRight w:val="0"/>
      <w:marTop w:val="0"/>
      <w:marBottom w:val="0"/>
      <w:divBdr>
        <w:top w:val="none" w:sz="0" w:space="0" w:color="auto"/>
        <w:left w:val="none" w:sz="0" w:space="0" w:color="auto"/>
        <w:bottom w:val="none" w:sz="0" w:space="0" w:color="auto"/>
        <w:right w:val="none" w:sz="0" w:space="0" w:color="auto"/>
      </w:divBdr>
    </w:div>
    <w:div w:id="763889115">
      <w:bodyDiv w:val="1"/>
      <w:marLeft w:val="0"/>
      <w:marRight w:val="0"/>
      <w:marTop w:val="0"/>
      <w:marBottom w:val="0"/>
      <w:divBdr>
        <w:top w:val="none" w:sz="0" w:space="0" w:color="auto"/>
        <w:left w:val="none" w:sz="0" w:space="0" w:color="auto"/>
        <w:bottom w:val="none" w:sz="0" w:space="0" w:color="auto"/>
        <w:right w:val="none" w:sz="0" w:space="0" w:color="auto"/>
      </w:divBdr>
    </w:div>
    <w:div w:id="1334600318">
      <w:bodyDiv w:val="1"/>
      <w:marLeft w:val="0"/>
      <w:marRight w:val="0"/>
      <w:marTop w:val="0"/>
      <w:marBottom w:val="0"/>
      <w:divBdr>
        <w:top w:val="none" w:sz="0" w:space="0" w:color="auto"/>
        <w:left w:val="none" w:sz="0" w:space="0" w:color="auto"/>
        <w:bottom w:val="none" w:sz="0" w:space="0" w:color="auto"/>
        <w:right w:val="none" w:sz="0" w:space="0" w:color="auto"/>
      </w:divBdr>
    </w:div>
    <w:div w:id="1450974380">
      <w:bodyDiv w:val="1"/>
      <w:marLeft w:val="0"/>
      <w:marRight w:val="0"/>
      <w:marTop w:val="0"/>
      <w:marBottom w:val="0"/>
      <w:divBdr>
        <w:top w:val="none" w:sz="0" w:space="0" w:color="auto"/>
        <w:left w:val="none" w:sz="0" w:space="0" w:color="auto"/>
        <w:bottom w:val="none" w:sz="0" w:space="0" w:color="auto"/>
        <w:right w:val="none" w:sz="0" w:space="0" w:color="auto"/>
      </w:divBdr>
    </w:div>
    <w:div w:id="1732774226">
      <w:bodyDiv w:val="1"/>
      <w:marLeft w:val="0"/>
      <w:marRight w:val="0"/>
      <w:marTop w:val="0"/>
      <w:marBottom w:val="0"/>
      <w:divBdr>
        <w:top w:val="none" w:sz="0" w:space="0" w:color="auto"/>
        <w:left w:val="none" w:sz="0" w:space="0" w:color="auto"/>
        <w:bottom w:val="none" w:sz="0" w:space="0" w:color="auto"/>
        <w:right w:val="none" w:sz="0" w:space="0" w:color="auto"/>
      </w:divBdr>
    </w:div>
    <w:div w:id="1792086897">
      <w:bodyDiv w:val="1"/>
      <w:marLeft w:val="0"/>
      <w:marRight w:val="0"/>
      <w:marTop w:val="0"/>
      <w:marBottom w:val="0"/>
      <w:divBdr>
        <w:top w:val="none" w:sz="0" w:space="0" w:color="auto"/>
        <w:left w:val="none" w:sz="0" w:space="0" w:color="auto"/>
        <w:bottom w:val="none" w:sz="0" w:space="0" w:color="auto"/>
        <w:right w:val="none" w:sz="0" w:space="0" w:color="auto"/>
      </w:divBdr>
    </w:div>
    <w:div w:id="18050045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326</Words>
  <Characters>1860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2025-06-30T08:46:00Z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