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2DFE188" w14:textId="77777777" w:rsidTr="00540A52">
        <w:trPr>
          <w:trHeight w:val="2552"/>
          <w:tblHeader/>
        </w:trPr>
        <w:tc>
          <w:tcPr>
            <w:tcW w:w="2269" w:type="dxa"/>
          </w:tcPr>
          <w:p w14:paraId="22DFE183" w14:textId="77777777" w:rsidR="00B17211" w:rsidRDefault="007F490F" w:rsidP="00540A52">
            <w:pPr>
              <w:pStyle w:val="Heading1"/>
              <w:spacing w:before="0" w:after="0" w:line="240" w:lineRule="auto"/>
            </w:pPr>
            <w:r>
              <w:rPr>
                <w:noProof/>
                <w:lang w:eastAsia="en-GB"/>
              </w:rPr>
              <w:drawing>
                <wp:inline distT="0" distB="0" distL="0" distR="0" wp14:anchorId="22DFE257" wp14:editId="22DFE25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2DFE184" w14:textId="77777777" w:rsidR="00456324" w:rsidRPr="00456324" w:rsidRDefault="00456324" w:rsidP="00B17211">
            <w:pPr>
              <w:pStyle w:val="Heading1"/>
              <w:spacing w:before="120"/>
              <w:rPr>
                <w:sz w:val="4"/>
              </w:rPr>
            </w:pPr>
          </w:p>
          <w:p w14:paraId="22DFE185" w14:textId="77777777" w:rsidR="00B17211" w:rsidRDefault="007F490F" w:rsidP="00B17211">
            <w:pPr>
              <w:pStyle w:val="Heading1"/>
              <w:spacing w:before="120"/>
            </w:pPr>
            <w:r>
              <w:t>F</w:t>
            </w:r>
            <w:r w:rsidRPr="003E12CA">
              <w:t xml:space="preserve">reedom of Information </w:t>
            </w:r>
            <w:r>
              <w:t>Response</w:t>
            </w:r>
          </w:p>
          <w:p w14:paraId="22DFE186" w14:textId="77777777" w:rsidR="00B17211" w:rsidRPr="00B17211" w:rsidRDefault="00B17211" w:rsidP="007F490F">
            <w:r w:rsidRPr="007F490F">
              <w:rPr>
                <w:rStyle w:val="Heading2Char"/>
              </w:rPr>
              <w:t>Our reference:</w:t>
            </w:r>
            <w:r>
              <w:t xml:space="preserve">  FOI 2</w:t>
            </w:r>
            <w:r w:rsidR="00AC443C">
              <w:t>3</w:t>
            </w:r>
            <w:r>
              <w:t>-</w:t>
            </w:r>
            <w:r w:rsidR="008555CB">
              <w:t>0725</w:t>
            </w:r>
          </w:p>
          <w:p w14:paraId="22DFE187" w14:textId="361E1F20" w:rsidR="00B17211" w:rsidRDefault="00456324" w:rsidP="00E20A81">
            <w:r w:rsidRPr="007F490F">
              <w:rPr>
                <w:rStyle w:val="Heading2Char"/>
              </w:rPr>
              <w:t>Respon</w:t>
            </w:r>
            <w:r w:rsidR="007D55F6">
              <w:rPr>
                <w:rStyle w:val="Heading2Char"/>
              </w:rPr>
              <w:t>ded to:</w:t>
            </w:r>
            <w:r w:rsidR="007F490F">
              <w:t xml:space="preserve">  </w:t>
            </w:r>
            <w:r w:rsidR="00E20A81">
              <w:t>14</w:t>
            </w:r>
            <w:r w:rsidR="00E20A81" w:rsidRPr="00E20A81">
              <w:rPr>
                <w:vertAlign w:val="superscript"/>
              </w:rPr>
              <w:t>th</w:t>
            </w:r>
            <w:r w:rsidR="00E20A81">
              <w:t xml:space="preserve"> </w:t>
            </w:r>
            <w:r w:rsidR="00A84EA9">
              <w:t>April</w:t>
            </w:r>
            <w:r>
              <w:t xml:space="preserve"> 2023</w:t>
            </w:r>
          </w:p>
        </w:tc>
      </w:tr>
    </w:tbl>
    <w:p w14:paraId="22DFE189"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22DFE18A" w14:textId="77777777" w:rsidR="00E44A24" w:rsidRPr="00A76BDA" w:rsidRDefault="00E44A24" w:rsidP="00E44A24">
      <w:pPr>
        <w:autoSpaceDE w:val="0"/>
        <w:autoSpaceDN w:val="0"/>
        <w:adjustRightInd w:val="0"/>
      </w:pPr>
      <w:r w:rsidRPr="00A76BDA">
        <w:t xml:space="preserve">To provide some general context, Police Scotland defines a </w:t>
      </w:r>
      <w:r w:rsidRPr="00A76BDA">
        <w:rPr>
          <w:b/>
          <w:bCs/>
        </w:rPr>
        <w:t xml:space="preserve">hate incident </w:t>
      </w:r>
      <w:r w:rsidRPr="00A76BDA">
        <w:t>as ‘</w:t>
      </w:r>
      <w:r w:rsidRPr="00A76BDA">
        <w:rPr>
          <w:i/>
          <w:iCs/>
        </w:rPr>
        <w:t>any incident which is perceived by the victim or any other person to be motivated (wholly or partly) by malice and ill-will towards a social group but which does not constitute a criminal offence</w:t>
      </w:r>
      <w:r w:rsidRPr="00A76BDA">
        <w:t>.’</w:t>
      </w:r>
    </w:p>
    <w:p w14:paraId="22DFE18B" w14:textId="77777777" w:rsidR="00E44A24" w:rsidRPr="00A76BDA" w:rsidRDefault="00E44A24" w:rsidP="00E44A24">
      <w:pPr>
        <w:autoSpaceDE w:val="0"/>
        <w:autoSpaceDN w:val="0"/>
        <w:adjustRightInd w:val="0"/>
      </w:pPr>
      <w:r w:rsidRPr="00A76BDA">
        <w:t xml:space="preserve">Police Scotland defines a </w:t>
      </w:r>
      <w:r w:rsidRPr="00A76BDA">
        <w:rPr>
          <w:b/>
          <w:bCs/>
        </w:rPr>
        <w:t xml:space="preserve">hate crime </w:t>
      </w:r>
      <w:r w:rsidRPr="00A76BDA">
        <w:t>as, ‘</w:t>
      </w:r>
      <w:r w:rsidRPr="00A76BDA">
        <w:rPr>
          <w:i/>
          <w:iCs/>
        </w:rPr>
        <w:t>any crime which is perceived by the victim or any other person, to be motivated (wholly or partly) by malice and ill-will towards a social group.</w:t>
      </w:r>
      <w:r w:rsidRPr="00A76BDA">
        <w:t>’</w:t>
      </w:r>
    </w:p>
    <w:p w14:paraId="22DFE18C" w14:textId="77777777" w:rsidR="0049085D" w:rsidRDefault="00E44A24" w:rsidP="0049085D">
      <w:pPr>
        <w:autoSpaceDE w:val="0"/>
        <w:autoSpaceDN w:val="0"/>
        <w:adjustRightInd w:val="0"/>
      </w:pPr>
      <w:r w:rsidRPr="00A76BDA">
        <w:t>Social groups are identified in accordance with the Lord Advocates guidelines on Aggravations of Offences against Prejudice i.e. race, sexual orientation, religion/faith, disability or transgender i</w:t>
      </w:r>
      <w:r w:rsidR="0049085D">
        <w:t>dentity.</w:t>
      </w:r>
    </w:p>
    <w:p w14:paraId="22DFE18D" w14:textId="77777777" w:rsidR="0049085D" w:rsidRDefault="008555CB" w:rsidP="0049085D">
      <w:pPr>
        <w:pStyle w:val="Heading2"/>
      </w:pPr>
      <w:r>
        <w:t>I would like to request the following for the years 2013 to 2023 or as many of those years as are available for the following:</w:t>
      </w:r>
    </w:p>
    <w:p w14:paraId="22DFE18E" w14:textId="77777777" w:rsidR="0049085D" w:rsidRDefault="008555CB" w:rsidP="0049085D">
      <w:pPr>
        <w:pStyle w:val="Heading2"/>
      </w:pPr>
      <w:r>
        <w:t>Hate crimes reported as being perceived to have been based on the protected characteristic of sexual orientation, specifically towards lesbians.</w:t>
      </w:r>
    </w:p>
    <w:p w14:paraId="22DFE18F" w14:textId="77777777" w:rsidR="0049085D" w:rsidRPr="0049085D" w:rsidRDefault="008555CB" w:rsidP="0049085D">
      <w:pPr>
        <w:pStyle w:val="Heading2"/>
      </w:pPr>
      <w:r>
        <w:t>Hate crimes reported as being perceived to have been based on the protected characteristic of sexual orientation, specifically towards gay men.</w:t>
      </w:r>
      <w:bookmarkStart w:id="0" w:name="_GoBack"/>
      <w:bookmarkEnd w:id="0"/>
    </w:p>
    <w:p w14:paraId="22DFE190" w14:textId="77777777" w:rsidR="0049085D" w:rsidRDefault="008555CB" w:rsidP="0049085D">
      <w:pPr>
        <w:pStyle w:val="Heading2"/>
      </w:pPr>
      <w:r>
        <w:t>Hate crimes reported as being perceived to have been based on the protected characteristic of sexual orientation, specifically towards bisexual men.</w:t>
      </w:r>
    </w:p>
    <w:p w14:paraId="22DFE191" w14:textId="77777777" w:rsidR="008555CB" w:rsidRDefault="008555CB" w:rsidP="0049085D">
      <w:pPr>
        <w:pStyle w:val="Heading2"/>
      </w:pPr>
      <w:r>
        <w:t>Hate crimes reported as being perceived to have been based on the protected characteristic of sexual orientation, specifically towards bisexual women.</w:t>
      </w:r>
    </w:p>
    <w:p w14:paraId="22DFE192" w14:textId="77777777" w:rsidR="00C51099" w:rsidRDefault="00C51099" w:rsidP="00C51099">
      <w:pPr>
        <w:pStyle w:val="Heading2"/>
      </w:pPr>
      <w:r>
        <w:t>Hate crimes reported as being perceived to have been based on the protected characteristic of gender reassignment.</w:t>
      </w:r>
    </w:p>
    <w:p w14:paraId="22DFE193" w14:textId="77777777" w:rsidR="0049085D" w:rsidRPr="00A76BDA" w:rsidRDefault="0049085D" w:rsidP="0049085D">
      <w:r w:rsidRPr="00A76BDA">
        <w:t>In response to your request, I regret to inform you that I am unable to provide you with the information you have requested, as it would prove too costly to do so within the context of the fee regulations.</w:t>
      </w:r>
    </w:p>
    <w:p w14:paraId="22DFE194" w14:textId="77777777" w:rsidR="0049085D" w:rsidRPr="00A76BDA" w:rsidRDefault="0049085D" w:rsidP="0049085D">
      <w:r w:rsidRPr="00A76BDA">
        <w:lastRenderedPageBreak/>
        <w:t>As you may be aware the current cost threshold is £600 and I estimate that it would cost well in excess of this amount to process your request.</w:t>
      </w:r>
    </w:p>
    <w:p w14:paraId="22DFE195" w14:textId="77777777" w:rsidR="0049085D" w:rsidRPr="00A76BDA" w:rsidRDefault="0049085D" w:rsidP="0049085D">
      <w:r w:rsidRPr="00A76BDA">
        <w:t>As such, and in terms of Section 16(4) of the Freedom of Information (Scotland) Act 2002 where Section 12(1) of the Act (Excessive Cost of Compliance) has been applied, this represents a re</w:t>
      </w:r>
      <w:r w:rsidR="00601148">
        <w:t>f</w:t>
      </w:r>
      <w:r w:rsidRPr="00A76BDA">
        <w:t>usal notice for the information sought.</w:t>
      </w:r>
    </w:p>
    <w:p w14:paraId="22DFE196" w14:textId="77777777" w:rsidR="0049085D" w:rsidRPr="00963330" w:rsidRDefault="0049085D" w:rsidP="0049085D">
      <w:r w:rsidRPr="00963330">
        <w:t xml:space="preserve">By way of explanation, </w:t>
      </w:r>
      <w:r w:rsidR="00601148" w:rsidRPr="00963330">
        <w:t>hate crime information is not recorded in a manner which easily allows the extraction</w:t>
      </w:r>
      <w:r w:rsidR="00963330" w:rsidRPr="00963330">
        <w:t xml:space="preserve"> of information relating to the</w:t>
      </w:r>
      <w:r w:rsidR="00601148" w:rsidRPr="00963330">
        <w:t xml:space="preserve"> perceived </w:t>
      </w:r>
      <w:r w:rsidR="00963330" w:rsidRPr="00963330">
        <w:t>gender of individuals to identify their sexual orientation or trans-status. In order to provide you with the specific information you require each hate crime with a transgender or sexual orientation aggravator would need to manually examined to determine the sexual orientation or transgender status of the victim.</w:t>
      </w:r>
    </w:p>
    <w:p w14:paraId="22DFE197" w14:textId="77777777" w:rsidR="00963330" w:rsidRPr="00963330" w:rsidRDefault="00963330" w:rsidP="0049085D">
      <w:r w:rsidRPr="00963330">
        <w:t>In the financial year 2022/2023 there have been 1</w:t>
      </w:r>
      <w:r w:rsidR="001F130C">
        <w:t>,</w:t>
      </w:r>
      <w:r w:rsidRPr="00963330">
        <w:t xml:space="preserve">082 detected hate crimes with a sexual orientation aggravator. I estimate that it would take 3 minutes to examine a single record, this would equate to an excess of 54 hours for this single year alone greatly exceeding the time threshold set out within the Act. </w:t>
      </w:r>
    </w:p>
    <w:p w14:paraId="22DFE198" w14:textId="77777777" w:rsidR="0049085D" w:rsidRDefault="0049085D" w:rsidP="0049085D">
      <w:r w:rsidRPr="00A76BDA">
        <w:t>Police Scotland have assessed that the £600 cost limit within the Act equates to 40 hours of work and so this part of your request would breach the cost threshold.</w:t>
      </w:r>
    </w:p>
    <w:p w14:paraId="22DFE199" w14:textId="77777777" w:rsidR="00481EA4" w:rsidRDefault="00481EA4" w:rsidP="0049085D">
      <w:r>
        <w:t>However, to be of assistance</w:t>
      </w:r>
      <w:r w:rsidR="005474F7">
        <w:t xml:space="preserve"> and to keep in spirit of the Act</w:t>
      </w:r>
      <w:r>
        <w:t>, I can provide the following tables</w:t>
      </w:r>
      <w:r w:rsidR="005474F7">
        <w:t xml:space="preserve">.  The information provided below relates to Concern Incident Nominals, this is number of persons involved in incidents relating to Sexual or Transgender based Hate. </w:t>
      </w:r>
    </w:p>
    <w:p w14:paraId="22DFE19A" w14:textId="77777777" w:rsidR="005474F7" w:rsidRDefault="005474F7" w:rsidP="005474F7">
      <w:r>
        <w:t xml:space="preserve">It is worthy of note that the figures provided relate to crimes and incidents recorded as being aggravated by sexual orientation and transgender prejudice. Victims of hate crimes/incidents do not have to be a member of any of the protected groups in order to be a victim. For example, an individual who is the victim of a transphobic incident does not have to be transgender, or disclose their transgender identity, for this to be perceived, recorded and investigated as a hate related incident. </w:t>
      </w:r>
    </w:p>
    <w:p w14:paraId="22DFE19B" w14:textId="77777777" w:rsidR="00C5135C" w:rsidRDefault="00C5135C" w:rsidP="005474F7">
      <w:r>
        <w:t>Please note the caveats noted at the bottom of the tables.</w:t>
      </w:r>
    </w:p>
    <w:p w14:paraId="22DFE19C" w14:textId="77777777" w:rsidR="005474F7" w:rsidRDefault="00C5135C" w:rsidP="0049085D">
      <w:r>
        <w:t>Table1: This table provides Sexual Hate Concern incident nominals where the sexual hate reason is Lesbian.</w:t>
      </w:r>
    </w:p>
    <w:p w14:paraId="22DFE19D" w14:textId="77777777" w:rsidR="00C5135C" w:rsidRDefault="00C5135C" w:rsidP="0049085D">
      <w:r>
        <w:t xml:space="preserve">The date period </w:t>
      </w:r>
      <w:r w:rsidR="008B214D">
        <w:t xml:space="preserve">for all tables </w:t>
      </w:r>
      <w:r>
        <w:t>is 01 April 2014 until 28 February 2023.</w:t>
      </w:r>
    </w:p>
    <w:tbl>
      <w:tblPr>
        <w:tblStyle w:val="TableGrid"/>
        <w:tblW w:w="0" w:type="auto"/>
        <w:tblLook w:val="04A0" w:firstRow="1" w:lastRow="0" w:firstColumn="1" w:lastColumn="0" w:noHBand="0" w:noVBand="1"/>
        <w:tblCaption w:val="Sexual Hate Concern incident nominals where the sexual hate reason is Lesbian."/>
        <w:tblDescription w:val="Sexual Hate Concern incident nominals where the sexual hate reason is Lesbian."/>
      </w:tblPr>
      <w:tblGrid>
        <w:gridCol w:w="923"/>
        <w:gridCol w:w="865"/>
        <w:gridCol w:w="865"/>
        <w:gridCol w:w="865"/>
        <w:gridCol w:w="864"/>
        <w:gridCol w:w="864"/>
        <w:gridCol w:w="864"/>
        <w:gridCol w:w="864"/>
        <w:gridCol w:w="943"/>
        <w:gridCol w:w="934"/>
      </w:tblGrid>
      <w:tr w:rsidR="00645164" w:rsidRPr="00C5135C" w14:paraId="22DFE1A8" w14:textId="77777777" w:rsidTr="00645164">
        <w:trPr>
          <w:trHeight w:val="315"/>
          <w:tblHeader/>
        </w:trPr>
        <w:tc>
          <w:tcPr>
            <w:tcW w:w="923" w:type="dxa"/>
            <w:shd w:val="clear" w:color="auto" w:fill="D9D9D9" w:themeFill="background1" w:themeFillShade="D9"/>
            <w:hideMark/>
          </w:tcPr>
          <w:p w14:paraId="22DFE19E" w14:textId="77777777" w:rsidR="00C5135C" w:rsidRPr="00FC1783" w:rsidRDefault="00645164">
            <w:pPr>
              <w:rPr>
                <w:bCs/>
              </w:rPr>
            </w:pPr>
            <w:r w:rsidRPr="00FC1783">
              <w:rPr>
                <w:bCs/>
              </w:rPr>
              <w:lastRenderedPageBreak/>
              <w:t>Year</w:t>
            </w:r>
          </w:p>
        </w:tc>
        <w:tc>
          <w:tcPr>
            <w:tcW w:w="865" w:type="dxa"/>
            <w:shd w:val="clear" w:color="auto" w:fill="D9D9D9" w:themeFill="background1" w:themeFillShade="D9"/>
            <w:hideMark/>
          </w:tcPr>
          <w:p w14:paraId="22DFE19F" w14:textId="77777777" w:rsidR="00C5135C" w:rsidRPr="00FC1783" w:rsidRDefault="00C5135C" w:rsidP="00C5135C">
            <w:pPr>
              <w:rPr>
                <w:bCs/>
              </w:rPr>
            </w:pPr>
            <w:r w:rsidRPr="00FC1783">
              <w:rPr>
                <w:bCs/>
              </w:rPr>
              <w:t>14/15</w:t>
            </w:r>
          </w:p>
        </w:tc>
        <w:tc>
          <w:tcPr>
            <w:tcW w:w="865" w:type="dxa"/>
            <w:shd w:val="clear" w:color="auto" w:fill="D9D9D9" w:themeFill="background1" w:themeFillShade="D9"/>
            <w:hideMark/>
          </w:tcPr>
          <w:p w14:paraId="22DFE1A0" w14:textId="77777777" w:rsidR="00C5135C" w:rsidRPr="00FC1783" w:rsidRDefault="00C5135C" w:rsidP="00C5135C">
            <w:pPr>
              <w:rPr>
                <w:bCs/>
              </w:rPr>
            </w:pPr>
            <w:r w:rsidRPr="00FC1783">
              <w:rPr>
                <w:bCs/>
              </w:rPr>
              <w:t>15/16</w:t>
            </w:r>
          </w:p>
        </w:tc>
        <w:tc>
          <w:tcPr>
            <w:tcW w:w="865" w:type="dxa"/>
            <w:shd w:val="clear" w:color="auto" w:fill="D9D9D9" w:themeFill="background1" w:themeFillShade="D9"/>
            <w:hideMark/>
          </w:tcPr>
          <w:p w14:paraId="22DFE1A1" w14:textId="77777777" w:rsidR="00C5135C" w:rsidRPr="00FC1783" w:rsidRDefault="00C5135C" w:rsidP="00C5135C">
            <w:pPr>
              <w:rPr>
                <w:bCs/>
              </w:rPr>
            </w:pPr>
            <w:r w:rsidRPr="00FC1783">
              <w:rPr>
                <w:bCs/>
              </w:rPr>
              <w:t>16/17</w:t>
            </w:r>
          </w:p>
        </w:tc>
        <w:tc>
          <w:tcPr>
            <w:tcW w:w="864" w:type="dxa"/>
            <w:shd w:val="clear" w:color="auto" w:fill="D9D9D9" w:themeFill="background1" w:themeFillShade="D9"/>
            <w:noWrap/>
            <w:hideMark/>
          </w:tcPr>
          <w:p w14:paraId="22DFE1A2" w14:textId="77777777" w:rsidR="00C5135C" w:rsidRPr="00FC1783" w:rsidRDefault="00C5135C" w:rsidP="00C5135C">
            <w:pPr>
              <w:rPr>
                <w:bCs/>
              </w:rPr>
            </w:pPr>
            <w:r w:rsidRPr="00FC1783">
              <w:rPr>
                <w:bCs/>
              </w:rPr>
              <w:t>17/18</w:t>
            </w:r>
          </w:p>
        </w:tc>
        <w:tc>
          <w:tcPr>
            <w:tcW w:w="864" w:type="dxa"/>
            <w:shd w:val="clear" w:color="auto" w:fill="D9D9D9" w:themeFill="background1" w:themeFillShade="D9"/>
            <w:noWrap/>
            <w:hideMark/>
          </w:tcPr>
          <w:p w14:paraId="22DFE1A3" w14:textId="77777777" w:rsidR="00C5135C" w:rsidRPr="00FC1783" w:rsidRDefault="00C5135C" w:rsidP="00C5135C">
            <w:pPr>
              <w:rPr>
                <w:bCs/>
              </w:rPr>
            </w:pPr>
            <w:r w:rsidRPr="00FC1783">
              <w:rPr>
                <w:bCs/>
              </w:rPr>
              <w:t>18/19</w:t>
            </w:r>
          </w:p>
        </w:tc>
        <w:tc>
          <w:tcPr>
            <w:tcW w:w="864" w:type="dxa"/>
            <w:shd w:val="clear" w:color="auto" w:fill="D9D9D9" w:themeFill="background1" w:themeFillShade="D9"/>
            <w:noWrap/>
            <w:hideMark/>
          </w:tcPr>
          <w:p w14:paraId="22DFE1A4" w14:textId="77777777" w:rsidR="00C5135C" w:rsidRPr="00FC1783" w:rsidRDefault="00C5135C" w:rsidP="00C5135C">
            <w:pPr>
              <w:rPr>
                <w:bCs/>
              </w:rPr>
            </w:pPr>
            <w:r w:rsidRPr="00FC1783">
              <w:rPr>
                <w:bCs/>
              </w:rPr>
              <w:t>19/20</w:t>
            </w:r>
          </w:p>
        </w:tc>
        <w:tc>
          <w:tcPr>
            <w:tcW w:w="864" w:type="dxa"/>
            <w:shd w:val="clear" w:color="auto" w:fill="D9D9D9" w:themeFill="background1" w:themeFillShade="D9"/>
            <w:noWrap/>
            <w:hideMark/>
          </w:tcPr>
          <w:p w14:paraId="22DFE1A5" w14:textId="77777777" w:rsidR="00C5135C" w:rsidRPr="00FC1783" w:rsidRDefault="00C5135C" w:rsidP="00C5135C">
            <w:pPr>
              <w:rPr>
                <w:bCs/>
              </w:rPr>
            </w:pPr>
            <w:r w:rsidRPr="00FC1783">
              <w:rPr>
                <w:bCs/>
              </w:rPr>
              <w:t>20/21</w:t>
            </w:r>
          </w:p>
        </w:tc>
        <w:tc>
          <w:tcPr>
            <w:tcW w:w="943" w:type="dxa"/>
            <w:shd w:val="clear" w:color="auto" w:fill="D9D9D9" w:themeFill="background1" w:themeFillShade="D9"/>
            <w:noWrap/>
            <w:hideMark/>
          </w:tcPr>
          <w:p w14:paraId="22DFE1A6" w14:textId="77777777" w:rsidR="00C5135C" w:rsidRPr="00FC1783" w:rsidRDefault="00C5135C" w:rsidP="00C5135C">
            <w:pPr>
              <w:rPr>
                <w:bCs/>
              </w:rPr>
            </w:pPr>
            <w:r w:rsidRPr="00FC1783">
              <w:rPr>
                <w:bCs/>
              </w:rPr>
              <w:t>21/22</w:t>
            </w:r>
          </w:p>
        </w:tc>
        <w:tc>
          <w:tcPr>
            <w:tcW w:w="934" w:type="dxa"/>
            <w:shd w:val="clear" w:color="auto" w:fill="D9D9D9" w:themeFill="background1" w:themeFillShade="D9"/>
            <w:noWrap/>
            <w:hideMark/>
          </w:tcPr>
          <w:p w14:paraId="22DFE1A7" w14:textId="77777777" w:rsidR="00C5135C" w:rsidRPr="00FC1783" w:rsidRDefault="00C5135C" w:rsidP="00C5135C">
            <w:pPr>
              <w:rPr>
                <w:bCs/>
              </w:rPr>
            </w:pPr>
            <w:r w:rsidRPr="00FC1783">
              <w:rPr>
                <w:bCs/>
              </w:rPr>
              <w:t>22/23*</w:t>
            </w:r>
          </w:p>
        </w:tc>
      </w:tr>
      <w:tr w:rsidR="00645164" w:rsidRPr="00C5135C" w14:paraId="22DFE1B3" w14:textId="77777777" w:rsidTr="00645164">
        <w:trPr>
          <w:trHeight w:val="315"/>
          <w:tblHeader/>
        </w:trPr>
        <w:tc>
          <w:tcPr>
            <w:tcW w:w="923" w:type="dxa"/>
            <w:noWrap/>
            <w:hideMark/>
          </w:tcPr>
          <w:p w14:paraId="22DFE1A9" w14:textId="77777777" w:rsidR="00C5135C" w:rsidRPr="00FC1783" w:rsidRDefault="00C5135C">
            <w:pPr>
              <w:rPr>
                <w:bCs/>
              </w:rPr>
            </w:pPr>
            <w:r w:rsidRPr="00FC1783">
              <w:rPr>
                <w:bCs/>
              </w:rPr>
              <w:t>Total</w:t>
            </w:r>
          </w:p>
        </w:tc>
        <w:tc>
          <w:tcPr>
            <w:tcW w:w="865" w:type="dxa"/>
            <w:noWrap/>
            <w:hideMark/>
          </w:tcPr>
          <w:p w14:paraId="22DFE1AA" w14:textId="77777777" w:rsidR="00C5135C" w:rsidRPr="00FC1783" w:rsidRDefault="00C5135C" w:rsidP="00C5135C">
            <w:pPr>
              <w:rPr>
                <w:bCs/>
              </w:rPr>
            </w:pPr>
            <w:r w:rsidRPr="00FC1783">
              <w:rPr>
                <w:bCs/>
              </w:rPr>
              <w:t>75</w:t>
            </w:r>
          </w:p>
        </w:tc>
        <w:tc>
          <w:tcPr>
            <w:tcW w:w="865" w:type="dxa"/>
            <w:noWrap/>
            <w:hideMark/>
          </w:tcPr>
          <w:p w14:paraId="22DFE1AB" w14:textId="77777777" w:rsidR="00C5135C" w:rsidRPr="00FC1783" w:rsidRDefault="00C5135C" w:rsidP="00C5135C">
            <w:pPr>
              <w:rPr>
                <w:bCs/>
              </w:rPr>
            </w:pPr>
            <w:r w:rsidRPr="00FC1783">
              <w:rPr>
                <w:bCs/>
              </w:rPr>
              <w:t>77</w:t>
            </w:r>
          </w:p>
        </w:tc>
        <w:tc>
          <w:tcPr>
            <w:tcW w:w="865" w:type="dxa"/>
            <w:noWrap/>
            <w:hideMark/>
          </w:tcPr>
          <w:p w14:paraId="22DFE1AC" w14:textId="77777777" w:rsidR="00C5135C" w:rsidRPr="00FC1783" w:rsidRDefault="00C5135C" w:rsidP="00C5135C">
            <w:pPr>
              <w:rPr>
                <w:bCs/>
              </w:rPr>
            </w:pPr>
            <w:r w:rsidRPr="00FC1783">
              <w:rPr>
                <w:bCs/>
              </w:rPr>
              <w:t>96</w:t>
            </w:r>
          </w:p>
        </w:tc>
        <w:tc>
          <w:tcPr>
            <w:tcW w:w="864" w:type="dxa"/>
            <w:noWrap/>
            <w:hideMark/>
          </w:tcPr>
          <w:p w14:paraId="22DFE1AD" w14:textId="77777777" w:rsidR="00C5135C" w:rsidRPr="00FC1783" w:rsidRDefault="00C5135C" w:rsidP="00C5135C">
            <w:pPr>
              <w:rPr>
                <w:bCs/>
              </w:rPr>
            </w:pPr>
            <w:r w:rsidRPr="00FC1783">
              <w:rPr>
                <w:bCs/>
              </w:rPr>
              <w:t>104</w:t>
            </w:r>
          </w:p>
        </w:tc>
        <w:tc>
          <w:tcPr>
            <w:tcW w:w="864" w:type="dxa"/>
            <w:noWrap/>
            <w:hideMark/>
          </w:tcPr>
          <w:p w14:paraId="22DFE1AE" w14:textId="77777777" w:rsidR="00C5135C" w:rsidRPr="00FC1783" w:rsidRDefault="00C5135C" w:rsidP="00C5135C">
            <w:pPr>
              <w:rPr>
                <w:bCs/>
              </w:rPr>
            </w:pPr>
            <w:r w:rsidRPr="00FC1783">
              <w:rPr>
                <w:bCs/>
              </w:rPr>
              <w:t>94</w:t>
            </w:r>
          </w:p>
        </w:tc>
        <w:tc>
          <w:tcPr>
            <w:tcW w:w="864" w:type="dxa"/>
            <w:noWrap/>
            <w:hideMark/>
          </w:tcPr>
          <w:p w14:paraId="22DFE1AF" w14:textId="77777777" w:rsidR="00C5135C" w:rsidRPr="00FC1783" w:rsidRDefault="00C5135C" w:rsidP="00C5135C">
            <w:pPr>
              <w:rPr>
                <w:bCs/>
              </w:rPr>
            </w:pPr>
            <w:r w:rsidRPr="00FC1783">
              <w:rPr>
                <w:bCs/>
              </w:rPr>
              <w:t>141</w:t>
            </w:r>
          </w:p>
        </w:tc>
        <w:tc>
          <w:tcPr>
            <w:tcW w:w="864" w:type="dxa"/>
            <w:noWrap/>
            <w:hideMark/>
          </w:tcPr>
          <w:p w14:paraId="22DFE1B0" w14:textId="77777777" w:rsidR="00C5135C" w:rsidRPr="00FC1783" w:rsidRDefault="00C5135C" w:rsidP="00C5135C">
            <w:pPr>
              <w:rPr>
                <w:bCs/>
              </w:rPr>
            </w:pPr>
            <w:r w:rsidRPr="00FC1783">
              <w:rPr>
                <w:bCs/>
              </w:rPr>
              <w:t>352</w:t>
            </w:r>
          </w:p>
        </w:tc>
        <w:tc>
          <w:tcPr>
            <w:tcW w:w="943" w:type="dxa"/>
            <w:noWrap/>
            <w:hideMark/>
          </w:tcPr>
          <w:p w14:paraId="22DFE1B1" w14:textId="77777777" w:rsidR="00C5135C" w:rsidRPr="00FC1783" w:rsidRDefault="00C5135C" w:rsidP="00C5135C">
            <w:pPr>
              <w:rPr>
                <w:bCs/>
              </w:rPr>
            </w:pPr>
            <w:r w:rsidRPr="00FC1783">
              <w:rPr>
                <w:bCs/>
              </w:rPr>
              <w:t>341</w:t>
            </w:r>
          </w:p>
        </w:tc>
        <w:tc>
          <w:tcPr>
            <w:tcW w:w="934" w:type="dxa"/>
            <w:noWrap/>
            <w:hideMark/>
          </w:tcPr>
          <w:p w14:paraId="22DFE1B2" w14:textId="77777777" w:rsidR="00C5135C" w:rsidRPr="00FC1783" w:rsidRDefault="00C5135C" w:rsidP="00C5135C">
            <w:pPr>
              <w:rPr>
                <w:bCs/>
              </w:rPr>
            </w:pPr>
            <w:r w:rsidRPr="00FC1783">
              <w:rPr>
                <w:bCs/>
              </w:rPr>
              <w:t>332</w:t>
            </w:r>
          </w:p>
        </w:tc>
      </w:tr>
    </w:tbl>
    <w:p w14:paraId="22DFE1B4" w14:textId="77777777" w:rsidR="005F2B41" w:rsidRDefault="005F2B41" w:rsidP="00F15BC4"/>
    <w:p w14:paraId="22DFE1B5" w14:textId="77777777" w:rsidR="00F15BC4" w:rsidRDefault="00F15BC4" w:rsidP="00F15BC4">
      <w:r>
        <w:t>Table 2: This table provides Sexual Hate Concern incident nominals where the sexual hate reason is Gay.</w:t>
      </w:r>
    </w:p>
    <w:tbl>
      <w:tblPr>
        <w:tblStyle w:val="TableGrid"/>
        <w:tblW w:w="0" w:type="auto"/>
        <w:tblLook w:val="04A0" w:firstRow="1" w:lastRow="0" w:firstColumn="1" w:lastColumn="0" w:noHBand="0" w:noVBand="1"/>
        <w:tblCaption w:val="Sexual Hate Concern incident nominals where the sexual hate reason is Gay."/>
        <w:tblDescription w:val="Sexual Hate Concern incident nominals where the sexual hate reason is Gay."/>
      </w:tblPr>
      <w:tblGrid>
        <w:gridCol w:w="1715"/>
        <w:gridCol w:w="872"/>
        <w:gridCol w:w="872"/>
        <w:gridCol w:w="872"/>
        <w:gridCol w:w="871"/>
        <w:gridCol w:w="871"/>
        <w:gridCol w:w="871"/>
        <w:gridCol w:w="871"/>
        <w:gridCol w:w="871"/>
        <w:gridCol w:w="942"/>
      </w:tblGrid>
      <w:tr w:rsidR="00FC1783" w:rsidRPr="00F15BC4" w14:paraId="22DFE1C0" w14:textId="77777777" w:rsidTr="00FC1783">
        <w:trPr>
          <w:trHeight w:val="315"/>
          <w:tblHeader/>
        </w:trPr>
        <w:tc>
          <w:tcPr>
            <w:tcW w:w="1715" w:type="dxa"/>
            <w:shd w:val="clear" w:color="auto" w:fill="D9D9D9" w:themeFill="background1" w:themeFillShade="D9"/>
            <w:hideMark/>
          </w:tcPr>
          <w:p w14:paraId="22DFE1B6" w14:textId="77777777" w:rsidR="00F15BC4" w:rsidRPr="00FC1783" w:rsidRDefault="00FC1783">
            <w:pPr>
              <w:rPr>
                <w:bCs/>
              </w:rPr>
            </w:pPr>
            <w:r w:rsidRPr="00FC1783">
              <w:rPr>
                <w:bCs/>
              </w:rPr>
              <w:t>Year</w:t>
            </w:r>
          </w:p>
        </w:tc>
        <w:tc>
          <w:tcPr>
            <w:tcW w:w="872" w:type="dxa"/>
            <w:shd w:val="clear" w:color="auto" w:fill="D9D9D9" w:themeFill="background1" w:themeFillShade="D9"/>
            <w:hideMark/>
          </w:tcPr>
          <w:p w14:paraId="22DFE1B7" w14:textId="77777777" w:rsidR="00F15BC4" w:rsidRPr="00FC1783" w:rsidRDefault="00F15BC4" w:rsidP="00F15BC4">
            <w:pPr>
              <w:rPr>
                <w:bCs/>
              </w:rPr>
            </w:pPr>
            <w:r w:rsidRPr="00FC1783">
              <w:rPr>
                <w:bCs/>
              </w:rPr>
              <w:t>14/15</w:t>
            </w:r>
          </w:p>
        </w:tc>
        <w:tc>
          <w:tcPr>
            <w:tcW w:w="872" w:type="dxa"/>
            <w:shd w:val="clear" w:color="auto" w:fill="D9D9D9" w:themeFill="background1" w:themeFillShade="D9"/>
            <w:hideMark/>
          </w:tcPr>
          <w:p w14:paraId="22DFE1B8" w14:textId="77777777" w:rsidR="00F15BC4" w:rsidRPr="00FC1783" w:rsidRDefault="00F15BC4" w:rsidP="00F15BC4">
            <w:pPr>
              <w:rPr>
                <w:bCs/>
              </w:rPr>
            </w:pPr>
            <w:r w:rsidRPr="00FC1783">
              <w:rPr>
                <w:bCs/>
              </w:rPr>
              <w:t>15/16</w:t>
            </w:r>
          </w:p>
        </w:tc>
        <w:tc>
          <w:tcPr>
            <w:tcW w:w="872" w:type="dxa"/>
            <w:shd w:val="clear" w:color="auto" w:fill="D9D9D9" w:themeFill="background1" w:themeFillShade="D9"/>
            <w:hideMark/>
          </w:tcPr>
          <w:p w14:paraId="22DFE1B9" w14:textId="77777777" w:rsidR="00F15BC4" w:rsidRPr="00FC1783" w:rsidRDefault="00F15BC4" w:rsidP="00F15BC4">
            <w:pPr>
              <w:rPr>
                <w:bCs/>
              </w:rPr>
            </w:pPr>
            <w:r w:rsidRPr="00FC1783">
              <w:rPr>
                <w:bCs/>
              </w:rPr>
              <w:t>16/17</w:t>
            </w:r>
          </w:p>
        </w:tc>
        <w:tc>
          <w:tcPr>
            <w:tcW w:w="871" w:type="dxa"/>
            <w:shd w:val="clear" w:color="auto" w:fill="D9D9D9" w:themeFill="background1" w:themeFillShade="D9"/>
            <w:noWrap/>
            <w:hideMark/>
          </w:tcPr>
          <w:p w14:paraId="22DFE1BA" w14:textId="77777777" w:rsidR="00F15BC4" w:rsidRPr="00FC1783" w:rsidRDefault="00F15BC4" w:rsidP="00FC1783">
            <w:pPr>
              <w:rPr>
                <w:bCs/>
              </w:rPr>
            </w:pPr>
            <w:r w:rsidRPr="00FC1783">
              <w:rPr>
                <w:bCs/>
              </w:rPr>
              <w:t>17/18</w:t>
            </w:r>
          </w:p>
        </w:tc>
        <w:tc>
          <w:tcPr>
            <w:tcW w:w="871" w:type="dxa"/>
            <w:shd w:val="clear" w:color="auto" w:fill="D9D9D9" w:themeFill="background1" w:themeFillShade="D9"/>
            <w:noWrap/>
            <w:hideMark/>
          </w:tcPr>
          <w:p w14:paraId="22DFE1BB" w14:textId="77777777" w:rsidR="00F15BC4" w:rsidRPr="00FC1783" w:rsidRDefault="00F15BC4" w:rsidP="00F15BC4">
            <w:pPr>
              <w:rPr>
                <w:bCs/>
              </w:rPr>
            </w:pPr>
            <w:r w:rsidRPr="00FC1783">
              <w:rPr>
                <w:bCs/>
              </w:rPr>
              <w:t>18/19</w:t>
            </w:r>
          </w:p>
        </w:tc>
        <w:tc>
          <w:tcPr>
            <w:tcW w:w="871" w:type="dxa"/>
            <w:shd w:val="clear" w:color="auto" w:fill="D9D9D9" w:themeFill="background1" w:themeFillShade="D9"/>
            <w:noWrap/>
            <w:hideMark/>
          </w:tcPr>
          <w:p w14:paraId="22DFE1BC" w14:textId="77777777" w:rsidR="00F15BC4" w:rsidRPr="00FC1783" w:rsidRDefault="00F15BC4" w:rsidP="00F15BC4">
            <w:pPr>
              <w:rPr>
                <w:bCs/>
              </w:rPr>
            </w:pPr>
            <w:r w:rsidRPr="00FC1783">
              <w:rPr>
                <w:bCs/>
              </w:rPr>
              <w:t>19/20</w:t>
            </w:r>
          </w:p>
        </w:tc>
        <w:tc>
          <w:tcPr>
            <w:tcW w:w="871" w:type="dxa"/>
            <w:shd w:val="clear" w:color="auto" w:fill="D9D9D9" w:themeFill="background1" w:themeFillShade="D9"/>
            <w:noWrap/>
            <w:hideMark/>
          </w:tcPr>
          <w:p w14:paraId="22DFE1BD" w14:textId="77777777" w:rsidR="00F15BC4" w:rsidRPr="00FC1783" w:rsidRDefault="00F15BC4" w:rsidP="00F15BC4">
            <w:pPr>
              <w:rPr>
                <w:bCs/>
              </w:rPr>
            </w:pPr>
            <w:r w:rsidRPr="00FC1783">
              <w:rPr>
                <w:bCs/>
              </w:rPr>
              <w:t>20/21</w:t>
            </w:r>
          </w:p>
        </w:tc>
        <w:tc>
          <w:tcPr>
            <w:tcW w:w="871" w:type="dxa"/>
            <w:shd w:val="clear" w:color="auto" w:fill="D9D9D9" w:themeFill="background1" w:themeFillShade="D9"/>
            <w:noWrap/>
            <w:hideMark/>
          </w:tcPr>
          <w:p w14:paraId="22DFE1BE" w14:textId="77777777" w:rsidR="00F15BC4" w:rsidRPr="00FC1783" w:rsidRDefault="00F15BC4" w:rsidP="00F15BC4">
            <w:pPr>
              <w:rPr>
                <w:bCs/>
              </w:rPr>
            </w:pPr>
            <w:r w:rsidRPr="00FC1783">
              <w:rPr>
                <w:bCs/>
              </w:rPr>
              <w:t>21/22</w:t>
            </w:r>
          </w:p>
        </w:tc>
        <w:tc>
          <w:tcPr>
            <w:tcW w:w="942" w:type="dxa"/>
            <w:shd w:val="clear" w:color="auto" w:fill="D9D9D9" w:themeFill="background1" w:themeFillShade="D9"/>
            <w:noWrap/>
            <w:hideMark/>
          </w:tcPr>
          <w:p w14:paraId="22DFE1BF" w14:textId="77777777" w:rsidR="00F15BC4" w:rsidRPr="00FC1783" w:rsidRDefault="00F15BC4" w:rsidP="00F15BC4">
            <w:pPr>
              <w:rPr>
                <w:bCs/>
              </w:rPr>
            </w:pPr>
            <w:r w:rsidRPr="00FC1783">
              <w:rPr>
                <w:bCs/>
              </w:rPr>
              <w:t>22/23*</w:t>
            </w:r>
          </w:p>
        </w:tc>
      </w:tr>
      <w:tr w:rsidR="00FC1783" w:rsidRPr="00F15BC4" w14:paraId="22DFE1CB" w14:textId="77777777" w:rsidTr="00FC1783">
        <w:trPr>
          <w:trHeight w:val="315"/>
          <w:tblHeader/>
        </w:trPr>
        <w:tc>
          <w:tcPr>
            <w:tcW w:w="1715" w:type="dxa"/>
            <w:noWrap/>
            <w:hideMark/>
          </w:tcPr>
          <w:p w14:paraId="22DFE1C1" w14:textId="77777777" w:rsidR="00F15BC4" w:rsidRPr="00FC1783" w:rsidRDefault="00F15BC4">
            <w:pPr>
              <w:rPr>
                <w:bCs/>
              </w:rPr>
            </w:pPr>
            <w:r w:rsidRPr="00FC1783">
              <w:rPr>
                <w:bCs/>
              </w:rPr>
              <w:t>Total</w:t>
            </w:r>
          </w:p>
        </w:tc>
        <w:tc>
          <w:tcPr>
            <w:tcW w:w="872" w:type="dxa"/>
            <w:noWrap/>
            <w:hideMark/>
          </w:tcPr>
          <w:p w14:paraId="22DFE1C2" w14:textId="77777777" w:rsidR="00F15BC4" w:rsidRPr="00FC1783" w:rsidRDefault="00F15BC4" w:rsidP="00F15BC4">
            <w:pPr>
              <w:rPr>
                <w:bCs/>
              </w:rPr>
            </w:pPr>
            <w:r w:rsidRPr="00FC1783">
              <w:rPr>
                <w:bCs/>
              </w:rPr>
              <w:t>208</w:t>
            </w:r>
          </w:p>
        </w:tc>
        <w:tc>
          <w:tcPr>
            <w:tcW w:w="872" w:type="dxa"/>
            <w:noWrap/>
            <w:hideMark/>
          </w:tcPr>
          <w:p w14:paraId="22DFE1C3" w14:textId="77777777" w:rsidR="00F15BC4" w:rsidRPr="00FC1783" w:rsidRDefault="00F15BC4" w:rsidP="00F15BC4">
            <w:pPr>
              <w:rPr>
                <w:bCs/>
              </w:rPr>
            </w:pPr>
            <w:r w:rsidRPr="00FC1783">
              <w:rPr>
                <w:bCs/>
              </w:rPr>
              <w:t>255</w:t>
            </w:r>
          </w:p>
        </w:tc>
        <w:tc>
          <w:tcPr>
            <w:tcW w:w="872" w:type="dxa"/>
            <w:noWrap/>
            <w:hideMark/>
          </w:tcPr>
          <w:p w14:paraId="22DFE1C4" w14:textId="77777777" w:rsidR="00F15BC4" w:rsidRPr="00FC1783" w:rsidRDefault="00F15BC4" w:rsidP="00F15BC4">
            <w:pPr>
              <w:rPr>
                <w:bCs/>
              </w:rPr>
            </w:pPr>
            <w:r w:rsidRPr="00FC1783">
              <w:rPr>
                <w:bCs/>
              </w:rPr>
              <w:t>277</w:t>
            </w:r>
          </w:p>
        </w:tc>
        <w:tc>
          <w:tcPr>
            <w:tcW w:w="871" w:type="dxa"/>
            <w:noWrap/>
            <w:hideMark/>
          </w:tcPr>
          <w:p w14:paraId="22DFE1C5" w14:textId="77777777" w:rsidR="00F15BC4" w:rsidRPr="00FC1783" w:rsidRDefault="00F15BC4" w:rsidP="00F15BC4">
            <w:pPr>
              <w:rPr>
                <w:bCs/>
              </w:rPr>
            </w:pPr>
            <w:r w:rsidRPr="00FC1783">
              <w:rPr>
                <w:bCs/>
              </w:rPr>
              <w:t>356</w:t>
            </w:r>
          </w:p>
        </w:tc>
        <w:tc>
          <w:tcPr>
            <w:tcW w:w="871" w:type="dxa"/>
            <w:noWrap/>
            <w:hideMark/>
          </w:tcPr>
          <w:p w14:paraId="22DFE1C6" w14:textId="77777777" w:rsidR="00F15BC4" w:rsidRPr="00FC1783" w:rsidRDefault="00F15BC4" w:rsidP="00F15BC4">
            <w:pPr>
              <w:rPr>
                <w:bCs/>
              </w:rPr>
            </w:pPr>
            <w:r w:rsidRPr="00FC1783">
              <w:rPr>
                <w:bCs/>
              </w:rPr>
              <w:t>440</w:t>
            </w:r>
          </w:p>
        </w:tc>
        <w:tc>
          <w:tcPr>
            <w:tcW w:w="871" w:type="dxa"/>
            <w:noWrap/>
            <w:hideMark/>
          </w:tcPr>
          <w:p w14:paraId="22DFE1C7" w14:textId="77777777" w:rsidR="00F15BC4" w:rsidRPr="00FC1783" w:rsidRDefault="00F15BC4" w:rsidP="00F15BC4">
            <w:pPr>
              <w:rPr>
                <w:bCs/>
              </w:rPr>
            </w:pPr>
            <w:r w:rsidRPr="00FC1783">
              <w:rPr>
                <w:bCs/>
              </w:rPr>
              <w:t>577</w:t>
            </w:r>
          </w:p>
        </w:tc>
        <w:tc>
          <w:tcPr>
            <w:tcW w:w="871" w:type="dxa"/>
            <w:noWrap/>
            <w:hideMark/>
          </w:tcPr>
          <w:p w14:paraId="22DFE1C8" w14:textId="77777777" w:rsidR="00F15BC4" w:rsidRPr="00FC1783" w:rsidRDefault="00F15BC4" w:rsidP="00F15BC4">
            <w:pPr>
              <w:rPr>
                <w:bCs/>
              </w:rPr>
            </w:pPr>
            <w:r w:rsidRPr="00FC1783">
              <w:rPr>
                <w:bCs/>
              </w:rPr>
              <w:t>1261</w:t>
            </w:r>
          </w:p>
        </w:tc>
        <w:tc>
          <w:tcPr>
            <w:tcW w:w="871" w:type="dxa"/>
            <w:noWrap/>
            <w:hideMark/>
          </w:tcPr>
          <w:p w14:paraId="22DFE1C9" w14:textId="77777777" w:rsidR="00F15BC4" w:rsidRPr="00FC1783" w:rsidRDefault="00F15BC4" w:rsidP="00F15BC4">
            <w:pPr>
              <w:rPr>
                <w:bCs/>
              </w:rPr>
            </w:pPr>
            <w:r w:rsidRPr="00FC1783">
              <w:rPr>
                <w:bCs/>
              </w:rPr>
              <w:t>1465</w:t>
            </w:r>
          </w:p>
        </w:tc>
        <w:tc>
          <w:tcPr>
            <w:tcW w:w="942" w:type="dxa"/>
            <w:noWrap/>
            <w:hideMark/>
          </w:tcPr>
          <w:p w14:paraId="22DFE1CA" w14:textId="77777777" w:rsidR="00F15BC4" w:rsidRPr="00FC1783" w:rsidRDefault="00F15BC4" w:rsidP="00F15BC4">
            <w:pPr>
              <w:rPr>
                <w:bCs/>
              </w:rPr>
            </w:pPr>
            <w:r w:rsidRPr="00FC1783">
              <w:rPr>
                <w:bCs/>
              </w:rPr>
              <w:t>1354</w:t>
            </w:r>
          </w:p>
        </w:tc>
      </w:tr>
    </w:tbl>
    <w:p w14:paraId="22DFE1CC" w14:textId="77777777" w:rsidR="00FC1783" w:rsidRDefault="00FC1783" w:rsidP="00FC1783"/>
    <w:p w14:paraId="22DFE1CD" w14:textId="77777777" w:rsidR="008B214D" w:rsidRPr="008B214D" w:rsidRDefault="008B214D" w:rsidP="008B214D">
      <w:pPr>
        <w:rPr>
          <w:rFonts w:eastAsia="Times New Roman"/>
          <w:bCs/>
          <w:color w:val="000000"/>
          <w:lang w:eastAsia="en-GB"/>
        </w:rPr>
      </w:pPr>
      <w:r w:rsidRPr="008B214D">
        <w:t xml:space="preserve">Table 3: </w:t>
      </w:r>
      <w:r w:rsidRPr="008B214D">
        <w:rPr>
          <w:rFonts w:eastAsia="Times New Roman"/>
          <w:bCs/>
          <w:color w:val="000000"/>
          <w:lang w:eastAsia="en-GB"/>
        </w:rPr>
        <w:t>This table provides Sexual Hate Concern Incident Nominals where sexual hate reason is Bisexual</w:t>
      </w:r>
      <w:r>
        <w:rPr>
          <w:rFonts w:eastAsia="Times New Roman"/>
          <w:bCs/>
          <w:color w:val="000000"/>
          <w:lang w:eastAsia="en-GB"/>
        </w:rPr>
        <w:t>.</w:t>
      </w:r>
    </w:p>
    <w:tbl>
      <w:tblPr>
        <w:tblStyle w:val="TableGrid"/>
        <w:tblW w:w="0" w:type="auto"/>
        <w:tblLook w:val="04A0" w:firstRow="1" w:lastRow="0" w:firstColumn="1" w:lastColumn="0" w:noHBand="0" w:noVBand="1"/>
        <w:tblCaption w:val="Sexual Hate Concern Incident Nominals where sexual hate reason is Bisexual."/>
        <w:tblDescription w:val="Sexual Hate Concern Incident Nominals where sexual hate reason is Bisexual."/>
      </w:tblPr>
      <w:tblGrid>
        <w:gridCol w:w="923"/>
        <w:gridCol w:w="835"/>
        <w:gridCol w:w="818"/>
        <w:gridCol w:w="903"/>
        <w:gridCol w:w="851"/>
        <w:gridCol w:w="851"/>
        <w:gridCol w:w="851"/>
        <w:gridCol w:w="851"/>
        <w:gridCol w:w="851"/>
        <w:gridCol w:w="910"/>
      </w:tblGrid>
      <w:tr w:rsidR="008B214D" w:rsidRPr="008B214D" w14:paraId="22DFE1D8" w14:textId="77777777" w:rsidTr="008B214D">
        <w:trPr>
          <w:trHeight w:val="315"/>
          <w:tblHeader/>
        </w:trPr>
        <w:tc>
          <w:tcPr>
            <w:tcW w:w="923" w:type="dxa"/>
            <w:shd w:val="clear" w:color="auto" w:fill="D9D9D9" w:themeFill="background1" w:themeFillShade="D9"/>
            <w:hideMark/>
          </w:tcPr>
          <w:p w14:paraId="22DFE1CE" w14:textId="77777777" w:rsidR="008B214D" w:rsidRPr="005932CC" w:rsidRDefault="008B214D">
            <w:pPr>
              <w:rPr>
                <w:bCs/>
              </w:rPr>
            </w:pPr>
            <w:r w:rsidRPr="005932CC">
              <w:rPr>
                <w:bCs/>
              </w:rPr>
              <w:t>Year</w:t>
            </w:r>
          </w:p>
        </w:tc>
        <w:tc>
          <w:tcPr>
            <w:tcW w:w="835" w:type="dxa"/>
            <w:shd w:val="clear" w:color="auto" w:fill="D9D9D9" w:themeFill="background1" w:themeFillShade="D9"/>
            <w:hideMark/>
          </w:tcPr>
          <w:p w14:paraId="22DFE1CF" w14:textId="77777777" w:rsidR="008B214D" w:rsidRPr="005932CC" w:rsidRDefault="008B214D" w:rsidP="008B214D">
            <w:pPr>
              <w:rPr>
                <w:bCs/>
              </w:rPr>
            </w:pPr>
            <w:r w:rsidRPr="005932CC">
              <w:rPr>
                <w:bCs/>
              </w:rPr>
              <w:t>14/15</w:t>
            </w:r>
          </w:p>
        </w:tc>
        <w:tc>
          <w:tcPr>
            <w:tcW w:w="818" w:type="dxa"/>
            <w:shd w:val="clear" w:color="auto" w:fill="D9D9D9" w:themeFill="background1" w:themeFillShade="D9"/>
            <w:hideMark/>
          </w:tcPr>
          <w:p w14:paraId="22DFE1D0" w14:textId="77777777" w:rsidR="008B214D" w:rsidRPr="005932CC" w:rsidRDefault="008B214D" w:rsidP="008B214D">
            <w:pPr>
              <w:rPr>
                <w:bCs/>
              </w:rPr>
            </w:pPr>
            <w:r w:rsidRPr="005932CC">
              <w:rPr>
                <w:bCs/>
              </w:rPr>
              <w:t>15/16</w:t>
            </w:r>
          </w:p>
        </w:tc>
        <w:tc>
          <w:tcPr>
            <w:tcW w:w="903" w:type="dxa"/>
            <w:shd w:val="clear" w:color="auto" w:fill="D9D9D9" w:themeFill="background1" w:themeFillShade="D9"/>
            <w:hideMark/>
          </w:tcPr>
          <w:p w14:paraId="22DFE1D1" w14:textId="77777777" w:rsidR="008B214D" w:rsidRPr="005932CC" w:rsidRDefault="008B214D" w:rsidP="008B214D">
            <w:pPr>
              <w:rPr>
                <w:bCs/>
              </w:rPr>
            </w:pPr>
            <w:r w:rsidRPr="005932CC">
              <w:rPr>
                <w:bCs/>
              </w:rPr>
              <w:t>16/17</w:t>
            </w:r>
          </w:p>
        </w:tc>
        <w:tc>
          <w:tcPr>
            <w:tcW w:w="851" w:type="dxa"/>
            <w:shd w:val="clear" w:color="auto" w:fill="D9D9D9" w:themeFill="background1" w:themeFillShade="D9"/>
            <w:noWrap/>
            <w:hideMark/>
          </w:tcPr>
          <w:p w14:paraId="22DFE1D2" w14:textId="77777777" w:rsidR="008B214D" w:rsidRPr="005932CC" w:rsidRDefault="008B214D" w:rsidP="008B214D">
            <w:pPr>
              <w:rPr>
                <w:bCs/>
              </w:rPr>
            </w:pPr>
            <w:r w:rsidRPr="005932CC">
              <w:rPr>
                <w:bCs/>
              </w:rPr>
              <w:t>17/18</w:t>
            </w:r>
          </w:p>
        </w:tc>
        <w:tc>
          <w:tcPr>
            <w:tcW w:w="851" w:type="dxa"/>
            <w:shd w:val="clear" w:color="auto" w:fill="D9D9D9" w:themeFill="background1" w:themeFillShade="D9"/>
            <w:noWrap/>
            <w:hideMark/>
          </w:tcPr>
          <w:p w14:paraId="22DFE1D3" w14:textId="77777777" w:rsidR="008B214D" w:rsidRPr="005932CC" w:rsidRDefault="008B214D" w:rsidP="008B214D">
            <w:pPr>
              <w:rPr>
                <w:bCs/>
              </w:rPr>
            </w:pPr>
            <w:r w:rsidRPr="005932CC">
              <w:rPr>
                <w:bCs/>
              </w:rPr>
              <w:t>18/19</w:t>
            </w:r>
          </w:p>
        </w:tc>
        <w:tc>
          <w:tcPr>
            <w:tcW w:w="851" w:type="dxa"/>
            <w:shd w:val="clear" w:color="auto" w:fill="D9D9D9" w:themeFill="background1" w:themeFillShade="D9"/>
            <w:noWrap/>
            <w:hideMark/>
          </w:tcPr>
          <w:p w14:paraId="22DFE1D4" w14:textId="77777777" w:rsidR="008B214D" w:rsidRPr="005932CC" w:rsidRDefault="008B214D" w:rsidP="008B214D">
            <w:pPr>
              <w:rPr>
                <w:bCs/>
              </w:rPr>
            </w:pPr>
            <w:r w:rsidRPr="005932CC">
              <w:rPr>
                <w:bCs/>
              </w:rPr>
              <w:t>19/20</w:t>
            </w:r>
          </w:p>
        </w:tc>
        <w:tc>
          <w:tcPr>
            <w:tcW w:w="851" w:type="dxa"/>
            <w:shd w:val="clear" w:color="auto" w:fill="D9D9D9" w:themeFill="background1" w:themeFillShade="D9"/>
            <w:noWrap/>
            <w:hideMark/>
          </w:tcPr>
          <w:p w14:paraId="22DFE1D5" w14:textId="77777777" w:rsidR="008B214D" w:rsidRPr="005932CC" w:rsidRDefault="008B214D" w:rsidP="008B214D">
            <w:pPr>
              <w:rPr>
                <w:bCs/>
              </w:rPr>
            </w:pPr>
            <w:r w:rsidRPr="005932CC">
              <w:rPr>
                <w:bCs/>
              </w:rPr>
              <w:t>20/21</w:t>
            </w:r>
          </w:p>
        </w:tc>
        <w:tc>
          <w:tcPr>
            <w:tcW w:w="851" w:type="dxa"/>
            <w:shd w:val="clear" w:color="auto" w:fill="D9D9D9" w:themeFill="background1" w:themeFillShade="D9"/>
            <w:noWrap/>
            <w:hideMark/>
          </w:tcPr>
          <w:p w14:paraId="22DFE1D6" w14:textId="77777777" w:rsidR="008B214D" w:rsidRPr="005932CC" w:rsidRDefault="008B214D" w:rsidP="008B214D">
            <w:pPr>
              <w:rPr>
                <w:bCs/>
              </w:rPr>
            </w:pPr>
            <w:r w:rsidRPr="005932CC">
              <w:rPr>
                <w:bCs/>
              </w:rPr>
              <w:t>21/22</w:t>
            </w:r>
          </w:p>
        </w:tc>
        <w:tc>
          <w:tcPr>
            <w:tcW w:w="905" w:type="dxa"/>
            <w:shd w:val="clear" w:color="auto" w:fill="D9D9D9" w:themeFill="background1" w:themeFillShade="D9"/>
            <w:noWrap/>
            <w:hideMark/>
          </w:tcPr>
          <w:p w14:paraId="22DFE1D7" w14:textId="77777777" w:rsidR="008B214D" w:rsidRPr="005932CC" w:rsidRDefault="008B214D" w:rsidP="008B214D">
            <w:pPr>
              <w:rPr>
                <w:bCs/>
              </w:rPr>
            </w:pPr>
            <w:r w:rsidRPr="005932CC">
              <w:rPr>
                <w:bCs/>
              </w:rPr>
              <w:t>22/23*</w:t>
            </w:r>
          </w:p>
        </w:tc>
      </w:tr>
      <w:tr w:rsidR="008B214D" w:rsidRPr="008B214D" w14:paraId="22DFE1E3" w14:textId="77777777" w:rsidTr="008B214D">
        <w:trPr>
          <w:trHeight w:val="315"/>
          <w:tblHeader/>
        </w:trPr>
        <w:tc>
          <w:tcPr>
            <w:tcW w:w="923" w:type="dxa"/>
            <w:noWrap/>
            <w:hideMark/>
          </w:tcPr>
          <w:p w14:paraId="22DFE1D9" w14:textId="77777777" w:rsidR="008B214D" w:rsidRPr="005932CC" w:rsidRDefault="008B214D">
            <w:pPr>
              <w:rPr>
                <w:bCs/>
              </w:rPr>
            </w:pPr>
            <w:r w:rsidRPr="005932CC">
              <w:rPr>
                <w:bCs/>
              </w:rPr>
              <w:t>Total</w:t>
            </w:r>
          </w:p>
        </w:tc>
        <w:tc>
          <w:tcPr>
            <w:tcW w:w="835" w:type="dxa"/>
            <w:noWrap/>
            <w:hideMark/>
          </w:tcPr>
          <w:p w14:paraId="22DFE1DA" w14:textId="77777777" w:rsidR="008B214D" w:rsidRPr="005932CC" w:rsidRDefault="008B214D" w:rsidP="008B214D">
            <w:pPr>
              <w:rPr>
                <w:bCs/>
              </w:rPr>
            </w:pPr>
            <w:r w:rsidRPr="005932CC">
              <w:rPr>
                <w:bCs/>
              </w:rPr>
              <w:t>15</w:t>
            </w:r>
          </w:p>
        </w:tc>
        <w:tc>
          <w:tcPr>
            <w:tcW w:w="818" w:type="dxa"/>
            <w:noWrap/>
            <w:hideMark/>
          </w:tcPr>
          <w:p w14:paraId="22DFE1DB" w14:textId="77777777" w:rsidR="008B214D" w:rsidRPr="005932CC" w:rsidRDefault="008B214D" w:rsidP="008B214D">
            <w:pPr>
              <w:rPr>
                <w:bCs/>
              </w:rPr>
            </w:pPr>
            <w:r w:rsidRPr="005932CC">
              <w:rPr>
                <w:bCs/>
              </w:rPr>
              <w:t>8</w:t>
            </w:r>
          </w:p>
        </w:tc>
        <w:tc>
          <w:tcPr>
            <w:tcW w:w="903" w:type="dxa"/>
            <w:noWrap/>
            <w:hideMark/>
          </w:tcPr>
          <w:p w14:paraId="22DFE1DC" w14:textId="77777777" w:rsidR="008B214D" w:rsidRPr="005932CC" w:rsidRDefault="008B214D" w:rsidP="008B214D">
            <w:pPr>
              <w:rPr>
                <w:bCs/>
              </w:rPr>
            </w:pPr>
            <w:r w:rsidRPr="005932CC">
              <w:rPr>
                <w:bCs/>
              </w:rPr>
              <w:t>14</w:t>
            </w:r>
          </w:p>
        </w:tc>
        <w:tc>
          <w:tcPr>
            <w:tcW w:w="851" w:type="dxa"/>
            <w:noWrap/>
            <w:hideMark/>
          </w:tcPr>
          <w:p w14:paraId="22DFE1DD" w14:textId="77777777" w:rsidR="008B214D" w:rsidRPr="005932CC" w:rsidRDefault="008B214D" w:rsidP="008B214D">
            <w:pPr>
              <w:rPr>
                <w:bCs/>
              </w:rPr>
            </w:pPr>
            <w:r w:rsidRPr="005932CC">
              <w:rPr>
                <w:bCs/>
              </w:rPr>
              <w:t>20</w:t>
            </w:r>
          </w:p>
        </w:tc>
        <w:tc>
          <w:tcPr>
            <w:tcW w:w="851" w:type="dxa"/>
            <w:noWrap/>
            <w:hideMark/>
          </w:tcPr>
          <w:p w14:paraId="22DFE1DE" w14:textId="77777777" w:rsidR="008B214D" w:rsidRPr="005932CC" w:rsidRDefault="008B214D" w:rsidP="008B214D">
            <w:pPr>
              <w:rPr>
                <w:bCs/>
              </w:rPr>
            </w:pPr>
            <w:r w:rsidRPr="005932CC">
              <w:rPr>
                <w:bCs/>
              </w:rPr>
              <w:t>21</w:t>
            </w:r>
          </w:p>
        </w:tc>
        <w:tc>
          <w:tcPr>
            <w:tcW w:w="851" w:type="dxa"/>
            <w:noWrap/>
            <w:hideMark/>
          </w:tcPr>
          <w:p w14:paraId="22DFE1DF" w14:textId="77777777" w:rsidR="008B214D" w:rsidRPr="005932CC" w:rsidRDefault="008B214D" w:rsidP="008B214D">
            <w:pPr>
              <w:rPr>
                <w:bCs/>
              </w:rPr>
            </w:pPr>
            <w:r w:rsidRPr="005932CC">
              <w:rPr>
                <w:bCs/>
              </w:rPr>
              <w:t>25</w:t>
            </w:r>
          </w:p>
        </w:tc>
        <w:tc>
          <w:tcPr>
            <w:tcW w:w="851" w:type="dxa"/>
            <w:noWrap/>
            <w:hideMark/>
          </w:tcPr>
          <w:p w14:paraId="22DFE1E0" w14:textId="77777777" w:rsidR="008B214D" w:rsidRPr="005932CC" w:rsidRDefault="008B214D" w:rsidP="008B214D">
            <w:pPr>
              <w:rPr>
                <w:bCs/>
              </w:rPr>
            </w:pPr>
            <w:r w:rsidRPr="005932CC">
              <w:rPr>
                <w:bCs/>
              </w:rPr>
              <w:t>54</w:t>
            </w:r>
          </w:p>
        </w:tc>
        <w:tc>
          <w:tcPr>
            <w:tcW w:w="851" w:type="dxa"/>
            <w:noWrap/>
            <w:hideMark/>
          </w:tcPr>
          <w:p w14:paraId="22DFE1E1" w14:textId="77777777" w:rsidR="008B214D" w:rsidRPr="005932CC" w:rsidRDefault="008B214D" w:rsidP="008B214D">
            <w:pPr>
              <w:rPr>
                <w:bCs/>
              </w:rPr>
            </w:pPr>
            <w:r w:rsidRPr="005932CC">
              <w:rPr>
                <w:bCs/>
              </w:rPr>
              <w:t>61</w:t>
            </w:r>
          </w:p>
        </w:tc>
        <w:tc>
          <w:tcPr>
            <w:tcW w:w="905" w:type="dxa"/>
            <w:noWrap/>
            <w:hideMark/>
          </w:tcPr>
          <w:p w14:paraId="22DFE1E2" w14:textId="77777777" w:rsidR="008B214D" w:rsidRPr="005932CC" w:rsidRDefault="008B214D" w:rsidP="008B214D">
            <w:pPr>
              <w:rPr>
                <w:bCs/>
              </w:rPr>
            </w:pPr>
            <w:r w:rsidRPr="005932CC">
              <w:rPr>
                <w:bCs/>
              </w:rPr>
              <w:t>65</w:t>
            </w:r>
          </w:p>
        </w:tc>
      </w:tr>
    </w:tbl>
    <w:p w14:paraId="22DFE1E4" w14:textId="77777777" w:rsidR="008B214D" w:rsidRDefault="008B214D" w:rsidP="00FC1783"/>
    <w:p w14:paraId="22DFE1E5" w14:textId="77777777" w:rsidR="003B2829" w:rsidRDefault="003B2829" w:rsidP="003B2829">
      <w:pPr>
        <w:spacing w:before="0" w:after="0" w:line="240" w:lineRule="auto"/>
        <w:rPr>
          <w:rFonts w:eastAsia="Times New Roman"/>
          <w:bCs/>
          <w:color w:val="000000"/>
          <w:lang w:eastAsia="en-GB"/>
        </w:rPr>
      </w:pPr>
      <w:r w:rsidRPr="003B2829">
        <w:rPr>
          <w:rFonts w:eastAsia="Times New Roman"/>
          <w:bCs/>
          <w:color w:val="000000"/>
          <w:lang w:eastAsia="en-GB"/>
        </w:rPr>
        <w:t>Table 4: This table provides Transgender Hate Concern Incident Nominals</w:t>
      </w:r>
    </w:p>
    <w:p w14:paraId="22DFE1E6" w14:textId="77777777" w:rsidR="005932CC" w:rsidRPr="003B2829" w:rsidRDefault="005932CC" w:rsidP="003B2829">
      <w:pPr>
        <w:spacing w:before="0" w:after="0" w:line="240" w:lineRule="auto"/>
        <w:rPr>
          <w:rFonts w:eastAsia="Times New Roman"/>
          <w:bCs/>
          <w:color w:val="000000"/>
          <w:lang w:eastAsia="en-GB"/>
        </w:rPr>
      </w:pPr>
    </w:p>
    <w:tbl>
      <w:tblPr>
        <w:tblStyle w:val="TableGrid"/>
        <w:tblW w:w="0" w:type="auto"/>
        <w:tblLook w:val="04A0" w:firstRow="1" w:lastRow="0" w:firstColumn="1" w:lastColumn="0" w:noHBand="0" w:noVBand="1"/>
        <w:tblCaption w:val="Transgender Hate Concern Incident Nominals"/>
        <w:tblDescription w:val="Transgender Hate Concern Incident Nominals"/>
      </w:tblPr>
      <w:tblGrid>
        <w:gridCol w:w="937"/>
        <w:gridCol w:w="817"/>
        <w:gridCol w:w="817"/>
        <w:gridCol w:w="817"/>
        <w:gridCol w:w="817"/>
        <w:gridCol w:w="817"/>
        <w:gridCol w:w="817"/>
        <w:gridCol w:w="817"/>
        <w:gridCol w:w="817"/>
        <w:gridCol w:w="910"/>
      </w:tblGrid>
      <w:tr w:rsidR="005932CC" w:rsidRPr="005932CC" w14:paraId="22DFE1F1" w14:textId="77777777" w:rsidTr="005932CC">
        <w:trPr>
          <w:trHeight w:val="315"/>
          <w:tblHeader/>
        </w:trPr>
        <w:tc>
          <w:tcPr>
            <w:tcW w:w="937" w:type="dxa"/>
            <w:shd w:val="clear" w:color="auto" w:fill="D9D9D9" w:themeFill="background1" w:themeFillShade="D9"/>
            <w:hideMark/>
          </w:tcPr>
          <w:p w14:paraId="22DFE1E7" w14:textId="77777777" w:rsidR="005932CC" w:rsidRPr="005932CC" w:rsidRDefault="005932CC">
            <w:pPr>
              <w:rPr>
                <w:bCs/>
              </w:rPr>
            </w:pPr>
            <w:r w:rsidRPr="005932CC">
              <w:rPr>
                <w:bCs/>
              </w:rPr>
              <w:t> Year</w:t>
            </w:r>
          </w:p>
        </w:tc>
        <w:tc>
          <w:tcPr>
            <w:tcW w:w="817" w:type="dxa"/>
            <w:shd w:val="clear" w:color="auto" w:fill="D9D9D9" w:themeFill="background1" w:themeFillShade="D9"/>
            <w:hideMark/>
          </w:tcPr>
          <w:p w14:paraId="22DFE1E8" w14:textId="77777777" w:rsidR="005932CC" w:rsidRPr="005932CC" w:rsidRDefault="005932CC" w:rsidP="005932CC">
            <w:pPr>
              <w:rPr>
                <w:bCs/>
              </w:rPr>
            </w:pPr>
            <w:r w:rsidRPr="005932CC">
              <w:rPr>
                <w:bCs/>
              </w:rPr>
              <w:t>14/15</w:t>
            </w:r>
          </w:p>
        </w:tc>
        <w:tc>
          <w:tcPr>
            <w:tcW w:w="817" w:type="dxa"/>
            <w:shd w:val="clear" w:color="auto" w:fill="D9D9D9" w:themeFill="background1" w:themeFillShade="D9"/>
            <w:hideMark/>
          </w:tcPr>
          <w:p w14:paraId="22DFE1E9" w14:textId="77777777" w:rsidR="005932CC" w:rsidRPr="005932CC" w:rsidRDefault="005932CC" w:rsidP="005932CC">
            <w:pPr>
              <w:rPr>
                <w:bCs/>
              </w:rPr>
            </w:pPr>
            <w:r w:rsidRPr="005932CC">
              <w:rPr>
                <w:bCs/>
              </w:rPr>
              <w:t>15/16</w:t>
            </w:r>
          </w:p>
        </w:tc>
        <w:tc>
          <w:tcPr>
            <w:tcW w:w="817" w:type="dxa"/>
            <w:shd w:val="clear" w:color="auto" w:fill="D9D9D9" w:themeFill="background1" w:themeFillShade="D9"/>
            <w:hideMark/>
          </w:tcPr>
          <w:p w14:paraId="22DFE1EA" w14:textId="77777777" w:rsidR="005932CC" w:rsidRPr="005932CC" w:rsidRDefault="005932CC" w:rsidP="005932CC">
            <w:pPr>
              <w:rPr>
                <w:bCs/>
              </w:rPr>
            </w:pPr>
            <w:r w:rsidRPr="005932CC">
              <w:rPr>
                <w:bCs/>
              </w:rPr>
              <w:t>16/17</w:t>
            </w:r>
          </w:p>
        </w:tc>
        <w:tc>
          <w:tcPr>
            <w:tcW w:w="817" w:type="dxa"/>
            <w:shd w:val="clear" w:color="auto" w:fill="D9D9D9" w:themeFill="background1" w:themeFillShade="D9"/>
            <w:noWrap/>
            <w:hideMark/>
          </w:tcPr>
          <w:p w14:paraId="22DFE1EB" w14:textId="77777777" w:rsidR="005932CC" w:rsidRPr="005932CC" w:rsidRDefault="005932CC" w:rsidP="005932CC">
            <w:pPr>
              <w:rPr>
                <w:bCs/>
              </w:rPr>
            </w:pPr>
            <w:r w:rsidRPr="005932CC">
              <w:rPr>
                <w:bCs/>
              </w:rPr>
              <w:t>17/18</w:t>
            </w:r>
          </w:p>
        </w:tc>
        <w:tc>
          <w:tcPr>
            <w:tcW w:w="817" w:type="dxa"/>
            <w:shd w:val="clear" w:color="auto" w:fill="D9D9D9" w:themeFill="background1" w:themeFillShade="D9"/>
            <w:noWrap/>
            <w:hideMark/>
          </w:tcPr>
          <w:p w14:paraId="22DFE1EC" w14:textId="77777777" w:rsidR="005932CC" w:rsidRPr="005932CC" w:rsidRDefault="005932CC" w:rsidP="005932CC">
            <w:pPr>
              <w:rPr>
                <w:bCs/>
              </w:rPr>
            </w:pPr>
            <w:r w:rsidRPr="005932CC">
              <w:rPr>
                <w:bCs/>
              </w:rPr>
              <w:t>18/19</w:t>
            </w:r>
          </w:p>
        </w:tc>
        <w:tc>
          <w:tcPr>
            <w:tcW w:w="817" w:type="dxa"/>
            <w:shd w:val="clear" w:color="auto" w:fill="D9D9D9" w:themeFill="background1" w:themeFillShade="D9"/>
            <w:noWrap/>
            <w:hideMark/>
          </w:tcPr>
          <w:p w14:paraId="22DFE1ED" w14:textId="77777777" w:rsidR="005932CC" w:rsidRPr="005932CC" w:rsidRDefault="005932CC" w:rsidP="005932CC">
            <w:pPr>
              <w:rPr>
                <w:bCs/>
              </w:rPr>
            </w:pPr>
            <w:r w:rsidRPr="005932CC">
              <w:rPr>
                <w:bCs/>
              </w:rPr>
              <w:t>19/20</w:t>
            </w:r>
          </w:p>
        </w:tc>
        <w:tc>
          <w:tcPr>
            <w:tcW w:w="817" w:type="dxa"/>
            <w:shd w:val="clear" w:color="auto" w:fill="D9D9D9" w:themeFill="background1" w:themeFillShade="D9"/>
            <w:noWrap/>
            <w:hideMark/>
          </w:tcPr>
          <w:p w14:paraId="22DFE1EE" w14:textId="77777777" w:rsidR="005932CC" w:rsidRPr="005932CC" w:rsidRDefault="005932CC" w:rsidP="005932CC">
            <w:pPr>
              <w:rPr>
                <w:bCs/>
              </w:rPr>
            </w:pPr>
            <w:r w:rsidRPr="005932CC">
              <w:rPr>
                <w:bCs/>
              </w:rPr>
              <w:t>20/21</w:t>
            </w:r>
          </w:p>
        </w:tc>
        <w:tc>
          <w:tcPr>
            <w:tcW w:w="817" w:type="dxa"/>
            <w:shd w:val="clear" w:color="auto" w:fill="D9D9D9" w:themeFill="background1" w:themeFillShade="D9"/>
            <w:noWrap/>
            <w:hideMark/>
          </w:tcPr>
          <w:p w14:paraId="22DFE1EF" w14:textId="77777777" w:rsidR="005932CC" w:rsidRPr="005932CC" w:rsidRDefault="005932CC" w:rsidP="005932CC">
            <w:pPr>
              <w:rPr>
                <w:bCs/>
              </w:rPr>
            </w:pPr>
            <w:r w:rsidRPr="005932CC">
              <w:rPr>
                <w:bCs/>
              </w:rPr>
              <w:t>21/22</w:t>
            </w:r>
          </w:p>
        </w:tc>
        <w:tc>
          <w:tcPr>
            <w:tcW w:w="910" w:type="dxa"/>
            <w:shd w:val="clear" w:color="auto" w:fill="D9D9D9" w:themeFill="background1" w:themeFillShade="D9"/>
            <w:noWrap/>
            <w:hideMark/>
          </w:tcPr>
          <w:p w14:paraId="22DFE1F0" w14:textId="77777777" w:rsidR="005932CC" w:rsidRPr="005932CC" w:rsidRDefault="005932CC" w:rsidP="005932CC">
            <w:pPr>
              <w:rPr>
                <w:bCs/>
              </w:rPr>
            </w:pPr>
            <w:r w:rsidRPr="005932CC">
              <w:rPr>
                <w:bCs/>
              </w:rPr>
              <w:t>22/23*</w:t>
            </w:r>
          </w:p>
        </w:tc>
      </w:tr>
      <w:tr w:rsidR="005932CC" w:rsidRPr="005932CC" w14:paraId="22DFE1FC" w14:textId="77777777" w:rsidTr="005932CC">
        <w:trPr>
          <w:trHeight w:val="300"/>
          <w:tblHeader/>
        </w:trPr>
        <w:tc>
          <w:tcPr>
            <w:tcW w:w="937" w:type="dxa"/>
            <w:noWrap/>
            <w:hideMark/>
          </w:tcPr>
          <w:p w14:paraId="22DFE1F2" w14:textId="77777777" w:rsidR="005932CC" w:rsidRPr="005932CC" w:rsidRDefault="005932CC">
            <w:r w:rsidRPr="005932CC">
              <w:t>Total</w:t>
            </w:r>
          </w:p>
        </w:tc>
        <w:tc>
          <w:tcPr>
            <w:tcW w:w="817" w:type="dxa"/>
            <w:noWrap/>
            <w:hideMark/>
          </w:tcPr>
          <w:p w14:paraId="22DFE1F3" w14:textId="77777777" w:rsidR="005932CC" w:rsidRPr="005932CC" w:rsidRDefault="005932CC" w:rsidP="005932CC">
            <w:r w:rsidRPr="005932CC">
              <w:t>37</w:t>
            </w:r>
          </w:p>
        </w:tc>
        <w:tc>
          <w:tcPr>
            <w:tcW w:w="817" w:type="dxa"/>
            <w:noWrap/>
            <w:hideMark/>
          </w:tcPr>
          <w:p w14:paraId="22DFE1F4" w14:textId="77777777" w:rsidR="005932CC" w:rsidRPr="005932CC" w:rsidRDefault="005932CC" w:rsidP="005932CC">
            <w:r w:rsidRPr="005932CC">
              <w:t>39</w:t>
            </w:r>
          </w:p>
        </w:tc>
        <w:tc>
          <w:tcPr>
            <w:tcW w:w="817" w:type="dxa"/>
            <w:noWrap/>
            <w:hideMark/>
          </w:tcPr>
          <w:p w14:paraId="22DFE1F5" w14:textId="77777777" w:rsidR="005932CC" w:rsidRPr="005932CC" w:rsidRDefault="005932CC" w:rsidP="005932CC">
            <w:r w:rsidRPr="005932CC">
              <w:t>79</w:t>
            </w:r>
          </w:p>
        </w:tc>
        <w:tc>
          <w:tcPr>
            <w:tcW w:w="817" w:type="dxa"/>
            <w:noWrap/>
            <w:hideMark/>
          </w:tcPr>
          <w:p w14:paraId="22DFE1F6" w14:textId="77777777" w:rsidR="005932CC" w:rsidRPr="005932CC" w:rsidRDefault="005932CC" w:rsidP="005932CC">
            <w:r w:rsidRPr="005932CC">
              <w:t>66</w:t>
            </w:r>
          </w:p>
        </w:tc>
        <w:tc>
          <w:tcPr>
            <w:tcW w:w="817" w:type="dxa"/>
            <w:noWrap/>
            <w:hideMark/>
          </w:tcPr>
          <w:p w14:paraId="22DFE1F7" w14:textId="77777777" w:rsidR="005932CC" w:rsidRPr="005932CC" w:rsidRDefault="005932CC" w:rsidP="005932CC">
            <w:r w:rsidRPr="005932CC">
              <w:t>101</w:t>
            </w:r>
          </w:p>
        </w:tc>
        <w:tc>
          <w:tcPr>
            <w:tcW w:w="817" w:type="dxa"/>
            <w:noWrap/>
            <w:hideMark/>
          </w:tcPr>
          <w:p w14:paraId="22DFE1F8" w14:textId="77777777" w:rsidR="005932CC" w:rsidRPr="005932CC" w:rsidRDefault="005932CC" w:rsidP="005932CC">
            <w:r w:rsidRPr="005932CC">
              <w:t>129</w:t>
            </w:r>
          </w:p>
        </w:tc>
        <w:tc>
          <w:tcPr>
            <w:tcW w:w="817" w:type="dxa"/>
            <w:noWrap/>
            <w:hideMark/>
          </w:tcPr>
          <w:p w14:paraId="22DFE1F9" w14:textId="77777777" w:rsidR="005932CC" w:rsidRPr="005932CC" w:rsidRDefault="005932CC" w:rsidP="005932CC">
            <w:r w:rsidRPr="005932CC">
              <w:t>155</w:t>
            </w:r>
          </w:p>
        </w:tc>
        <w:tc>
          <w:tcPr>
            <w:tcW w:w="817" w:type="dxa"/>
            <w:noWrap/>
            <w:hideMark/>
          </w:tcPr>
          <w:p w14:paraId="22DFE1FA" w14:textId="77777777" w:rsidR="005932CC" w:rsidRPr="005932CC" w:rsidRDefault="005932CC" w:rsidP="005932CC">
            <w:r w:rsidRPr="005932CC">
              <w:t>294</w:t>
            </w:r>
          </w:p>
        </w:tc>
        <w:tc>
          <w:tcPr>
            <w:tcW w:w="910" w:type="dxa"/>
            <w:noWrap/>
            <w:hideMark/>
          </w:tcPr>
          <w:p w14:paraId="22DFE1FB" w14:textId="77777777" w:rsidR="005932CC" w:rsidRPr="005932CC" w:rsidRDefault="005932CC" w:rsidP="005932CC">
            <w:r w:rsidRPr="005932CC">
              <w:t>250</w:t>
            </w:r>
          </w:p>
        </w:tc>
      </w:tr>
    </w:tbl>
    <w:p w14:paraId="22DFE1FD" w14:textId="77777777" w:rsidR="003B2829" w:rsidRDefault="003B2829" w:rsidP="00FC1783"/>
    <w:p w14:paraId="22DFE1FE" w14:textId="77777777" w:rsidR="005C3364" w:rsidRDefault="00FC1783" w:rsidP="00FC1783">
      <w:r>
        <w:t xml:space="preserve">1. The data </w:t>
      </w:r>
      <w:r w:rsidR="005932CC">
        <w:t xml:space="preserve">for all tables </w:t>
      </w:r>
      <w:r>
        <w:t>has been extracted from iVPD.  The data was extracted using the incident's raised date.</w:t>
      </w:r>
    </w:p>
    <w:p w14:paraId="22DFE1FF" w14:textId="77777777" w:rsidR="00FC1783" w:rsidRDefault="00FC1783" w:rsidP="00FC1783">
      <w:r>
        <w:t>2. Table 1 relates to Sexual Hate Concern Incident Nominals, where the Sexual Hate Reason is 'Lesbian'.</w:t>
      </w:r>
      <w:r>
        <w:tab/>
      </w:r>
    </w:p>
    <w:p w14:paraId="22DFE200" w14:textId="77777777" w:rsidR="00227A4E" w:rsidRDefault="00FC1783" w:rsidP="00FC1783">
      <w:r>
        <w:t>Table 2 relates to Sexual Hate Concern Incident Nominals, where the Sexual Hate Reason is 'Gay'.</w:t>
      </w:r>
    </w:p>
    <w:p w14:paraId="22DFE201" w14:textId="77777777" w:rsidR="005932CC" w:rsidRDefault="00227A4E" w:rsidP="00FC1783">
      <w:r>
        <w:t>Table 3 relates to Sexual Hate Concern Incident Nominals, where the Sexual Hate Reason is 'Bisexual</w:t>
      </w:r>
      <w:r w:rsidR="005932CC">
        <w:t>'.</w:t>
      </w:r>
    </w:p>
    <w:p w14:paraId="22DFE202" w14:textId="77777777" w:rsidR="00FC1783" w:rsidRDefault="005932CC" w:rsidP="00FC1783">
      <w:r>
        <w:lastRenderedPageBreak/>
        <w:t>Table 4 relates to Transgender Hate Concern Nominals.</w:t>
      </w:r>
      <w:r>
        <w:tab/>
      </w:r>
      <w:r>
        <w:tab/>
      </w:r>
    </w:p>
    <w:p w14:paraId="22DFE203" w14:textId="77777777" w:rsidR="005932CC" w:rsidRDefault="00FC1783" w:rsidP="00574346">
      <w:r w:rsidRPr="00FC1783">
        <w:t xml:space="preserve">3. Please note, that multiple hate concern reasons can be attributed </w:t>
      </w:r>
      <w:r w:rsidR="005932CC">
        <w:t>to an incident nominal.  All tables provide</w:t>
      </w:r>
      <w:r w:rsidRPr="00FC1783">
        <w:t xml:space="preserve"> a count of incident nominals</w:t>
      </w:r>
      <w:r w:rsidR="005932CC">
        <w:t>, not hate concern reasons.</w:t>
      </w:r>
    </w:p>
    <w:p w14:paraId="22DFE204" w14:textId="77777777" w:rsidR="00FC1783" w:rsidRDefault="00FC1783" w:rsidP="00574346">
      <w:r>
        <w:t>All statistics are provisional and should be treated as management information. All data have been extracted from Police Scotland internal systems and are correct as at 27th March 2023.</w:t>
      </w:r>
    </w:p>
    <w:p w14:paraId="22DFE205" w14:textId="77777777" w:rsidR="00FC1783" w:rsidRDefault="00FC1783" w:rsidP="00FC1783">
      <w:r>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p>
    <w:p w14:paraId="22DFE206" w14:textId="77777777" w:rsidR="00C5135C" w:rsidRDefault="00FC1783" w:rsidP="00574346">
      <w:r>
        <w:t>Please note that these data are collated from the Police Scotland iVPD system, which has an automated weeding and retention policy built on to it. A copy of the retention policy is available on the</w:t>
      </w:r>
      <w:r w:rsidR="005932CC">
        <w:t xml:space="preserve"> Police Scotland internet site.</w:t>
      </w:r>
    </w:p>
    <w:p w14:paraId="22DFE207" w14:textId="77777777" w:rsidR="009E22DC" w:rsidRDefault="009E22DC" w:rsidP="009E22DC">
      <w:pPr>
        <w:pStyle w:val="Heading2"/>
      </w:pPr>
      <w:r>
        <w:t>I would additionally like to know how many of these reports led to an arrest, and additionally how many led to a conviction.</w:t>
      </w:r>
    </w:p>
    <w:p w14:paraId="22DFE208" w14:textId="77777777" w:rsidR="00910FC8" w:rsidRDefault="00910FC8" w:rsidP="00910FC8">
      <w:r>
        <w:t xml:space="preserve">With regards to conviction data I must advise that </w:t>
      </w:r>
      <w:r w:rsidRPr="007D1918">
        <w:rPr>
          <w:bCs/>
          <w:color w:val="000000"/>
        </w:rPr>
        <w:t xml:space="preserve">Police Scotland does not hold </w:t>
      </w:r>
      <w:r>
        <w:rPr>
          <w:bCs/>
        </w:rPr>
        <w:t xml:space="preserve">prosecution </w:t>
      </w:r>
      <w:r w:rsidRPr="00961BC5">
        <w:rPr>
          <w:bCs/>
        </w:rPr>
        <w:t>information</w:t>
      </w:r>
      <w:r w:rsidRPr="007D1918">
        <w:rPr>
          <w:bCs/>
          <w:color w:val="000000"/>
        </w:rPr>
        <w:t xml:space="preserve">. </w:t>
      </w:r>
      <w:r w:rsidRPr="007D1918">
        <w:t>As such, in terms of Section 17 of the Freedom of Information (Scotland) Act 2002, this represents a notice that the information you seek is not held by Police Scotland.</w:t>
      </w:r>
    </w:p>
    <w:p w14:paraId="22DFE209" w14:textId="77777777" w:rsidR="00910FC8" w:rsidRPr="00910FC8" w:rsidRDefault="00910FC8" w:rsidP="00910FC8">
      <w:r w:rsidRPr="007D1918">
        <w:rPr>
          <w:bCs/>
          <w:color w:val="000000"/>
        </w:rPr>
        <w:t xml:space="preserve">You may wish to contact the Crown Office and Procurator Fiscals Service (COPFS) which holds conviction information for Scotland. A request can be submitted to COPFS via email using the following address </w:t>
      </w:r>
      <w:hyperlink r:id="rId11" w:history="1">
        <w:r w:rsidRPr="002E43F1">
          <w:rPr>
            <w:rStyle w:val="Hyperlink"/>
          </w:rPr>
          <w:t>foi@copfs.gsi.gov.uk</w:t>
        </w:r>
      </w:hyperlink>
    </w:p>
    <w:p w14:paraId="22DFE20A" w14:textId="77777777" w:rsidR="00C41140" w:rsidRPr="00A76BDA" w:rsidRDefault="00C41140" w:rsidP="00C41140">
      <w:r>
        <w:t>With respect to arrests, i</w:t>
      </w:r>
      <w:r w:rsidRPr="00A76BDA">
        <w:t>n response to your request, I regret to inform you that I am unable to provide you with the information you have requested, as it would prove too costly to do so within the context of the fee regulations.</w:t>
      </w:r>
    </w:p>
    <w:p w14:paraId="22DFE20B" w14:textId="77777777" w:rsidR="00C41140" w:rsidRPr="00A76BDA" w:rsidRDefault="00C41140" w:rsidP="00C41140">
      <w:r w:rsidRPr="00A76BDA">
        <w:t>As you may be aware the current cost threshold is £600 and I estimate that it would cost well in excess of this amount to process your request.</w:t>
      </w:r>
    </w:p>
    <w:p w14:paraId="22DFE20C" w14:textId="77777777" w:rsidR="00C41140" w:rsidRPr="00A76BDA" w:rsidRDefault="00C41140" w:rsidP="00C41140"/>
    <w:p w14:paraId="22DFE20D" w14:textId="77777777" w:rsidR="00C41140" w:rsidRPr="00A76BDA" w:rsidRDefault="00C41140" w:rsidP="00C41140">
      <w:r w:rsidRPr="00A76BDA">
        <w:lastRenderedPageBreak/>
        <w:t>As such, and in terms of Section 16(4) of the Freedom of Information (Scotland) Act 2002 where Section 12(1) of the Act (Excessive Cost of Compliance) has been applied, this represents a refusal notice for the information sought.</w:t>
      </w:r>
    </w:p>
    <w:p w14:paraId="22DFE20E" w14:textId="77777777" w:rsidR="00AB1998" w:rsidRPr="00AB1998" w:rsidRDefault="00C41140" w:rsidP="00C41140">
      <w:r w:rsidRPr="00A76BDA">
        <w:t>By way of explanation,</w:t>
      </w:r>
      <w:r>
        <w:t xml:space="preserve"> as earlier noted for the financial year 2022/2023, there are </w:t>
      </w:r>
      <w:r w:rsidRPr="00963330">
        <w:t xml:space="preserve">1082 </w:t>
      </w:r>
      <w:r w:rsidRPr="00C41140">
        <w:rPr>
          <w:i/>
        </w:rPr>
        <w:t>detected</w:t>
      </w:r>
      <w:r w:rsidRPr="00963330">
        <w:t xml:space="preserve"> hate crimes with a sexual orientation aggravator</w:t>
      </w:r>
      <w:r w:rsidR="00AB1998">
        <w:t xml:space="preserve">. There are data systems will hold further </w:t>
      </w:r>
      <w:r w:rsidRPr="00AB1998">
        <w:rPr>
          <w:i/>
        </w:rPr>
        <w:t>recorded</w:t>
      </w:r>
      <w:r w:rsidRPr="00AB1998">
        <w:t xml:space="preserve"> </w:t>
      </w:r>
      <w:r w:rsidR="00AB1998" w:rsidRPr="00AB1998">
        <w:t xml:space="preserve">hate crimes which have not yet been detected. </w:t>
      </w:r>
      <w:r w:rsidR="00AB1998">
        <w:t>As part of the investigative process it can be the case that a suspect is arrested then later released without charge. There is no way to know this information without manual examination</w:t>
      </w:r>
      <w:r w:rsidR="005F2B41">
        <w:t xml:space="preserve"> of each report</w:t>
      </w:r>
      <w:r w:rsidR="00AB1998">
        <w:t xml:space="preserve">. </w:t>
      </w:r>
      <w:r w:rsidR="005F2B41">
        <w:t xml:space="preserve">To examine all </w:t>
      </w:r>
      <w:r w:rsidR="005F2B41" w:rsidRPr="005F2B41">
        <w:rPr>
          <w:i/>
        </w:rPr>
        <w:t>recorded</w:t>
      </w:r>
      <w:r w:rsidR="005F2B41">
        <w:rPr>
          <w:i/>
        </w:rPr>
        <w:t xml:space="preserve"> </w:t>
      </w:r>
      <w:r w:rsidR="005F2B41">
        <w:t>crimes would be a larger undertaking, however u</w:t>
      </w:r>
      <w:r w:rsidR="00AB1998">
        <w:t>sing the earlier sum provided</w:t>
      </w:r>
      <w:r w:rsidR="005F2B41">
        <w:t>,</w:t>
      </w:r>
      <w:r w:rsidR="00AB1998">
        <w:t xml:space="preserve"> this action would greatly exceed the cost threshold set out within the Act.</w:t>
      </w:r>
    </w:p>
    <w:p w14:paraId="22DFE20F" w14:textId="77777777" w:rsidR="00AB1998" w:rsidRDefault="00AB1998" w:rsidP="00AB1998">
      <w:r>
        <w:t xml:space="preserve">Ordinarily I would suggest ways to refine your request however the manner in which the information is held is complex and as such would require a significant reduction in the time frame, </w:t>
      </w:r>
      <w:r w:rsidRPr="00784B37">
        <w:t>however it is worthy of note that the time period may have to be significantly narrow that this would mitigate any meaningful comparative data.</w:t>
      </w:r>
    </w:p>
    <w:p w14:paraId="22DFE210" w14:textId="77777777" w:rsidR="00C41140" w:rsidRPr="00A76BDA" w:rsidRDefault="00C41140" w:rsidP="00C41140">
      <w:r w:rsidRPr="00A76BDA">
        <w:t>Police Scotland have assessed that the £600 cost limit within the Act equates to 40 hours of work and so this part of your request would breach the cost threshold.</w:t>
      </w:r>
    </w:p>
    <w:p w14:paraId="22DFE211" w14:textId="77777777" w:rsidR="009E22DC" w:rsidRDefault="00285711" w:rsidP="0049085D">
      <w:r>
        <w:t>To be of assistance I can provide the tables below with statistics relating to detected offences.</w:t>
      </w:r>
      <w:r w:rsidR="00F77C79">
        <w:t xml:space="preserve"> Please note the caveats at the bottom of the tables. </w:t>
      </w:r>
    </w:p>
    <w:p w14:paraId="22DFE212" w14:textId="77777777" w:rsidR="00DE2D7B" w:rsidRDefault="00DE2D7B" w:rsidP="0049085D">
      <w:r>
        <w:t xml:space="preserve">Please note that the information provided below is not comparable with the earlier provided data as they relate to different statistical groupings. The information below relates to hate crimes whereas above the statistics relate to hate concern incidents. </w:t>
      </w:r>
    </w:p>
    <w:p w14:paraId="22DFE213" w14:textId="77777777" w:rsidR="00F77C79" w:rsidRDefault="00F77C79" w:rsidP="0049085D"/>
    <w:p w14:paraId="22DFE214" w14:textId="77777777" w:rsidR="00F77C79" w:rsidRPr="00F77C79" w:rsidRDefault="00F77C79" w:rsidP="00F77C79">
      <w:pPr>
        <w:spacing w:before="0" w:after="0" w:line="240" w:lineRule="auto"/>
        <w:rPr>
          <w:rFonts w:eastAsia="Times New Roman"/>
          <w:b/>
          <w:bCs/>
          <w:color w:val="000000"/>
          <w:lang w:eastAsia="en-GB"/>
        </w:rPr>
      </w:pPr>
      <w:r w:rsidRPr="00F77C79">
        <w:rPr>
          <w:rFonts w:eastAsia="Times New Roman"/>
          <w:bCs/>
          <w:color w:val="000000"/>
          <w:lang w:eastAsia="en-GB"/>
        </w:rPr>
        <w:t>Detected Sexual Orientation Hate Crimes, Police Scotland</w:t>
      </w:r>
      <w:r w:rsidRPr="00F77C79">
        <w:rPr>
          <w:rFonts w:eastAsia="Times New Roman"/>
          <w:b/>
          <w:bCs/>
          <w:color w:val="000000"/>
          <w:lang w:eastAsia="en-GB"/>
        </w:rPr>
        <w:t xml:space="preserve"> </w:t>
      </w:r>
    </w:p>
    <w:p w14:paraId="22DFE215" w14:textId="77777777" w:rsidR="00F77C79" w:rsidRDefault="00F77C79" w:rsidP="0049085D">
      <w:r>
        <w:t>The date period 01 April 2014 - 28</w:t>
      </w:r>
      <w:r w:rsidRPr="00F77C79">
        <w:t xml:space="preserve"> February 2023 (Financial Years)</w:t>
      </w:r>
    </w:p>
    <w:tbl>
      <w:tblPr>
        <w:tblStyle w:val="TableGrid"/>
        <w:tblW w:w="0" w:type="auto"/>
        <w:tblLook w:val="04A0" w:firstRow="1" w:lastRow="0" w:firstColumn="1" w:lastColumn="0" w:noHBand="0" w:noVBand="1"/>
        <w:tblCaption w:val="Detected Sexual Orientation Hate Crimes, Police Scotland"/>
        <w:tblDescription w:val="Detected Sexual Orientation Hate Crimes, Police Scotland"/>
      </w:tblPr>
      <w:tblGrid>
        <w:gridCol w:w="1900"/>
        <w:gridCol w:w="951"/>
        <w:gridCol w:w="817"/>
        <w:gridCol w:w="817"/>
        <w:gridCol w:w="817"/>
        <w:gridCol w:w="817"/>
        <w:gridCol w:w="817"/>
        <w:gridCol w:w="817"/>
        <w:gridCol w:w="817"/>
        <w:gridCol w:w="910"/>
      </w:tblGrid>
      <w:tr w:rsidR="00F77C79" w:rsidRPr="00F77C79" w14:paraId="22DFE220" w14:textId="77777777" w:rsidTr="00F77C79">
        <w:trPr>
          <w:trHeight w:val="315"/>
          <w:tblHeader/>
        </w:trPr>
        <w:tc>
          <w:tcPr>
            <w:tcW w:w="1900" w:type="dxa"/>
            <w:shd w:val="clear" w:color="auto" w:fill="D9D9D9" w:themeFill="background1" w:themeFillShade="D9"/>
            <w:hideMark/>
          </w:tcPr>
          <w:p w14:paraId="22DFE216" w14:textId="77777777" w:rsidR="00F77C79" w:rsidRPr="00F77C79" w:rsidRDefault="00F77C79">
            <w:pPr>
              <w:rPr>
                <w:bCs/>
              </w:rPr>
            </w:pPr>
            <w:r w:rsidRPr="00F77C79">
              <w:rPr>
                <w:bCs/>
              </w:rPr>
              <w:t> Year</w:t>
            </w:r>
          </w:p>
        </w:tc>
        <w:tc>
          <w:tcPr>
            <w:tcW w:w="951" w:type="dxa"/>
            <w:shd w:val="clear" w:color="auto" w:fill="D9D9D9" w:themeFill="background1" w:themeFillShade="D9"/>
            <w:hideMark/>
          </w:tcPr>
          <w:p w14:paraId="22DFE217" w14:textId="77777777" w:rsidR="00F77C79" w:rsidRPr="00F77C79" w:rsidRDefault="00F77C79" w:rsidP="00F77C79">
            <w:pPr>
              <w:rPr>
                <w:bCs/>
              </w:rPr>
            </w:pPr>
            <w:r w:rsidRPr="00F77C79">
              <w:rPr>
                <w:bCs/>
              </w:rPr>
              <w:t>14/15</w:t>
            </w:r>
          </w:p>
        </w:tc>
        <w:tc>
          <w:tcPr>
            <w:tcW w:w="817" w:type="dxa"/>
            <w:shd w:val="clear" w:color="auto" w:fill="D9D9D9" w:themeFill="background1" w:themeFillShade="D9"/>
            <w:hideMark/>
          </w:tcPr>
          <w:p w14:paraId="22DFE218" w14:textId="77777777" w:rsidR="00F77C79" w:rsidRPr="00F77C79" w:rsidRDefault="00F77C79" w:rsidP="00F77C79">
            <w:pPr>
              <w:rPr>
                <w:bCs/>
              </w:rPr>
            </w:pPr>
            <w:r w:rsidRPr="00F77C79">
              <w:rPr>
                <w:bCs/>
              </w:rPr>
              <w:t>15/16</w:t>
            </w:r>
          </w:p>
        </w:tc>
        <w:tc>
          <w:tcPr>
            <w:tcW w:w="817" w:type="dxa"/>
            <w:shd w:val="clear" w:color="auto" w:fill="D9D9D9" w:themeFill="background1" w:themeFillShade="D9"/>
            <w:hideMark/>
          </w:tcPr>
          <w:p w14:paraId="22DFE219" w14:textId="77777777" w:rsidR="00F77C79" w:rsidRPr="00F77C79" w:rsidRDefault="00F77C79" w:rsidP="00F77C79">
            <w:pPr>
              <w:rPr>
                <w:bCs/>
              </w:rPr>
            </w:pPr>
            <w:r w:rsidRPr="00F77C79">
              <w:rPr>
                <w:bCs/>
              </w:rPr>
              <w:t>16/17</w:t>
            </w:r>
          </w:p>
        </w:tc>
        <w:tc>
          <w:tcPr>
            <w:tcW w:w="817" w:type="dxa"/>
            <w:shd w:val="clear" w:color="auto" w:fill="D9D9D9" w:themeFill="background1" w:themeFillShade="D9"/>
            <w:noWrap/>
            <w:hideMark/>
          </w:tcPr>
          <w:p w14:paraId="22DFE21A" w14:textId="77777777" w:rsidR="00F77C79" w:rsidRPr="00F77C79" w:rsidRDefault="00F77C79" w:rsidP="00F77C79">
            <w:pPr>
              <w:rPr>
                <w:bCs/>
              </w:rPr>
            </w:pPr>
            <w:r w:rsidRPr="00F77C79">
              <w:rPr>
                <w:bCs/>
              </w:rPr>
              <w:t>17/18</w:t>
            </w:r>
          </w:p>
        </w:tc>
        <w:tc>
          <w:tcPr>
            <w:tcW w:w="817" w:type="dxa"/>
            <w:shd w:val="clear" w:color="auto" w:fill="D9D9D9" w:themeFill="background1" w:themeFillShade="D9"/>
            <w:noWrap/>
            <w:hideMark/>
          </w:tcPr>
          <w:p w14:paraId="22DFE21B" w14:textId="77777777" w:rsidR="00F77C79" w:rsidRPr="00F77C79" w:rsidRDefault="00F77C79" w:rsidP="00F77C79">
            <w:pPr>
              <w:rPr>
                <w:bCs/>
              </w:rPr>
            </w:pPr>
            <w:r w:rsidRPr="00F77C79">
              <w:rPr>
                <w:bCs/>
              </w:rPr>
              <w:t>18/19</w:t>
            </w:r>
          </w:p>
        </w:tc>
        <w:tc>
          <w:tcPr>
            <w:tcW w:w="817" w:type="dxa"/>
            <w:shd w:val="clear" w:color="auto" w:fill="D9D9D9" w:themeFill="background1" w:themeFillShade="D9"/>
            <w:noWrap/>
            <w:hideMark/>
          </w:tcPr>
          <w:p w14:paraId="22DFE21C" w14:textId="77777777" w:rsidR="00F77C79" w:rsidRPr="00F77C79" w:rsidRDefault="00F77C79" w:rsidP="00F77C79">
            <w:pPr>
              <w:rPr>
                <w:bCs/>
              </w:rPr>
            </w:pPr>
            <w:r w:rsidRPr="00F77C79">
              <w:rPr>
                <w:bCs/>
              </w:rPr>
              <w:t>19/20</w:t>
            </w:r>
          </w:p>
        </w:tc>
        <w:tc>
          <w:tcPr>
            <w:tcW w:w="817" w:type="dxa"/>
            <w:shd w:val="clear" w:color="auto" w:fill="D9D9D9" w:themeFill="background1" w:themeFillShade="D9"/>
            <w:noWrap/>
            <w:hideMark/>
          </w:tcPr>
          <w:p w14:paraId="22DFE21D" w14:textId="77777777" w:rsidR="00F77C79" w:rsidRPr="00F77C79" w:rsidRDefault="00F77C79" w:rsidP="00F77C79">
            <w:pPr>
              <w:rPr>
                <w:bCs/>
              </w:rPr>
            </w:pPr>
            <w:r w:rsidRPr="00F77C79">
              <w:rPr>
                <w:bCs/>
              </w:rPr>
              <w:t>20/21</w:t>
            </w:r>
          </w:p>
        </w:tc>
        <w:tc>
          <w:tcPr>
            <w:tcW w:w="817" w:type="dxa"/>
            <w:shd w:val="clear" w:color="auto" w:fill="D9D9D9" w:themeFill="background1" w:themeFillShade="D9"/>
            <w:noWrap/>
            <w:hideMark/>
          </w:tcPr>
          <w:p w14:paraId="22DFE21E" w14:textId="77777777" w:rsidR="00F77C79" w:rsidRPr="00F77C79" w:rsidRDefault="00F77C79" w:rsidP="00F77C79">
            <w:pPr>
              <w:rPr>
                <w:bCs/>
              </w:rPr>
            </w:pPr>
            <w:r w:rsidRPr="00F77C79">
              <w:rPr>
                <w:bCs/>
              </w:rPr>
              <w:t>21/22</w:t>
            </w:r>
          </w:p>
        </w:tc>
        <w:tc>
          <w:tcPr>
            <w:tcW w:w="910" w:type="dxa"/>
            <w:shd w:val="clear" w:color="auto" w:fill="D9D9D9" w:themeFill="background1" w:themeFillShade="D9"/>
            <w:noWrap/>
            <w:hideMark/>
          </w:tcPr>
          <w:p w14:paraId="22DFE21F" w14:textId="77777777" w:rsidR="00F77C79" w:rsidRPr="00F77C79" w:rsidRDefault="00F77C79" w:rsidP="00F77C79">
            <w:pPr>
              <w:rPr>
                <w:bCs/>
              </w:rPr>
            </w:pPr>
            <w:r w:rsidRPr="00F77C79">
              <w:rPr>
                <w:bCs/>
              </w:rPr>
              <w:t>22/23*</w:t>
            </w:r>
          </w:p>
        </w:tc>
      </w:tr>
      <w:tr w:rsidR="00F77C79" w:rsidRPr="00F77C79" w14:paraId="22DFE22B" w14:textId="77777777" w:rsidTr="00F77C79">
        <w:trPr>
          <w:trHeight w:val="300"/>
          <w:tblHeader/>
        </w:trPr>
        <w:tc>
          <w:tcPr>
            <w:tcW w:w="1900" w:type="dxa"/>
            <w:noWrap/>
            <w:hideMark/>
          </w:tcPr>
          <w:p w14:paraId="22DFE221" w14:textId="77777777" w:rsidR="00F77C79" w:rsidRPr="00F77C79" w:rsidRDefault="00F77C79">
            <w:r>
              <w:t xml:space="preserve">Detected </w:t>
            </w:r>
            <w:r w:rsidRPr="00F77C79">
              <w:t>Sexual Orientation Hate Crimes</w:t>
            </w:r>
          </w:p>
        </w:tc>
        <w:tc>
          <w:tcPr>
            <w:tcW w:w="951" w:type="dxa"/>
            <w:noWrap/>
            <w:hideMark/>
          </w:tcPr>
          <w:p w14:paraId="22DFE222" w14:textId="77777777" w:rsidR="00F77C79" w:rsidRPr="00F77C79" w:rsidRDefault="00F77C79" w:rsidP="00F77C79">
            <w:r w:rsidRPr="00F77C79">
              <w:t>624</w:t>
            </w:r>
          </w:p>
        </w:tc>
        <w:tc>
          <w:tcPr>
            <w:tcW w:w="817" w:type="dxa"/>
            <w:noWrap/>
            <w:hideMark/>
          </w:tcPr>
          <w:p w14:paraId="22DFE223" w14:textId="77777777" w:rsidR="00F77C79" w:rsidRPr="00F77C79" w:rsidRDefault="00F77C79" w:rsidP="00F77C79">
            <w:r w:rsidRPr="00F77C79">
              <w:t>744</w:t>
            </w:r>
          </w:p>
        </w:tc>
        <w:tc>
          <w:tcPr>
            <w:tcW w:w="817" w:type="dxa"/>
            <w:noWrap/>
            <w:hideMark/>
          </w:tcPr>
          <w:p w14:paraId="22DFE224" w14:textId="77777777" w:rsidR="00F77C79" w:rsidRPr="00F77C79" w:rsidRDefault="00F77C79" w:rsidP="00F77C79">
            <w:r w:rsidRPr="00F77C79">
              <w:t>710</w:t>
            </w:r>
          </w:p>
        </w:tc>
        <w:tc>
          <w:tcPr>
            <w:tcW w:w="817" w:type="dxa"/>
            <w:noWrap/>
            <w:hideMark/>
          </w:tcPr>
          <w:p w14:paraId="22DFE225" w14:textId="77777777" w:rsidR="00F77C79" w:rsidRPr="00F77C79" w:rsidRDefault="00F77C79" w:rsidP="00F77C79">
            <w:r w:rsidRPr="00F77C79">
              <w:t>949</w:t>
            </w:r>
          </w:p>
        </w:tc>
        <w:tc>
          <w:tcPr>
            <w:tcW w:w="817" w:type="dxa"/>
            <w:noWrap/>
            <w:hideMark/>
          </w:tcPr>
          <w:p w14:paraId="22DFE226" w14:textId="77777777" w:rsidR="00F77C79" w:rsidRPr="00F77C79" w:rsidRDefault="00F77C79" w:rsidP="00F77C79">
            <w:r w:rsidRPr="00F77C79">
              <w:t>1029</w:t>
            </w:r>
          </w:p>
        </w:tc>
        <w:tc>
          <w:tcPr>
            <w:tcW w:w="817" w:type="dxa"/>
            <w:noWrap/>
            <w:hideMark/>
          </w:tcPr>
          <w:p w14:paraId="22DFE227" w14:textId="77777777" w:rsidR="00F77C79" w:rsidRPr="00F77C79" w:rsidRDefault="00F77C79" w:rsidP="00F77C79">
            <w:r w:rsidRPr="00F77C79">
              <w:t>1177</w:t>
            </w:r>
          </w:p>
        </w:tc>
        <w:tc>
          <w:tcPr>
            <w:tcW w:w="817" w:type="dxa"/>
            <w:noWrap/>
            <w:hideMark/>
          </w:tcPr>
          <w:p w14:paraId="22DFE228" w14:textId="77777777" w:rsidR="00F77C79" w:rsidRPr="00F77C79" w:rsidRDefault="00F77C79" w:rsidP="00F77C79">
            <w:r w:rsidRPr="00F77C79">
              <w:t>1318</w:t>
            </w:r>
          </w:p>
        </w:tc>
        <w:tc>
          <w:tcPr>
            <w:tcW w:w="817" w:type="dxa"/>
            <w:noWrap/>
            <w:hideMark/>
          </w:tcPr>
          <w:p w14:paraId="22DFE229" w14:textId="77777777" w:rsidR="00F77C79" w:rsidRPr="00F77C79" w:rsidRDefault="00F77C79" w:rsidP="00F77C79">
            <w:r w:rsidRPr="00F77C79">
              <w:t>1409</w:t>
            </w:r>
          </w:p>
        </w:tc>
        <w:tc>
          <w:tcPr>
            <w:tcW w:w="910" w:type="dxa"/>
            <w:noWrap/>
            <w:hideMark/>
          </w:tcPr>
          <w:p w14:paraId="22DFE22A" w14:textId="77777777" w:rsidR="00F77C79" w:rsidRPr="00F77C79" w:rsidRDefault="00F77C79" w:rsidP="00F77C79">
            <w:r w:rsidRPr="00F77C79">
              <w:t>1082</w:t>
            </w:r>
          </w:p>
        </w:tc>
      </w:tr>
    </w:tbl>
    <w:p w14:paraId="22DFE22C" w14:textId="77777777" w:rsidR="00F77C79" w:rsidRDefault="00F77C79" w:rsidP="00F77C79"/>
    <w:p w14:paraId="22DFE22D" w14:textId="77777777" w:rsidR="005C3364" w:rsidRDefault="00F77C79" w:rsidP="00F77C79">
      <w:r>
        <w:t>1. Please note, Detected Hate Crimes have been extracted from iVPD using the incidents created date.</w:t>
      </w:r>
    </w:p>
    <w:p w14:paraId="22DFE22E" w14:textId="77777777" w:rsidR="005C3364" w:rsidRDefault="00F77C79" w:rsidP="00F77C79">
      <w:r>
        <w:t>2. Please note, Detected Hate Crimes which include at least one Sexual Orientation Hate Aggravator have been selected.</w:t>
      </w:r>
    </w:p>
    <w:p w14:paraId="22DFE22F" w14:textId="77777777" w:rsidR="00D0197A" w:rsidRDefault="00F77C79" w:rsidP="005C3364">
      <w:pPr>
        <w:rPr>
          <w:rFonts w:eastAsia="Times New Roman"/>
          <w:b/>
          <w:bCs/>
          <w:color w:val="000000"/>
          <w:lang w:eastAsia="en-GB"/>
        </w:rPr>
      </w:pPr>
      <w:r>
        <w:t>3. Please note, more than one aggravator can be attributed to a hate crime.</w:t>
      </w:r>
    </w:p>
    <w:p w14:paraId="22DFE230" w14:textId="77777777" w:rsidR="005C3364" w:rsidRDefault="005C3364" w:rsidP="005C3364">
      <w:pPr>
        <w:rPr>
          <w:rFonts w:eastAsia="Times New Roman"/>
          <w:b/>
          <w:bCs/>
          <w:color w:val="000000"/>
          <w:lang w:eastAsia="en-GB"/>
        </w:rPr>
      </w:pPr>
    </w:p>
    <w:p w14:paraId="22DFE231" w14:textId="77777777" w:rsidR="00D0197A" w:rsidRPr="00D0197A" w:rsidRDefault="00D0197A" w:rsidP="00D0197A">
      <w:pPr>
        <w:spacing w:before="0" w:after="0" w:line="240" w:lineRule="auto"/>
        <w:rPr>
          <w:rFonts w:eastAsia="Times New Roman"/>
          <w:bCs/>
          <w:color w:val="000000"/>
          <w:lang w:eastAsia="en-GB"/>
        </w:rPr>
      </w:pPr>
      <w:r w:rsidRPr="00D0197A">
        <w:rPr>
          <w:rFonts w:eastAsia="Times New Roman"/>
          <w:bCs/>
          <w:color w:val="000000"/>
          <w:lang w:eastAsia="en-GB"/>
        </w:rPr>
        <w:t>Detected Transgend</w:t>
      </w:r>
      <w:r>
        <w:rPr>
          <w:rFonts w:eastAsia="Times New Roman"/>
          <w:bCs/>
          <w:color w:val="000000"/>
          <w:lang w:eastAsia="en-GB"/>
        </w:rPr>
        <w:t>er Hate Crimes, Police Scotland</w:t>
      </w:r>
    </w:p>
    <w:p w14:paraId="22DFE232" w14:textId="77777777" w:rsidR="00D0197A" w:rsidRDefault="00D0197A" w:rsidP="00D0197A">
      <w:r>
        <w:t>The date period 01 April 2014 - 28</w:t>
      </w:r>
      <w:r w:rsidRPr="00F77C79">
        <w:t xml:space="preserve"> February 2023 (Financial Years)</w:t>
      </w:r>
    </w:p>
    <w:tbl>
      <w:tblPr>
        <w:tblStyle w:val="TableGrid"/>
        <w:tblW w:w="9702" w:type="dxa"/>
        <w:tblLook w:val="04A0" w:firstRow="1" w:lastRow="0" w:firstColumn="1" w:lastColumn="0" w:noHBand="0" w:noVBand="1"/>
        <w:tblCaption w:val="Detected Transgender Hate Crimes, Police Scotland"/>
        <w:tblDescription w:val="Detected Transgender Hate Crimes, Police Scotland"/>
      </w:tblPr>
      <w:tblGrid>
        <w:gridCol w:w="2122"/>
        <w:gridCol w:w="951"/>
        <w:gridCol w:w="817"/>
        <w:gridCol w:w="817"/>
        <w:gridCol w:w="817"/>
        <w:gridCol w:w="817"/>
        <w:gridCol w:w="817"/>
        <w:gridCol w:w="817"/>
        <w:gridCol w:w="817"/>
        <w:gridCol w:w="910"/>
      </w:tblGrid>
      <w:tr w:rsidR="00D0197A" w:rsidRPr="00D0197A" w14:paraId="22DFE23D" w14:textId="77777777" w:rsidTr="00701828">
        <w:trPr>
          <w:trHeight w:val="315"/>
          <w:tblHeader/>
        </w:trPr>
        <w:tc>
          <w:tcPr>
            <w:tcW w:w="2122" w:type="dxa"/>
            <w:shd w:val="clear" w:color="auto" w:fill="D9D9D9" w:themeFill="background1" w:themeFillShade="D9"/>
            <w:hideMark/>
          </w:tcPr>
          <w:p w14:paraId="22DFE233" w14:textId="77777777" w:rsidR="00D0197A" w:rsidRPr="00D0197A" w:rsidRDefault="00D0197A">
            <w:pPr>
              <w:rPr>
                <w:bCs/>
              </w:rPr>
            </w:pPr>
            <w:r w:rsidRPr="00D0197A">
              <w:rPr>
                <w:bCs/>
              </w:rPr>
              <w:t> Year</w:t>
            </w:r>
          </w:p>
        </w:tc>
        <w:tc>
          <w:tcPr>
            <w:tcW w:w="951" w:type="dxa"/>
            <w:shd w:val="clear" w:color="auto" w:fill="D9D9D9" w:themeFill="background1" w:themeFillShade="D9"/>
            <w:hideMark/>
          </w:tcPr>
          <w:p w14:paraId="22DFE234" w14:textId="77777777" w:rsidR="00D0197A" w:rsidRPr="00D0197A" w:rsidRDefault="00D0197A" w:rsidP="00D0197A">
            <w:pPr>
              <w:rPr>
                <w:bCs/>
              </w:rPr>
            </w:pPr>
            <w:r w:rsidRPr="00D0197A">
              <w:rPr>
                <w:bCs/>
              </w:rPr>
              <w:t>14/15</w:t>
            </w:r>
          </w:p>
        </w:tc>
        <w:tc>
          <w:tcPr>
            <w:tcW w:w="817" w:type="dxa"/>
            <w:shd w:val="clear" w:color="auto" w:fill="D9D9D9" w:themeFill="background1" w:themeFillShade="D9"/>
            <w:hideMark/>
          </w:tcPr>
          <w:p w14:paraId="22DFE235" w14:textId="77777777" w:rsidR="00D0197A" w:rsidRPr="00D0197A" w:rsidRDefault="00D0197A" w:rsidP="00D0197A">
            <w:pPr>
              <w:rPr>
                <w:bCs/>
              </w:rPr>
            </w:pPr>
            <w:r w:rsidRPr="00D0197A">
              <w:rPr>
                <w:bCs/>
              </w:rPr>
              <w:t>15/16</w:t>
            </w:r>
          </w:p>
        </w:tc>
        <w:tc>
          <w:tcPr>
            <w:tcW w:w="817" w:type="dxa"/>
            <w:shd w:val="clear" w:color="auto" w:fill="D9D9D9" w:themeFill="background1" w:themeFillShade="D9"/>
            <w:hideMark/>
          </w:tcPr>
          <w:p w14:paraId="22DFE236" w14:textId="77777777" w:rsidR="00D0197A" w:rsidRPr="00D0197A" w:rsidRDefault="00D0197A" w:rsidP="00D0197A">
            <w:pPr>
              <w:rPr>
                <w:bCs/>
              </w:rPr>
            </w:pPr>
            <w:r w:rsidRPr="00D0197A">
              <w:rPr>
                <w:bCs/>
              </w:rPr>
              <w:t>16/17</w:t>
            </w:r>
          </w:p>
        </w:tc>
        <w:tc>
          <w:tcPr>
            <w:tcW w:w="817" w:type="dxa"/>
            <w:shd w:val="clear" w:color="auto" w:fill="D9D9D9" w:themeFill="background1" w:themeFillShade="D9"/>
            <w:noWrap/>
            <w:hideMark/>
          </w:tcPr>
          <w:p w14:paraId="22DFE237" w14:textId="77777777" w:rsidR="00D0197A" w:rsidRPr="00D0197A" w:rsidRDefault="00D0197A" w:rsidP="00D0197A">
            <w:pPr>
              <w:rPr>
                <w:bCs/>
              </w:rPr>
            </w:pPr>
            <w:r w:rsidRPr="00D0197A">
              <w:rPr>
                <w:bCs/>
              </w:rPr>
              <w:t>17/18</w:t>
            </w:r>
          </w:p>
        </w:tc>
        <w:tc>
          <w:tcPr>
            <w:tcW w:w="817" w:type="dxa"/>
            <w:shd w:val="clear" w:color="auto" w:fill="D9D9D9" w:themeFill="background1" w:themeFillShade="D9"/>
            <w:noWrap/>
            <w:hideMark/>
          </w:tcPr>
          <w:p w14:paraId="22DFE238" w14:textId="77777777" w:rsidR="00D0197A" w:rsidRPr="00D0197A" w:rsidRDefault="00D0197A" w:rsidP="00D0197A">
            <w:pPr>
              <w:rPr>
                <w:bCs/>
              </w:rPr>
            </w:pPr>
            <w:r w:rsidRPr="00D0197A">
              <w:rPr>
                <w:bCs/>
              </w:rPr>
              <w:t>18/19</w:t>
            </w:r>
          </w:p>
        </w:tc>
        <w:tc>
          <w:tcPr>
            <w:tcW w:w="817" w:type="dxa"/>
            <w:shd w:val="clear" w:color="auto" w:fill="D9D9D9" w:themeFill="background1" w:themeFillShade="D9"/>
            <w:noWrap/>
            <w:hideMark/>
          </w:tcPr>
          <w:p w14:paraId="22DFE239" w14:textId="77777777" w:rsidR="00D0197A" w:rsidRPr="00D0197A" w:rsidRDefault="00D0197A" w:rsidP="00D0197A">
            <w:pPr>
              <w:rPr>
                <w:bCs/>
              </w:rPr>
            </w:pPr>
            <w:r w:rsidRPr="00D0197A">
              <w:rPr>
                <w:bCs/>
              </w:rPr>
              <w:t>19/20</w:t>
            </w:r>
          </w:p>
        </w:tc>
        <w:tc>
          <w:tcPr>
            <w:tcW w:w="817" w:type="dxa"/>
            <w:shd w:val="clear" w:color="auto" w:fill="D9D9D9" w:themeFill="background1" w:themeFillShade="D9"/>
            <w:noWrap/>
            <w:hideMark/>
          </w:tcPr>
          <w:p w14:paraId="22DFE23A" w14:textId="77777777" w:rsidR="00D0197A" w:rsidRPr="00D0197A" w:rsidRDefault="00D0197A" w:rsidP="00D0197A">
            <w:pPr>
              <w:rPr>
                <w:bCs/>
              </w:rPr>
            </w:pPr>
            <w:r w:rsidRPr="00D0197A">
              <w:rPr>
                <w:bCs/>
              </w:rPr>
              <w:t>20/21</w:t>
            </w:r>
          </w:p>
        </w:tc>
        <w:tc>
          <w:tcPr>
            <w:tcW w:w="817" w:type="dxa"/>
            <w:shd w:val="clear" w:color="auto" w:fill="D9D9D9" w:themeFill="background1" w:themeFillShade="D9"/>
            <w:noWrap/>
            <w:hideMark/>
          </w:tcPr>
          <w:p w14:paraId="22DFE23B" w14:textId="77777777" w:rsidR="00D0197A" w:rsidRPr="00D0197A" w:rsidRDefault="00D0197A" w:rsidP="00D0197A">
            <w:pPr>
              <w:rPr>
                <w:bCs/>
              </w:rPr>
            </w:pPr>
            <w:r w:rsidRPr="00D0197A">
              <w:rPr>
                <w:bCs/>
              </w:rPr>
              <w:t>21/22</w:t>
            </w:r>
          </w:p>
        </w:tc>
        <w:tc>
          <w:tcPr>
            <w:tcW w:w="910" w:type="dxa"/>
            <w:shd w:val="clear" w:color="auto" w:fill="D9D9D9" w:themeFill="background1" w:themeFillShade="D9"/>
            <w:noWrap/>
            <w:hideMark/>
          </w:tcPr>
          <w:p w14:paraId="22DFE23C" w14:textId="77777777" w:rsidR="00D0197A" w:rsidRPr="00D0197A" w:rsidRDefault="00D0197A" w:rsidP="00D0197A">
            <w:pPr>
              <w:rPr>
                <w:bCs/>
              </w:rPr>
            </w:pPr>
            <w:r w:rsidRPr="00D0197A">
              <w:rPr>
                <w:bCs/>
              </w:rPr>
              <w:t>22/23*</w:t>
            </w:r>
          </w:p>
        </w:tc>
      </w:tr>
      <w:tr w:rsidR="00D0197A" w:rsidRPr="00D0197A" w14:paraId="22DFE248" w14:textId="77777777" w:rsidTr="00701828">
        <w:trPr>
          <w:trHeight w:val="300"/>
          <w:tblHeader/>
        </w:trPr>
        <w:tc>
          <w:tcPr>
            <w:tcW w:w="2122" w:type="dxa"/>
            <w:noWrap/>
            <w:hideMark/>
          </w:tcPr>
          <w:p w14:paraId="22DFE23E" w14:textId="77777777" w:rsidR="00D0197A" w:rsidRPr="00D0197A" w:rsidRDefault="00D0197A">
            <w:r>
              <w:t xml:space="preserve">Detected </w:t>
            </w:r>
            <w:r w:rsidRPr="00D0197A">
              <w:t>Transgender Hate Crimes</w:t>
            </w:r>
          </w:p>
        </w:tc>
        <w:tc>
          <w:tcPr>
            <w:tcW w:w="951" w:type="dxa"/>
            <w:noWrap/>
            <w:hideMark/>
          </w:tcPr>
          <w:p w14:paraId="22DFE23F" w14:textId="77777777" w:rsidR="00D0197A" w:rsidRPr="00D0197A" w:rsidRDefault="00D0197A" w:rsidP="00D0197A">
            <w:r w:rsidRPr="00D0197A">
              <w:t>24</w:t>
            </w:r>
          </w:p>
        </w:tc>
        <w:tc>
          <w:tcPr>
            <w:tcW w:w="817" w:type="dxa"/>
            <w:noWrap/>
            <w:hideMark/>
          </w:tcPr>
          <w:p w14:paraId="22DFE240" w14:textId="77777777" w:rsidR="00D0197A" w:rsidRPr="00D0197A" w:rsidRDefault="00D0197A" w:rsidP="00D0197A">
            <w:r w:rsidRPr="00D0197A">
              <w:t>28</w:t>
            </w:r>
          </w:p>
        </w:tc>
        <w:tc>
          <w:tcPr>
            <w:tcW w:w="817" w:type="dxa"/>
            <w:noWrap/>
            <w:hideMark/>
          </w:tcPr>
          <w:p w14:paraId="22DFE241" w14:textId="77777777" w:rsidR="00D0197A" w:rsidRPr="00D0197A" w:rsidRDefault="00D0197A" w:rsidP="00D0197A">
            <w:r w:rsidRPr="00D0197A">
              <w:t>34</w:t>
            </w:r>
          </w:p>
        </w:tc>
        <w:tc>
          <w:tcPr>
            <w:tcW w:w="817" w:type="dxa"/>
            <w:noWrap/>
            <w:hideMark/>
          </w:tcPr>
          <w:p w14:paraId="22DFE242" w14:textId="77777777" w:rsidR="00D0197A" w:rsidRPr="00D0197A" w:rsidRDefault="00D0197A" w:rsidP="00D0197A">
            <w:r w:rsidRPr="00D0197A">
              <w:t>52</w:t>
            </w:r>
          </w:p>
        </w:tc>
        <w:tc>
          <w:tcPr>
            <w:tcW w:w="817" w:type="dxa"/>
            <w:noWrap/>
            <w:hideMark/>
          </w:tcPr>
          <w:p w14:paraId="22DFE243" w14:textId="77777777" w:rsidR="00D0197A" w:rsidRPr="00D0197A" w:rsidRDefault="00D0197A" w:rsidP="00D0197A">
            <w:r w:rsidRPr="00D0197A">
              <w:t>51</w:t>
            </w:r>
          </w:p>
        </w:tc>
        <w:tc>
          <w:tcPr>
            <w:tcW w:w="817" w:type="dxa"/>
            <w:noWrap/>
            <w:hideMark/>
          </w:tcPr>
          <w:p w14:paraId="22DFE244" w14:textId="77777777" w:rsidR="00D0197A" w:rsidRPr="00D0197A" w:rsidRDefault="00D0197A" w:rsidP="00D0197A">
            <w:r w:rsidRPr="00D0197A">
              <w:t>76</w:t>
            </w:r>
          </w:p>
        </w:tc>
        <w:tc>
          <w:tcPr>
            <w:tcW w:w="817" w:type="dxa"/>
            <w:noWrap/>
            <w:hideMark/>
          </w:tcPr>
          <w:p w14:paraId="22DFE245" w14:textId="77777777" w:rsidR="00D0197A" w:rsidRPr="00D0197A" w:rsidRDefault="00D0197A" w:rsidP="00D0197A">
            <w:r w:rsidRPr="00D0197A">
              <w:t>48</w:t>
            </w:r>
          </w:p>
        </w:tc>
        <w:tc>
          <w:tcPr>
            <w:tcW w:w="817" w:type="dxa"/>
            <w:noWrap/>
            <w:hideMark/>
          </w:tcPr>
          <w:p w14:paraId="22DFE246" w14:textId="77777777" w:rsidR="00D0197A" w:rsidRPr="00D0197A" w:rsidRDefault="00D0197A" w:rsidP="00D0197A">
            <w:r w:rsidRPr="00D0197A">
              <w:t>95</w:t>
            </w:r>
          </w:p>
        </w:tc>
        <w:tc>
          <w:tcPr>
            <w:tcW w:w="910" w:type="dxa"/>
            <w:noWrap/>
            <w:hideMark/>
          </w:tcPr>
          <w:p w14:paraId="22DFE247" w14:textId="77777777" w:rsidR="00D0197A" w:rsidRPr="00D0197A" w:rsidRDefault="00D0197A" w:rsidP="00D0197A">
            <w:r w:rsidRPr="00D0197A">
              <w:t>85</w:t>
            </w:r>
          </w:p>
        </w:tc>
      </w:tr>
    </w:tbl>
    <w:p w14:paraId="22DFE249" w14:textId="77777777" w:rsidR="00701828" w:rsidRDefault="00701828" w:rsidP="00701828"/>
    <w:p w14:paraId="22DFE24A" w14:textId="77777777" w:rsidR="005C3364" w:rsidRDefault="00701828" w:rsidP="00701828">
      <w:r>
        <w:t>1. Please note, Detected Hate Crimes have been extracted from iVPD using the incidents created date.</w:t>
      </w:r>
    </w:p>
    <w:p w14:paraId="22DFE24B" w14:textId="77777777" w:rsidR="005C3364" w:rsidRDefault="00701828" w:rsidP="00701828">
      <w:r>
        <w:t>2. Please note, Detected Hate Crimes which include at least one Transgender Hate Aggravator have been selected.</w:t>
      </w:r>
      <w:r w:rsidR="005C3364">
        <w:t xml:space="preserve"> </w:t>
      </w:r>
    </w:p>
    <w:p w14:paraId="22DFE24C" w14:textId="77777777" w:rsidR="00701828" w:rsidRDefault="00701828" w:rsidP="00701828">
      <w:r>
        <w:t>3. Please note, more than one aggravator can be attributed to a hate crime.</w:t>
      </w:r>
      <w:r>
        <w:tab/>
      </w:r>
      <w:r>
        <w:tab/>
      </w:r>
    </w:p>
    <w:p w14:paraId="22DFE24D" w14:textId="77777777" w:rsidR="00701828" w:rsidRDefault="00701828" w:rsidP="00701828">
      <w:r w:rsidRPr="00701828">
        <w:t xml:space="preserve">All statistics are provisional and should be treated as management information. All data have been extracted from Police Scotland internal systems and are </w:t>
      </w:r>
      <w:r>
        <w:t>correct as at 27th March 2023.</w:t>
      </w:r>
      <w:r>
        <w:tab/>
      </w:r>
    </w:p>
    <w:p w14:paraId="22DFE24E" w14:textId="77777777" w:rsidR="00701828" w:rsidRDefault="00701828" w:rsidP="00701828">
      <w:r>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p>
    <w:p w14:paraId="22DFE24F" w14:textId="77777777" w:rsidR="005E5B82" w:rsidRDefault="00701828" w:rsidP="00793DD5">
      <w:r>
        <w:lastRenderedPageBreak/>
        <w:t>Please note that these data are collated from the Police Scotland iVPD system, which has an automated weeding and retention policy built on to it. A copy of the retention policy is available on the Police Scotland internet site.</w:t>
      </w:r>
    </w:p>
    <w:p w14:paraId="22DFE250" w14:textId="77777777" w:rsidR="00496A08" w:rsidRPr="00BF6B81" w:rsidRDefault="00496A08" w:rsidP="00793DD5">
      <w:r>
        <w:t xml:space="preserve">If you require any further </w:t>
      </w:r>
      <w:r w:rsidRPr="00874BFD">
        <w:t>assistance</w:t>
      </w:r>
      <w:r>
        <w:t xml:space="preserve"> please contact us quoting the reference above.</w:t>
      </w:r>
    </w:p>
    <w:p w14:paraId="22DFE25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2DFE252"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22DFE253" w14:textId="77777777" w:rsidR="00B461B2" w:rsidRDefault="00496A08" w:rsidP="00793DD5">
      <w:r w:rsidRPr="007C470A">
        <w:t>Following an OSIC appeal, you can appeal to the Court of Session on a point of law only.</w:t>
      </w:r>
      <w:r w:rsidR="00D47E36">
        <w:t xml:space="preserve"> </w:t>
      </w:r>
    </w:p>
    <w:p w14:paraId="22DFE254"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22DFE255"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2DFE256"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FE25B" w14:textId="77777777" w:rsidR="00195CC4" w:rsidRDefault="00195CC4" w:rsidP="00491644">
      <w:r>
        <w:separator/>
      </w:r>
    </w:p>
  </w:endnote>
  <w:endnote w:type="continuationSeparator" w:id="0">
    <w:p w14:paraId="22DFE25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FE260" w14:textId="77777777" w:rsidR="00491644" w:rsidRDefault="00491644">
    <w:pPr>
      <w:pStyle w:val="Footer"/>
    </w:pPr>
  </w:p>
  <w:p w14:paraId="22DFE26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35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FE26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2DFE268" wp14:editId="22DFE269">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DFE26A" wp14:editId="22DFE26B">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2DFE263"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35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FE266" w14:textId="77777777" w:rsidR="00491644" w:rsidRDefault="00491644">
    <w:pPr>
      <w:pStyle w:val="Footer"/>
    </w:pPr>
  </w:p>
  <w:p w14:paraId="22DFE267"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352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FE259" w14:textId="77777777" w:rsidR="00195CC4" w:rsidRDefault="00195CC4" w:rsidP="00491644">
      <w:r>
        <w:separator/>
      </w:r>
    </w:p>
  </w:footnote>
  <w:footnote w:type="continuationSeparator" w:id="0">
    <w:p w14:paraId="22DFE25A"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FE25D"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352F">
      <w:rPr>
        <w:rFonts w:ascii="Times New Roman" w:hAnsi="Times New Roman" w:cs="Times New Roman"/>
        <w:b/>
        <w:color w:val="FF0000"/>
      </w:rPr>
      <w:t>OFFICIAL</w:t>
    </w:r>
    <w:r>
      <w:rPr>
        <w:rFonts w:ascii="Times New Roman" w:hAnsi="Times New Roman" w:cs="Times New Roman"/>
        <w:b/>
        <w:color w:val="FF0000"/>
      </w:rPr>
      <w:fldChar w:fldCharType="end"/>
    </w:r>
  </w:p>
  <w:p w14:paraId="22DFE25E"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FE25F"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352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FE264"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352F">
      <w:rPr>
        <w:rFonts w:ascii="Times New Roman" w:hAnsi="Times New Roman" w:cs="Times New Roman"/>
        <w:b/>
        <w:color w:val="FF0000"/>
      </w:rPr>
      <w:t>OFFICIAL</w:t>
    </w:r>
    <w:r>
      <w:rPr>
        <w:rFonts w:ascii="Times New Roman" w:hAnsi="Times New Roman" w:cs="Times New Roman"/>
        <w:b/>
        <w:color w:val="FF0000"/>
      </w:rPr>
      <w:fldChar w:fldCharType="end"/>
    </w:r>
  </w:p>
  <w:p w14:paraId="22DFE265"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8753F"/>
    <w:rsid w:val="00090F3B"/>
    <w:rsid w:val="000E6526"/>
    <w:rsid w:val="00141533"/>
    <w:rsid w:val="00167528"/>
    <w:rsid w:val="00195CC4"/>
    <w:rsid w:val="001B62DE"/>
    <w:rsid w:val="001F130C"/>
    <w:rsid w:val="00204072"/>
    <w:rsid w:val="00227A4E"/>
    <w:rsid w:val="00253DF6"/>
    <w:rsid w:val="00255F1E"/>
    <w:rsid w:val="00285711"/>
    <w:rsid w:val="0036503B"/>
    <w:rsid w:val="003B2829"/>
    <w:rsid w:val="003C7BC2"/>
    <w:rsid w:val="003D6D03"/>
    <w:rsid w:val="003E12CA"/>
    <w:rsid w:val="003E68E5"/>
    <w:rsid w:val="004010DC"/>
    <w:rsid w:val="0040292B"/>
    <w:rsid w:val="004341F0"/>
    <w:rsid w:val="00456324"/>
    <w:rsid w:val="00475460"/>
    <w:rsid w:val="00481EA4"/>
    <w:rsid w:val="00490317"/>
    <w:rsid w:val="0049085D"/>
    <w:rsid w:val="00491644"/>
    <w:rsid w:val="00496A08"/>
    <w:rsid w:val="004E1605"/>
    <w:rsid w:val="004F653C"/>
    <w:rsid w:val="00540A52"/>
    <w:rsid w:val="005474F7"/>
    <w:rsid w:val="00557306"/>
    <w:rsid w:val="00574346"/>
    <w:rsid w:val="005932CC"/>
    <w:rsid w:val="005C3364"/>
    <w:rsid w:val="005D596F"/>
    <w:rsid w:val="005E5B82"/>
    <w:rsid w:val="005F2B41"/>
    <w:rsid w:val="00601148"/>
    <w:rsid w:val="00645164"/>
    <w:rsid w:val="00666C32"/>
    <w:rsid w:val="0069352F"/>
    <w:rsid w:val="006D5799"/>
    <w:rsid w:val="00701828"/>
    <w:rsid w:val="007138FF"/>
    <w:rsid w:val="00750D83"/>
    <w:rsid w:val="00793DD5"/>
    <w:rsid w:val="007D55F6"/>
    <w:rsid w:val="007F490F"/>
    <w:rsid w:val="0083261F"/>
    <w:rsid w:val="008555CB"/>
    <w:rsid w:val="0086779C"/>
    <w:rsid w:val="00874BFD"/>
    <w:rsid w:val="008964EF"/>
    <w:rsid w:val="008B214D"/>
    <w:rsid w:val="008C09CB"/>
    <w:rsid w:val="00910FC8"/>
    <w:rsid w:val="009631A4"/>
    <w:rsid w:val="00963330"/>
    <w:rsid w:val="00977296"/>
    <w:rsid w:val="009E22DC"/>
    <w:rsid w:val="00A25E93"/>
    <w:rsid w:val="00A320FF"/>
    <w:rsid w:val="00A624C5"/>
    <w:rsid w:val="00A70AC0"/>
    <w:rsid w:val="00A84EA9"/>
    <w:rsid w:val="00AB1998"/>
    <w:rsid w:val="00AC443C"/>
    <w:rsid w:val="00B11A55"/>
    <w:rsid w:val="00B17211"/>
    <w:rsid w:val="00B461B2"/>
    <w:rsid w:val="00B71B3C"/>
    <w:rsid w:val="00BC389E"/>
    <w:rsid w:val="00BE1888"/>
    <w:rsid w:val="00BF6B81"/>
    <w:rsid w:val="00C077A8"/>
    <w:rsid w:val="00C41140"/>
    <w:rsid w:val="00C51099"/>
    <w:rsid w:val="00C5135C"/>
    <w:rsid w:val="00C606A2"/>
    <w:rsid w:val="00C63872"/>
    <w:rsid w:val="00C84948"/>
    <w:rsid w:val="00CA24A7"/>
    <w:rsid w:val="00CD523A"/>
    <w:rsid w:val="00CF1111"/>
    <w:rsid w:val="00D0197A"/>
    <w:rsid w:val="00D05706"/>
    <w:rsid w:val="00D27DC5"/>
    <w:rsid w:val="00D41FB9"/>
    <w:rsid w:val="00D47E36"/>
    <w:rsid w:val="00DE2D7B"/>
    <w:rsid w:val="00E20A81"/>
    <w:rsid w:val="00E44A24"/>
    <w:rsid w:val="00E55D79"/>
    <w:rsid w:val="00EF4761"/>
    <w:rsid w:val="00F15BC4"/>
    <w:rsid w:val="00F73D94"/>
    <w:rsid w:val="00F77C79"/>
    <w:rsid w:val="00FC178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2DFE18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64357">
      <w:bodyDiv w:val="1"/>
      <w:marLeft w:val="0"/>
      <w:marRight w:val="0"/>
      <w:marTop w:val="0"/>
      <w:marBottom w:val="0"/>
      <w:divBdr>
        <w:top w:val="none" w:sz="0" w:space="0" w:color="auto"/>
        <w:left w:val="none" w:sz="0" w:space="0" w:color="auto"/>
        <w:bottom w:val="none" w:sz="0" w:space="0" w:color="auto"/>
        <w:right w:val="none" w:sz="0" w:space="0" w:color="auto"/>
      </w:divBdr>
    </w:div>
    <w:div w:id="256837127">
      <w:bodyDiv w:val="1"/>
      <w:marLeft w:val="0"/>
      <w:marRight w:val="0"/>
      <w:marTop w:val="0"/>
      <w:marBottom w:val="0"/>
      <w:divBdr>
        <w:top w:val="none" w:sz="0" w:space="0" w:color="auto"/>
        <w:left w:val="none" w:sz="0" w:space="0" w:color="auto"/>
        <w:bottom w:val="none" w:sz="0" w:space="0" w:color="auto"/>
        <w:right w:val="none" w:sz="0" w:space="0" w:color="auto"/>
      </w:divBdr>
    </w:div>
    <w:div w:id="337778019">
      <w:bodyDiv w:val="1"/>
      <w:marLeft w:val="0"/>
      <w:marRight w:val="0"/>
      <w:marTop w:val="0"/>
      <w:marBottom w:val="0"/>
      <w:divBdr>
        <w:top w:val="none" w:sz="0" w:space="0" w:color="auto"/>
        <w:left w:val="none" w:sz="0" w:space="0" w:color="auto"/>
        <w:bottom w:val="none" w:sz="0" w:space="0" w:color="auto"/>
        <w:right w:val="none" w:sz="0" w:space="0" w:color="auto"/>
      </w:divBdr>
    </w:div>
    <w:div w:id="542911121">
      <w:bodyDiv w:val="1"/>
      <w:marLeft w:val="0"/>
      <w:marRight w:val="0"/>
      <w:marTop w:val="0"/>
      <w:marBottom w:val="0"/>
      <w:divBdr>
        <w:top w:val="none" w:sz="0" w:space="0" w:color="auto"/>
        <w:left w:val="none" w:sz="0" w:space="0" w:color="auto"/>
        <w:bottom w:val="none" w:sz="0" w:space="0" w:color="auto"/>
        <w:right w:val="none" w:sz="0" w:space="0" w:color="auto"/>
      </w:divBdr>
    </w:div>
    <w:div w:id="622343980">
      <w:bodyDiv w:val="1"/>
      <w:marLeft w:val="0"/>
      <w:marRight w:val="0"/>
      <w:marTop w:val="0"/>
      <w:marBottom w:val="0"/>
      <w:divBdr>
        <w:top w:val="none" w:sz="0" w:space="0" w:color="auto"/>
        <w:left w:val="none" w:sz="0" w:space="0" w:color="auto"/>
        <w:bottom w:val="none" w:sz="0" w:space="0" w:color="auto"/>
        <w:right w:val="none" w:sz="0" w:space="0" w:color="auto"/>
      </w:divBdr>
    </w:div>
    <w:div w:id="778598580">
      <w:bodyDiv w:val="1"/>
      <w:marLeft w:val="0"/>
      <w:marRight w:val="0"/>
      <w:marTop w:val="0"/>
      <w:marBottom w:val="0"/>
      <w:divBdr>
        <w:top w:val="none" w:sz="0" w:space="0" w:color="auto"/>
        <w:left w:val="none" w:sz="0" w:space="0" w:color="auto"/>
        <w:bottom w:val="none" w:sz="0" w:space="0" w:color="auto"/>
        <w:right w:val="none" w:sz="0" w:space="0" w:color="auto"/>
      </w:divBdr>
    </w:div>
    <w:div w:id="1224875482">
      <w:bodyDiv w:val="1"/>
      <w:marLeft w:val="0"/>
      <w:marRight w:val="0"/>
      <w:marTop w:val="0"/>
      <w:marBottom w:val="0"/>
      <w:divBdr>
        <w:top w:val="none" w:sz="0" w:space="0" w:color="auto"/>
        <w:left w:val="none" w:sz="0" w:space="0" w:color="auto"/>
        <w:bottom w:val="none" w:sz="0" w:space="0" w:color="auto"/>
        <w:right w:val="none" w:sz="0" w:space="0" w:color="auto"/>
      </w:divBdr>
    </w:div>
    <w:div w:id="1384598937">
      <w:bodyDiv w:val="1"/>
      <w:marLeft w:val="0"/>
      <w:marRight w:val="0"/>
      <w:marTop w:val="0"/>
      <w:marBottom w:val="0"/>
      <w:divBdr>
        <w:top w:val="none" w:sz="0" w:space="0" w:color="auto"/>
        <w:left w:val="none" w:sz="0" w:space="0" w:color="auto"/>
        <w:bottom w:val="none" w:sz="0" w:space="0" w:color="auto"/>
        <w:right w:val="none" w:sz="0" w:space="0" w:color="auto"/>
      </w:divBdr>
    </w:div>
    <w:div w:id="1549367799">
      <w:bodyDiv w:val="1"/>
      <w:marLeft w:val="0"/>
      <w:marRight w:val="0"/>
      <w:marTop w:val="0"/>
      <w:marBottom w:val="0"/>
      <w:divBdr>
        <w:top w:val="none" w:sz="0" w:space="0" w:color="auto"/>
        <w:left w:val="none" w:sz="0" w:space="0" w:color="auto"/>
        <w:bottom w:val="none" w:sz="0" w:space="0" w:color="auto"/>
        <w:right w:val="none" w:sz="0" w:space="0" w:color="auto"/>
      </w:divBdr>
    </w:div>
    <w:div w:id="1894581656">
      <w:bodyDiv w:val="1"/>
      <w:marLeft w:val="0"/>
      <w:marRight w:val="0"/>
      <w:marTop w:val="0"/>
      <w:marBottom w:val="0"/>
      <w:divBdr>
        <w:top w:val="none" w:sz="0" w:space="0" w:color="auto"/>
        <w:left w:val="none" w:sz="0" w:space="0" w:color="auto"/>
        <w:bottom w:val="none" w:sz="0" w:space="0" w:color="auto"/>
        <w:right w:val="none" w:sz="0" w:space="0" w:color="auto"/>
      </w:divBdr>
    </w:div>
    <w:div w:id="1911377764">
      <w:bodyDiv w:val="1"/>
      <w:marLeft w:val="0"/>
      <w:marRight w:val="0"/>
      <w:marTop w:val="0"/>
      <w:marBottom w:val="0"/>
      <w:divBdr>
        <w:top w:val="none" w:sz="0" w:space="0" w:color="auto"/>
        <w:left w:val="none" w:sz="0" w:space="0" w:color="auto"/>
        <w:bottom w:val="none" w:sz="0" w:space="0" w:color="auto"/>
        <w:right w:val="none" w:sz="0" w:space="0" w:color="auto"/>
      </w:divBdr>
    </w:div>
    <w:div w:id="1956909336">
      <w:bodyDiv w:val="1"/>
      <w:marLeft w:val="0"/>
      <w:marRight w:val="0"/>
      <w:marTop w:val="0"/>
      <w:marBottom w:val="0"/>
      <w:divBdr>
        <w:top w:val="none" w:sz="0" w:space="0" w:color="auto"/>
        <w:left w:val="none" w:sz="0" w:space="0" w:color="auto"/>
        <w:bottom w:val="none" w:sz="0" w:space="0" w:color="auto"/>
        <w:right w:val="none" w:sz="0" w:space="0" w:color="auto"/>
      </w:divBdr>
    </w:div>
    <w:div w:id="198635198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490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copfs.gsi.gov.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47166-AE1A-4618-928D-B82806BC3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6F10A3E-2E08-4E4F-95C9-F13623DEA5A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907CD89-89EB-49F3-8D35-05A67BB760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1832</Words>
  <Characters>10446</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2023-04-14T12:21:00Z</cp:lastPrinted>
  <dcterms:created xsi:type="dcterms:W3CDTF">2023-04-14T12:17:00Z</dcterms:created>
  <dcterms:modified xsi:type="dcterms:W3CDTF">2023-04-14T12:21:00Z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