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2CDABBF" w:rsidR="00B17211" w:rsidRPr="00B17211" w:rsidRDefault="00B17211" w:rsidP="007F490F">
            <w:r w:rsidRPr="007F490F">
              <w:rPr>
                <w:rStyle w:val="Heading2Char"/>
              </w:rPr>
              <w:t>Our reference:</w:t>
            </w:r>
            <w:r>
              <w:t xml:space="preserve">  FOI 2</w:t>
            </w:r>
            <w:r w:rsidR="00EF0FBB">
              <w:t>5</w:t>
            </w:r>
            <w:r>
              <w:t>-</w:t>
            </w:r>
            <w:r w:rsidR="00575124">
              <w:t>3677</w:t>
            </w:r>
          </w:p>
          <w:p w14:paraId="34BDABA6" w14:textId="76CB17DA" w:rsidR="00B17211" w:rsidRDefault="00456324" w:rsidP="00EE2373">
            <w:r w:rsidRPr="007F490F">
              <w:rPr>
                <w:rStyle w:val="Heading2Char"/>
              </w:rPr>
              <w:t>Respon</w:t>
            </w:r>
            <w:r w:rsidR="007D55F6">
              <w:rPr>
                <w:rStyle w:val="Heading2Char"/>
              </w:rPr>
              <w:t>ded to:</w:t>
            </w:r>
            <w:r w:rsidR="007F490F">
              <w:t xml:space="preserve">  </w:t>
            </w:r>
            <w:r w:rsidR="005259BF">
              <w:t>16</w:t>
            </w:r>
            <w:r w:rsidR="006D5799">
              <w:t xml:space="preserve"> </w:t>
            </w:r>
            <w:r w:rsidR="00575124">
              <w:t>Dec</w:t>
            </w:r>
            <w:r w:rsidR="0034364D">
              <w: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1D87928" w14:textId="15DECD56" w:rsidR="00575124" w:rsidRPr="00575124" w:rsidRDefault="00575124" w:rsidP="008106C3">
      <w:pPr>
        <w:pStyle w:val="Heading2"/>
      </w:pPr>
      <w:r w:rsidRPr="008106C3">
        <w:t xml:space="preserve">I note that in your </w:t>
      </w:r>
      <w:hyperlink r:id="rId11" w:history="1">
        <w:r w:rsidR="008106C3" w:rsidRPr="008106C3">
          <w:rPr>
            <w:color w:val="0000FF"/>
            <w:u w:val="single"/>
          </w:rPr>
          <w:t>Armed Policing Report 2025/26</w:t>
        </w:r>
      </w:hyperlink>
      <w:r w:rsidRPr="008106C3">
        <w:t xml:space="preserve"> Police Scotland collate and publish</w:t>
      </w:r>
      <w:r w:rsidRPr="00575124">
        <w:t xml:space="preserve"> helpful data on the annual use of tasers and firearms by its officers from 2015-16 to 2024-25. </w:t>
      </w:r>
    </w:p>
    <w:p w14:paraId="53B21C56" w14:textId="1F781950" w:rsidR="00575124" w:rsidRPr="00575124" w:rsidRDefault="00575124" w:rsidP="008106C3">
      <w:pPr>
        <w:pStyle w:val="Heading2"/>
      </w:pPr>
      <w:r w:rsidRPr="00575124">
        <w:t>The data on the former distinguishes between when a taser is ‘drawn’, ‘aimed’ and ‘fired’, but that on conventional munitions provides details solely on the number of ‘discharges’ of munitions be they ‘Conventional’, ‘Specialist Munitions’ and ‘Other less lethal’ (see section on ‘Historic Armed Policing - Firearm discharges’).</w:t>
      </w:r>
    </w:p>
    <w:p w14:paraId="2C2CFE90" w14:textId="5D6FC6F6" w:rsidR="00A969B8" w:rsidRDefault="00575124" w:rsidP="008106C3">
      <w:pPr>
        <w:pStyle w:val="Heading2"/>
      </w:pPr>
      <w:r w:rsidRPr="00575124">
        <w:t xml:space="preserve"> Within this in mind, and the fact I cannot see an answer after search your FoI database/publication scheme, I am writing to request any statistics you hold on the drawing or aiming of conventional firearms for the years noted in the Armed Policing Report 2025/26, namely:</w:t>
      </w:r>
    </w:p>
    <w:tbl>
      <w:tblPr>
        <w:tblW w:w="9629" w:type="dxa"/>
        <w:tblCellMar>
          <w:left w:w="0" w:type="dxa"/>
          <w:right w:w="0" w:type="dxa"/>
        </w:tblCellMar>
        <w:tblLook w:val="04A0" w:firstRow="1" w:lastRow="0" w:firstColumn="1" w:lastColumn="0" w:noHBand="0" w:noVBand="1"/>
      </w:tblPr>
      <w:tblGrid>
        <w:gridCol w:w="950"/>
        <w:gridCol w:w="867"/>
        <w:gridCol w:w="868"/>
        <w:gridCol w:w="868"/>
        <w:gridCol w:w="868"/>
        <w:gridCol w:w="868"/>
        <w:gridCol w:w="868"/>
        <w:gridCol w:w="868"/>
        <w:gridCol w:w="868"/>
        <w:gridCol w:w="868"/>
        <w:gridCol w:w="868"/>
      </w:tblGrid>
      <w:tr w:rsidR="00F12E90" w:rsidRPr="008106C3" w14:paraId="59216E03" w14:textId="77777777" w:rsidTr="008106C3">
        <w:tc>
          <w:tcPr>
            <w:tcW w:w="9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7EAEE3"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084754"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15-16</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A54DF0"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16-17</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ABC3A8"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17-18</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7DEB35"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18-19</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B52EAA"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19-20</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CC0480"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20-21</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D58D0D"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21-22</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90EA6F"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22-23</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7EA5CE"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23-24</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AB7E85"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24-25</w:t>
            </w:r>
          </w:p>
        </w:tc>
      </w:tr>
      <w:tr w:rsidR="00F12E90" w:rsidRPr="008106C3" w14:paraId="18918D8B" w14:textId="77777777" w:rsidTr="008106C3">
        <w:tc>
          <w:tcPr>
            <w:tcW w:w="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63DAE"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Drawn</w:t>
            </w:r>
          </w:p>
        </w:tc>
        <w:tc>
          <w:tcPr>
            <w:tcW w:w="867" w:type="dxa"/>
            <w:tcBorders>
              <w:top w:val="nil"/>
              <w:left w:val="nil"/>
              <w:bottom w:val="single" w:sz="8" w:space="0" w:color="auto"/>
              <w:right w:val="single" w:sz="8" w:space="0" w:color="auto"/>
            </w:tcBorders>
            <w:tcMar>
              <w:top w:w="0" w:type="dxa"/>
              <w:left w:w="108" w:type="dxa"/>
              <w:bottom w:w="0" w:type="dxa"/>
              <w:right w:w="108" w:type="dxa"/>
            </w:tcMar>
            <w:hideMark/>
          </w:tcPr>
          <w:p w14:paraId="22F93F30"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4EF9DB65"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62628C0E"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79A3D12B"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1C9C67E4"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374A66AD"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3C51D450"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2A4AD642"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140A699C"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6E825205"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r>
      <w:tr w:rsidR="00F12E90" w:rsidRPr="008106C3" w14:paraId="2FF3BF62" w14:textId="77777777" w:rsidTr="008106C3">
        <w:tc>
          <w:tcPr>
            <w:tcW w:w="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FCD90"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Aimed</w:t>
            </w:r>
          </w:p>
        </w:tc>
        <w:tc>
          <w:tcPr>
            <w:tcW w:w="867" w:type="dxa"/>
            <w:tcBorders>
              <w:top w:val="nil"/>
              <w:left w:val="nil"/>
              <w:bottom w:val="single" w:sz="8" w:space="0" w:color="auto"/>
              <w:right w:val="single" w:sz="8" w:space="0" w:color="auto"/>
            </w:tcBorders>
            <w:tcMar>
              <w:top w:w="0" w:type="dxa"/>
              <w:left w:w="108" w:type="dxa"/>
              <w:bottom w:w="0" w:type="dxa"/>
              <w:right w:w="108" w:type="dxa"/>
            </w:tcMar>
            <w:hideMark/>
          </w:tcPr>
          <w:p w14:paraId="64ADCC66"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7A876302"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36EE2A87"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69E25EF9"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2C625FCF"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55024A83"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53F153E9"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6C2D070E"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16749621"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11B03526" w14:textId="77777777" w:rsidR="00F12E90" w:rsidRPr="008106C3" w:rsidRDefault="00F12E90" w:rsidP="008106C3">
            <w:pPr>
              <w:pStyle w:val="Heading2"/>
              <w:spacing w:line="240" w:lineRule="auto"/>
              <w:rPr>
                <w:rFonts w:eastAsia="Aptos"/>
                <w:bCs/>
                <w:lang w:eastAsia="en-GB"/>
              </w:rPr>
            </w:pPr>
            <w:r w:rsidRPr="008106C3">
              <w:rPr>
                <w:rFonts w:eastAsia="Aptos"/>
                <w:bCs/>
                <w:color w:val="000000"/>
                <w:lang w:eastAsia="en-GB"/>
              </w:rPr>
              <w:t> </w:t>
            </w:r>
          </w:p>
        </w:tc>
      </w:tr>
    </w:tbl>
    <w:p w14:paraId="6F3F8552" w14:textId="77777777" w:rsidR="00F12E90" w:rsidRDefault="00F12E90" w:rsidP="00575124">
      <w:pPr>
        <w:tabs>
          <w:tab w:val="left" w:pos="5400"/>
        </w:tabs>
        <w:rPr>
          <w:rFonts w:eastAsiaTheme="majorEastAsia" w:cstheme="majorBidi"/>
          <w:b/>
          <w:color w:val="000000" w:themeColor="text1"/>
          <w:szCs w:val="26"/>
        </w:rPr>
      </w:pPr>
    </w:p>
    <w:p w14:paraId="664F38D8" w14:textId="0B1B1172" w:rsidR="00A969B8" w:rsidRDefault="00F12E90" w:rsidP="00A969B8">
      <w:pPr>
        <w:tabs>
          <w:tab w:val="left" w:pos="5400"/>
        </w:tabs>
      </w:pPr>
      <w:r>
        <w:t>In response to your request, firstly, t</w:t>
      </w:r>
      <w:r w:rsidR="00A969B8">
        <w:t>he “carriage” and “use” of conventional firearms by Authorised Firearms Officers (AFO) in Police Scotland is recorded differently to Taser and</w:t>
      </w:r>
      <w:r w:rsidR="008106C3">
        <w:t>,</w:t>
      </w:r>
      <w:r w:rsidR="00A969B8">
        <w:t xml:space="preserve"> as such, the term “drawn” is not utilised or recorded in this context. </w:t>
      </w:r>
    </w:p>
    <w:p w14:paraId="229CDFA4" w14:textId="773C4BD9" w:rsidR="00A6632F" w:rsidRDefault="00A6632F" w:rsidP="00A969B8">
      <w:pPr>
        <w:tabs>
          <w:tab w:val="left" w:pos="5400"/>
        </w:tabs>
      </w:pPr>
      <w:r>
        <w:t>Section 17 of the Act therefore applies as the information sought is not held by Police Scotland.</w:t>
      </w:r>
    </w:p>
    <w:p w14:paraId="346D69CF" w14:textId="7808025A" w:rsidR="00A969B8" w:rsidRDefault="00A969B8" w:rsidP="00A969B8">
      <w:pPr>
        <w:tabs>
          <w:tab w:val="left" w:pos="5400"/>
        </w:tabs>
      </w:pPr>
      <w:r>
        <w:t>Police Scotland does record when a conventional firearm is pointed at a person or perceived to be pointed at a person, and when this occurs Armed Policing submit a referral to the Police Independent Review Commissioner (PIRC) outlining the circumstances.</w:t>
      </w:r>
    </w:p>
    <w:p w14:paraId="4179C85A" w14:textId="148F2DCD" w:rsidR="00A969B8" w:rsidRDefault="008106C3" w:rsidP="00A969B8">
      <w:pPr>
        <w:tabs>
          <w:tab w:val="left" w:pos="5400"/>
        </w:tabs>
      </w:pPr>
      <w:r>
        <w:lastRenderedPageBreak/>
        <w:t xml:space="preserve">The table below details </w:t>
      </w:r>
      <w:r w:rsidR="00A969B8">
        <w:t>Armed Policing deployments where AFOs have presented (pointed) conventional firearms at a person(s) and</w:t>
      </w:r>
      <w:r>
        <w:t>,</w:t>
      </w:r>
      <w:r w:rsidR="00A969B8">
        <w:t xml:space="preserve"> as such</w:t>
      </w:r>
      <w:r>
        <w:t>,</w:t>
      </w:r>
      <w:r w:rsidR="00A969B8">
        <w:t xml:space="preserve"> a self-referral was made to PIRC.</w:t>
      </w:r>
    </w:p>
    <w:tbl>
      <w:tblPr>
        <w:tblStyle w:val="TableGrid"/>
        <w:tblW w:w="0" w:type="auto"/>
        <w:tblLayout w:type="fixed"/>
        <w:tblLook w:val="04A0" w:firstRow="1" w:lastRow="0" w:firstColumn="1" w:lastColumn="0" w:noHBand="0" w:noVBand="1"/>
      </w:tblPr>
      <w:tblGrid>
        <w:gridCol w:w="1231"/>
        <w:gridCol w:w="3430"/>
      </w:tblGrid>
      <w:tr w:rsidR="008106C3" w:rsidRPr="008106C3" w14:paraId="7882DE0D" w14:textId="77777777" w:rsidTr="008106C3">
        <w:trPr>
          <w:trHeight w:val="20"/>
        </w:trPr>
        <w:tc>
          <w:tcPr>
            <w:tcW w:w="1231" w:type="dxa"/>
            <w:shd w:val="clear" w:color="auto" w:fill="D9D9D9" w:themeFill="background1" w:themeFillShade="D9"/>
            <w:hideMark/>
          </w:tcPr>
          <w:p w14:paraId="51109424" w14:textId="77777777" w:rsidR="008106C3" w:rsidRPr="008106C3" w:rsidRDefault="008106C3" w:rsidP="008106C3">
            <w:pPr>
              <w:tabs>
                <w:tab w:val="left" w:pos="5400"/>
              </w:tabs>
              <w:spacing w:line="240" w:lineRule="auto"/>
              <w:rPr>
                <w:b/>
                <w:bCs/>
              </w:rPr>
            </w:pPr>
            <w:r w:rsidRPr="008106C3">
              <w:rPr>
                <w:b/>
                <w:bCs/>
              </w:rPr>
              <w:t>Year</w:t>
            </w:r>
          </w:p>
        </w:tc>
        <w:tc>
          <w:tcPr>
            <w:tcW w:w="3430" w:type="dxa"/>
            <w:shd w:val="clear" w:color="auto" w:fill="D9D9D9" w:themeFill="background1" w:themeFillShade="D9"/>
            <w:hideMark/>
          </w:tcPr>
          <w:p w14:paraId="0410185A" w14:textId="77777777" w:rsidR="008106C3" w:rsidRPr="008106C3" w:rsidRDefault="008106C3" w:rsidP="008106C3">
            <w:pPr>
              <w:tabs>
                <w:tab w:val="left" w:pos="5400"/>
              </w:tabs>
              <w:spacing w:line="240" w:lineRule="auto"/>
              <w:rPr>
                <w:b/>
                <w:bCs/>
              </w:rPr>
            </w:pPr>
            <w:r w:rsidRPr="008106C3">
              <w:rPr>
                <w:b/>
                <w:bCs/>
              </w:rPr>
              <w:t>No. of Armed Deployments</w:t>
            </w:r>
          </w:p>
        </w:tc>
      </w:tr>
      <w:tr w:rsidR="008106C3" w:rsidRPr="008106C3" w14:paraId="2526B8F5" w14:textId="77777777" w:rsidTr="008106C3">
        <w:trPr>
          <w:trHeight w:val="20"/>
        </w:trPr>
        <w:tc>
          <w:tcPr>
            <w:tcW w:w="1231" w:type="dxa"/>
            <w:hideMark/>
          </w:tcPr>
          <w:p w14:paraId="4F8DA31D" w14:textId="77777777" w:rsidR="008106C3" w:rsidRPr="008106C3" w:rsidRDefault="008106C3" w:rsidP="008106C3">
            <w:pPr>
              <w:tabs>
                <w:tab w:val="left" w:pos="5400"/>
              </w:tabs>
              <w:spacing w:line="240" w:lineRule="auto"/>
            </w:pPr>
            <w:r w:rsidRPr="008106C3">
              <w:t>2015-16</w:t>
            </w:r>
          </w:p>
        </w:tc>
        <w:tc>
          <w:tcPr>
            <w:tcW w:w="3430" w:type="dxa"/>
            <w:hideMark/>
          </w:tcPr>
          <w:p w14:paraId="07B77C43" w14:textId="77777777" w:rsidR="008106C3" w:rsidRPr="008106C3" w:rsidRDefault="008106C3" w:rsidP="008106C3">
            <w:pPr>
              <w:tabs>
                <w:tab w:val="left" w:pos="5400"/>
              </w:tabs>
              <w:spacing w:line="240" w:lineRule="auto"/>
            </w:pPr>
            <w:r w:rsidRPr="008106C3">
              <w:t>23</w:t>
            </w:r>
          </w:p>
        </w:tc>
      </w:tr>
      <w:tr w:rsidR="008106C3" w:rsidRPr="008106C3" w14:paraId="1ACAF710" w14:textId="77777777" w:rsidTr="008106C3">
        <w:trPr>
          <w:trHeight w:val="20"/>
        </w:trPr>
        <w:tc>
          <w:tcPr>
            <w:tcW w:w="1231" w:type="dxa"/>
            <w:hideMark/>
          </w:tcPr>
          <w:p w14:paraId="599265B2" w14:textId="77777777" w:rsidR="008106C3" w:rsidRPr="008106C3" w:rsidRDefault="008106C3" w:rsidP="008106C3">
            <w:pPr>
              <w:tabs>
                <w:tab w:val="left" w:pos="5400"/>
              </w:tabs>
              <w:spacing w:line="240" w:lineRule="auto"/>
            </w:pPr>
            <w:r w:rsidRPr="008106C3">
              <w:t>2016-17</w:t>
            </w:r>
          </w:p>
        </w:tc>
        <w:tc>
          <w:tcPr>
            <w:tcW w:w="3430" w:type="dxa"/>
            <w:hideMark/>
          </w:tcPr>
          <w:p w14:paraId="60543D92" w14:textId="77777777" w:rsidR="008106C3" w:rsidRPr="008106C3" w:rsidRDefault="008106C3" w:rsidP="008106C3">
            <w:pPr>
              <w:tabs>
                <w:tab w:val="left" w:pos="5400"/>
              </w:tabs>
              <w:spacing w:line="240" w:lineRule="auto"/>
            </w:pPr>
            <w:r w:rsidRPr="008106C3">
              <w:t>42</w:t>
            </w:r>
          </w:p>
        </w:tc>
      </w:tr>
      <w:tr w:rsidR="008106C3" w:rsidRPr="008106C3" w14:paraId="08EEAAFB" w14:textId="77777777" w:rsidTr="008106C3">
        <w:trPr>
          <w:trHeight w:val="20"/>
        </w:trPr>
        <w:tc>
          <w:tcPr>
            <w:tcW w:w="1231" w:type="dxa"/>
            <w:hideMark/>
          </w:tcPr>
          <w:p w14:paraId="7774DF4D" w14:textId="77777777" w:rsidR="008106C3" w:rsidRPr="008106C3" w:rsidRDefault="008106C3" w:rsidP="008106C3">
            <w:pPr>
              <w:tabs>
                <w:tab w:val="left" w:pos="5400"/>
              </w:tabs>
              <w:spacing w:line="240" w:lineRule="auto"/>
            </w:pPr>
            <w:r w:rsidRPr="008106C3">
              <w:t>2017-18</w:t>
            </w:r>
          </w:p>
        </w:tc>
        <w:tc>
          <w:tcPr>
            <w:tcW w:w="3430" w:type="dxa"/>
            <w:hideMark/>
          </w:tcPr>
          <w:p w14:paraId="59A7798B" w14:textId="77777777" w:rsidR="008106C3" w:rsidRPr="008106C3" w:rsidRDefault="008106C3" w:rsidP="008106C3">
            <w:pPr>
              <w:tabs>
                <w:tab w:val="left" w:pos="5400"/>
              </w:tabs>
              <w:spacing w:line="240" w:lineRule="auto"/>
            </w:pPr>
            <w:r w:rsidRPr="008106C3">
              <w:t>53</w:t>
            </w:r>
          </w:p>
        </w:tc>
      </w:tr>
      <w:tr w:rsidR="008106C3" w:rsidRPr="008106C3" w14:paraId="6ABB90F6" w14:textId="77777777" w:rsidTr="008106C3">
        <w:trPr>
          <w:trHeight w:val="20"/>
        </w:trPr>
        <w:tc>
          <w:tcPr>
            <w:tcW w:w="1231" w:type="dxa"/>
            <w:hideMark/>
          </w:tcPr>
          <w:p w14:paraId="47221EB9" w14:textId="77777777" w:rsidR="008106C3" w:rsidRPr="008106C3" w:rsidRDefault="008106C3" w:rsidP="008106C3">
            <w:pPr>
              <w:tabs>
                <w:tab w:val="left" w:pos="5400"/>
              </w:tabs>
              <w:spacing w:line="240" w:lineRule="auto"/>
            </w:pPr>
            <w:r w:rsidRPr="008106C3">
              <w:t>2018-19</w:t>
            </w:r>
          </w:p>
        </w:tc>
        <w:tc>
          <w:tcPr>
            <w:tcW w:w="3430" w:type="dxa"/>
            <w:hideMark/>
          </w:tcPr>
          <w:p w14:paraId="03017A40" w14:textId="77777777" w:rsidR="008106C3" w:rsidRPr="008106C3" w:rsidRDefault="008106C3" w:rsidP="008106C3">
            <w:pPr>
              <w:tabs>
                <w:tab w:val="left" w:pos="5400"/>
              </w:tabs>
              <w:spacing w:line="240" w:lineRule="auto"/>
            </w:pPr>
            <w:r w:rsidRPr="008106C3">
              <w:t>66</w:t>
            </w:r>
          </w:p>
        </w:tc>
      </w:tr>
      <w:tr w:rsidR="008106C3" w:rsidRPr="008106C3" w14:paraId="613BE3B2" w14:textId="77777777" w:rsidTr="008106C3">
        <w:trPr>
          <w:trHeight w:val="20"/>
        </w:trPr>
        <w:tc>
          <w:tcPr>
            <w:tcW w:w="1231" w:type="dxa"/>
            <w:hideMark/>
          </w:tcPr>
          <w:p w14:paraId="38B5118D" w14:textId="77777777" w:rsidR="008106C3" w:rsidRPr="008106C3" w:rsidRDefault="008106C3" w:rsidP="008106C3">
            <w:pPr>
              <w:tabs>
                <w:tab w:val="left" w:pos="5400"/>
              </w:tabs>
              <w:spacing w:line="240" w:lineRule="auto"/>
            </w:pPr>
            <w:r w:rsidRPr="008106C3">
              <w:t>2019-20</w:t>
            </w:r>
          </w:p>
        </w:tc>
        <w:tc>
          <w:tcPr>
            <w:tcW w:w="3430" w:type="dxa"/>
            <w:hideMark/>
          </w:tcPr>
          <w:p w14:paraId="156F1316" w14:textId="77777777" w:rsidR="008106C3" w:rsidRPr="008106C3" w:rsidRDefault="008106C3" w:rsidP="008106C3">
            <w:pPr>
              <w:tabs>
                <w:tab w:val="left" w:pos="5400"/>
              </w:tabs>
              <w:spacing w:line="240" w:lineRule="auto"/>
            </w:pPr>
            <w:r w:rsidRPr="008106C3">
              <w:t>83</w:t>
            </w:r>
          </w:p>
        </w:tc>
      </w:tr>
      <w:tr w:rsidR="008106C3" w:rsidRPr="008106C3" w14:paraId="2346E472" w14:textId="77777777" w:rsidTr="008106C3">
        <w:trPr>
          <w:trHeight w:val="20"/>
        </w:trPr>
        <w:tc>
          <w:tcPr>
            <w:tcW w:w="1231" w:type="dxa"/>
            <w:hideMark/>
          </w:tcPr>
          <w:p w14:paraId="519B000D" w14:textId="77777777" w:rsidR="008106C3" w:rsidRPr="008106C3" w:rsidRDefault="008106C3" w:rsidP="008106C3">
            <w:pPr>
              <w:tabs>
                <w:tab w:val="left" w:pos="5400"/>
              </w:tabs>
              <w:spacing w:line="240" w:lineRule="auto"/>
            </w:pPr>
            <w:r w:rsidRPr="008106C3">
              <w:t>2020-21</w:t>
            </w:r>
          </w:p>
        </w:tc>
        <w:tc>
          <w:tcPr>
            <w:tcW w:w="3430" w:type="dxa"/>
            <w:hideMark/>
          </w:tcPr>
          <w:p w14:paraId="425DCB23" w14:textId="77777777" w:rsidR="008106C3" w:rsidRPr="008106C3" w:rsidRDefault="008106C3" w:rsidP="008106C3">
            <w:pPr>
              <w:tabs>
                <w:tab w:val="left" w:pos="5400"/>
              </w:tabs>
              <w:spacing w:line="240" w:lineRule="auto"/>
            </w:pPr>
            <w:r w:rsidRPr="008106C3">
              <w:t>102</w:t>
            </w:r>
          </w:p>
        </w:tc>
      </w:tr>
      <w:tr w:rsidR="008106C3" w:rsidRPr="008106C3" w14:paraId="68464452" w14:textId="77777777" w:rsidTr="008106C3">
        <w:trPr>
          <w:trHeight w:val="20"/>
        </w:trPr>
        <w:tc>
          <w:tcPr>
            <w:tcW w:w="1231" w:type="dxa"/>
            <w:hideMark/>
          </w:tcPr>
          <w:p w14:paraId="71B69E03" w14:textId="77777777" w:rsidR="008106C3" w:rsidRPr="008106C3" w:rsidRDefault="008106C3" w:rsidP="008106C3">
            <w:pPr>
              <w:tabs>
                <w:tab w:val="left" w:pos="5400"/>
              </w:tabs>
              <w:spacing w:line="240" w:lineRule="auto"/>
            </w:pPr>
            <w:r w:rsidRPr="008106C3">
              <w:t>2021-22</w:t>
            </w:r>
          </w:p>
        </w:tc>
        <w:tc>
          <w:tcPr>
            <w:tcW w:w="3430" w:type="dxa"/>
            <w:hideMark/>
          </w:tcPr>
          <w:p w14:paraId="05D8C690" w14:textId="77777777" w:rsidR="008106C3" w:rsidRPr="008106C3" w:rsidRDefault="008106C3" w:rsidP="008106C3">
            <w:pPr>
              <w:tabs>
                <w:tab w:val="left" w:pos="5400"/>
              </w:tabs>
              <w:spacing w:line="240" w:lineRule="auto"/>
            </w:pPr>
            <w:r w:rsidRPr="008106C3">
              <w:t>100</w:t>
            </w:r>
          </w:p>
        </w:tc>
      </w:tr>
      <w:tr w:rsidR="008106C3" w:rsidRPr="008106C3" w14:paraId="06E4DFE3" w14:textId="77777777" w:rsidTr="008106C3">
        <w:trPr>
          <w:trHeight w:val="20"/>
        </w:trPr>
        <w:tc>
          <w:tcPr>
            <w:tcW w:w="1231" w:type="dxa"/>
            <w:hideMark/>
          </w:tcPr>
          <w:p w14:paraId="6AB7FEF7" w14:textId="77777777" w:rsidR="008106C3" w:rsidRPr="008106C3" w:rsidRDefault="008106C3" w:rsidP="008106C3">
            <w:pPr>
              <w:tabs>
                <w:tab w:val="left" w:pos="5400"/>
              </w:tabs>
              <w:spacing w:line="240" w:lineRule="auto"/>
            </w:pPr>
            <w:r w:rsidRPr="008106C3">
              <w:t>2022-23</w:t>
            </w:r>
          </w:p>
        </w:tc>
        <w:tc>
          <w:tcPr>
            <w:tcW w:w="3430" w:type="dxa"/>
            <w:hideMark/>
          </w:tcPr>
          <w:p w14:paraId="2FBD2944" w14:textId="77777777" w:rsidR="008106C3" w:rsidRPr="008106C3" w:rsidRDefault="008106C3" w:rsidP="008106C3">
            <w:pPr>
              <w:tabs>
                <w:tab w:val="left" w:pos="5400"/>
              </w:tabs>
              <w:spacing w:line="240" w:lineRule="auto"/>
            </w:pPr>
            <w:r w:rsidRPr="008106C3">
              <w:t>115</w:t>
            </w:r>
          </w:p>
        </w:tc>
      </w:tr>
      <w:tr w:rsidR="008106C3" w:rsidRPr="008106C3" w14:paraId="160E06F1" w14:textId="77777777" w:rsidTr="008106C3">
        <w:trPr>
          <w:trHeight w:val="20"/>
        </w:trPr>
        <w:tc>
          <w:tcPr>
            <w:tcW w:w="1231" w:type="dxa"/>
            <w:hideMark/>
          </w:tcPr>
          <w:p w14:paraId="156DB433" w14:textId="77777777" w:rsidR="008106C3" w:rsidRPr="008106C3" w:rsidRDefault="008106C3" w:rsidP="008106C3">
            <w:pPr>
              <w:tabs>
                <w:tab w:val="left" w:pos="5400"/>
              </w:tabs>
              <w:spacing w:line="240" w:lineRule="auto"/>
            </w:pPr>
            <w:r w:rsidRPr="008106C3">
              <w:t>2023-24</w:t>
            </w:r>
          </w:p>
        </w:tc>
        <w:tc>
          <w:tcPr>
            <w:tcW w:w="3430" w:type="dxa"/>
            <w:hideMark/>
          </w:tcPr>
          <w:p w14:paraId="2CA6CCDD" w14:textId="77777777" w:rsidR="008106C3" w:rsidRPr="008106C3" w:rsidRDefault="008106C3" w:rsidP="008106C3">
            <w:pPr>
              <w:tabs>
                <w:tab w:val="left" w:pos="5400"/>
              </w:tabs>
              <w:spacing w:line="240" w:lineRule="auto"/>
            </w:pPr>
            <w:r w:rsidRPr="008106C3">
              <w:t>91</w:t>
            </w:r>
          </w:p>
        </w:tc>
      </w:tr>
      <w:tr w:rsidR="008106C3" w:rsidRPr="008106C3" w14:paraId="16157C8B" w14:textId="77777777" w:rsidTr="008106C3">
        <w:trPr>
          <w:trHeight w:val="20"/>
        </w:trPr>
        <w:tc>
          <w:tcPr>
            <w:tcW w:w="1231" w:type="dxa"/>
            <w:hideMark/>
          </w:tcPr>
          <w:p w14:paraId="332CF80F" w14:textId="77777777" w:rsidR="008106C3" w:rsidRPr="008106C3" w:rsidRDefault="008106C3" w:rsidP="008106C3">
            <w:pPr>
              <w:tabs>
                <w:tab w:val="left" w:pos="5400"/>
              </w:tabs>
              <w:spacing w:line="240" w:lineRule="auto"/>
            </w:pPr>
            <w:r w:rsidRPr="008106C3">
              <w:t>2024-25</w:t>
            </w:r>
          </w:p>
        </w:tc>
        <w:tc>
          <w:tcPr>
            <w:tcW w:w="3430" w:type="dxa"/>
            <w:hideMark/>
          </w:tcPr>
          <w:p w14:paraId="5F352D3E" w14:textId="77777777" w:rsidR="008106C3" w:rsidRPr="008106C3" w:rsidRDefault="008106C3" w:rsidP="008106C3">
            <w:pPr>
              <w:tabs>
                <w:tab w:val="left" w:pos="5400"/>
              </w:tabs>
              <w:spacing w:line="240" w:lineRule="auto"/>
            </w:pPr>
            <w:r w:rsidRPr="008106C3">
              <w:t>119</w:t>
            </w:r>
          </w:p>
        </w:tc>
      </w:tr>
    </w:tbl>
    <w:p w14:paraId="34BDABB8" w14:textId="77777777" w:rsidR="00255F1E" w:rsidRPr="00B11A55" w:rsidRDefault="00255F1E"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168DE4CE" w14:textId="7757A3DF" w:rsidR="00A969B8" w:rsidRDefault="007F490F" w:rsidP="008106C3">
      <w:r>
        <w:t xml:space="preserve">Every effort has been taken to ensure our response is as accessible as possible. </w:t>
      </w:r>
      <w:r w:rsidR="009D2AA5">
        <w:br/>
      </w:r>
      <w:r>
        <w:t>If you require this response to be provided in an alternative format, please let us know.</w:t>
      </w:r>
    </w:p>
    <w:sectPr w:rsidR="00A969B8" w:rsidSect="008106C3">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B329DC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45E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BDCDF5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45E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BFCD60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45E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95CD2B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45E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172D09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45E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863D8E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45E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5438C"/>
    <w:rsid w:val="00167528"/>
    <w:rsid w:val="00195CC4"/>
    <w:rsid w:val="001F2261"/>
    <w:rsid w:val="00207326"/>
    <w:rsid w:val="00253DF6"/>
    <w:rsid w:val="00255F1E"/>
    <w:rsid w:val="00297182"/>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D7268"/>
    <w:rsid w:val="004E1605"/>
    <w:rsid w:val="004F653C"/>
    <w:rsid w:val="005259BF"/>
    <w:rsid w:val="00540A52"/>
    <w:rsid w:val="00557306"/>
    <w:rsid w:val="00575124"/>
    <w:rsid w:val="00645CFA"/>
    <w:rsid w:val="00685219"/>
    <w:rsid w:val="006D5799"/>
    <w:rsid w:val="007367AB"/>
    <w:rsid w:val="007440EA"/>
    <w:rsid w:val="00750D83"/>
    <w:rsid w:val="00785DBC"/>
    <w:rsid w:val="00793DD5"/>
    <w:rsid w:val="007D55F6"/>
    <w:rsid w:val="007F490F"/>
    <w:rsid w:val="008106C3"/>
    <w:rsid w:val="0086779C"/>
    <w:rsid w:val="00874BFD"/>
    <w:rsid w:val="008964EF"/>
    <w:rsid w:val="00915E01"/>
    <w:rsid w:val="009323BB"/>
    <w:rsid w:val="009631A4"/>
    <w:rsid w:val="00977296"/>
    <w:rsid w:val="009D2AA5"/>
    <w:rsid w:val="009D2F57"/>
    <w:rsid w:val="00A25E93"/>
    <w:rsid w:val="00A320FF"/>
    <w:rsid w:val="00A6632F"/>
    <w:rsid w:val="00A70AC0"/>
    <w:rsid w:val="00A84EA9"/>
    <w:rsid w:val="00A969B8"/>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145E6"/>
    <w:rsid w:val="00D27DC5"/>
    <w:rsid w:val="00D47E36"/>
    <w:rsid w:val="00E55D79"/>
    <w:rsid w:val="00EE2373"/>
    <w:rsid w:val="00EF0FBB"/>
    <w:rsid w:val="00EF4761"/>
    <w:rsid w:val="00F12E90"/>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94203">
      <w:bodyDiv w:val="1"/>
      <w:marLeft w:val="0"/>
      <w:marRight w:val="0"/>
      <w:marTop w:val="0"/>
      <w:marBottom w:val="0"/>
      <w:divBdr>
        <w:top w:val="none" w:sz="0" w:space="0" w:color="auto"/>
        <w:left w:val="none" w:sz="0" w:space="0" w:color="auto"/>
        <w:bottom w:val="none" w:sz="0" w:space="0" w:color="auto"/>
        <w:right w:val="none" w:sz="0" w:space="0" w:color="auto"/>
      </w:divBdr>
    </w:div>
    <w:div w:id="109374781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armed-policing-quarterly-reports/armed-policing-report-2025-26/"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www.w3.org/XML/1998/namespace"/>
    <ds:schemaRef ds:uri="0e32d40b-a8f5-4c24-a46b-b72b5f0b9b52"/>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493</Words>
  <Characters>2816</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2025-12-16T16:13:00Z</cp:lastPrinted>
  <dcterms:created xsi:type="dcterms:W3CDTF">2024-01-26T13:56:00Z</dcterms:created>
  <dcterms:modified xsi:type="dcterms:W3CDTF">2025-12-16T16:23:00Z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