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650FF2E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D615C">
              <w:t>2008</w:t>
            </w:r>
          </w:p>
          <w:p w14:paraId="5979BB04" w14:textId="1DBE35A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16800">
              <w:t>01 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54AADFE" w14:textId="16C50304" w:rsidR="00FD615C" w:rsidRPr="00FD615C" w:rsidRDefault="00FD615C" w:rsidP="00FD615C">
      <w:pPr>
        <w:pStyle w:val="Heading2"/>
      </w:pPr>
      <w:r w:rsidRPr="00FD615C">
        <w:t xml:space="preserve">Under the FOI Act, please provide me with the list of reported crimes at the locations listed below in 2022 and 2023. For each crime, specify the location, date, summary </w:t>
      </w:r>
      <w:r w:rsidR="005F2C25" w:rsidRPr="005F2C25">
        <w:t>and outcome please.</w:t>
      </w:r>
    </w:p>
    <w:p w14:paraId="2D01BAA6" w14:textId="77777777" w:rsidR="00FD615C" w:rsidRPr="00FD615C" w:rsidRDefault="00FD615C" w:rsidP="00FD615C">
      <w:pPr>
        <w:pStyle w:val="Heading2"/>
      </w:pPr>
      <w:r w:rsidRPr="00FD615C">
        <w:t>Haven Craig Tara Holiday Park, Dunure Rd, Ayr KA7 4LB</w:t>
      </w:r>
    </w:p>
    <w:p w14:paraId="36622FD2" w14:textId="77777777" w:rsidR="00FD615C" w:rsidRPr="00FD615C" w:rsidRDefault="00FD615C" w:rsidP="00FD615C">
      <w:pPr>
        <w:pStyle w:val="Heading2"/>
      </w:pPr>
      <w:r w:rsidRPr="00FD615C">
        <w:t>Haven Seton Sands Holiday Park, Links Rd, Port Seton, Prestonpans EH32 0QF</w:t>
      </w:r>
    </w:p>
    <w:p w14:paraId="04294030" w14:textId="4BF59942" w:rsidR="00255F1E" w:rsidRPr="00B11A55" w:rsidRDefault="005F2C25" w:rsidP="00793DD5">
      <w:pPr>
        <w:tabs>
          <w:tab w:val="left" w:pos="5400"/>
        </w:tabs>
      </w:pPr>
      <w:r>
        <w:t xml:space="preserve">In response, please see the tables at the end of this letter. </w:t>
      </w:r>
    </w:p>
    <w:p w14:paraId="66343656" w14:textId="7EBC1D16" w:rsidR="005F2C25" w:rsidRDefault="005F2C25" w:rsidP="005F2C25">
      <w:pPr>
        <w:tabs>
          <w:tab w:val="left" w:pos="5400"/>
        </w:tabs>
      </w:pPr>
      <w:r>
        <w:t>Police Scotland does not hold the outcome of criminal prosecutions. As such, in terms of Section 17 of the Freedom of Information (Scotland) Act 2002, this represents a notice that the information you seek is not held by Police Scotland.</w:t>
      </w:r>
    </w:p>
    <w:p w14:paraId="39D6BC22" w14:textId="0A2C19FD" w:rsidR="00BF6B81" w:rsidRPr="00B11A55" w:rsidRDefault="005F2C25" w:rsidP="005F2C25">
      <w:pPr>
        <w:tabs>
          <w:tab w:val="left" w:pos="5400"/>
        </w:tabs>
      </w:pPr>
      <w:r>
        <w:t xml:space="preserve">You may wish to contact the Crown Office and Procurator Fiscals Service (COPFS) which holds prosecution/conviction information for Scotland. A request can be submitted to COPFS via email using the following address </w:t>
      </w:r>
      <w:hyperlink r:id="rId8" w:history="1">
        <w:r w:rsidRPr="00E03F5A">
          <w:rPr>
            <w:rStyle w:val="Hyperlink"/>
          </w:rPr>
          <w:t>foi@copfs.gsi.gov.uk</w:t>
        </w:r>
      </w:hyperlink>
      <w:r>
        <w:t xml:space="preserve"> 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3EF58B8" w14:textId="6F76C7B3" w:rsidR="005F2C25" w:rsidRDefault="005F2C25" w:rsidP="007F490F">
      <w:pPr>
        <w:jc w:val="both"/>
      </w:pPr>
      <w:r w:rsidRPr="005F2C25">
        <w:lastRenderedPageBreak/>
        <w:t xml:space="preserve">Recorded Crimes, Haven Craig Tara Holiday Park, Dunure Rd, Ayr, KA7 4LB, Ayrshire </w:t>
      </w:r>
      <w:r>
        <w:t>Division</w:t>
      </w:r>
      <w:r w:rsidR="00297F78">
        <w:t>.</w:t>
      </w:r>
      <w:r>
        <w:t xml:space="preserve"> </w:t>
      </w:r>
      <w:r w:rsidRPr="005F2C25">
        <w:t>1st January 2022 to 31st July 2023, Calendar Years</w:t>
      </w:r>
    </w:p>
    <w:tbl>
      <w:tblPr>
        <w:tblStyle w:val="TableGrid"/>
        <w:tblW w:w="9859" w:type="dxa"/>
        <w:tblLook w:val="04A0" w:firstRow="1" w:lastRow="0" w:firstColumn="1" w:lastColumn="0" w:noHBand="0" w:noVBand="1"/>
        <w:tblCaption w:val="Recorded crimes Craig Tara"/>
        <w:tblDescription w:val="Recorded crimes Craig Tara"/>
      </w:tblPr>
      <w:tblGrid>
        <w:gridCol w:w="8359"/>
        <w:gridCol w:w="750"/>
        <w:gridCol w:w="750"/>
      </w:tblGrid>
      <w:tr w:rsidR="005F2C25" w:rsidRPr="00557306" w14:paraId="1B8745DD" w14:textId="77777777" w:rsidTr="00297F78">
        <w:trPr>
          <w:tblHeader/>
        </w:trPr>
        <w:tc>
          <w:tcPr>
            <w:tcW w:w="8359" w:type="dxa"/>
            <w:shd w:val="clear" w:color="auto" w:fill="D9D9D9" w:themeFill="background1" w:themeFillShade="D9"/>
          </w:tcPr>
          <w:p w14:paraId="280561A7" w14:textId="44469AE2" w:rsidR="005F2C25" w:rsidRPr="00557306" w:rsidRDefault="005F2C25" w:rsidP="00AC79F2">
            <w:pPr>
              <w:rPr>
                <w:b/>
              </w:rPr>
            </w:pPr>
            <w:r>
              <w:rPr>
                <w:b/>
              </w:rPr>
              <w:t>Crime Category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718013FD" w14:textId="095270E3" w:rsidR="005F2C25" w:rsidRPr="00557306" w:rsidRDefault="005F2C25" w:rsidP="00AC79F2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598BC652" w14:textId="1591E520" w:rsidR="005F2C25" w:rsidRPr="00557306" w:rsidRDefault="005F2C25" w:rsidP="00AC79F2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5F2C25" w:rsidRPr="005F2C25" w14:paraId="561F90DF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24608515" w14:textId="77777777" w:rsidR="005F2C25" w:rsidRPr="005F2C25" w:rsidRDefault="005F2C25" w:rsidP="005F2C2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Serious Assault (incl. culpable &amp; reckless conduct - causing injury)</w:t>
            </w:r>
          </w:p>
        </w:tc>
        <w:tc>
          <w:tcPr>
            <w:tcW w:w="750" w:type="dxa"/>
            <w:noWrap/>
            <w:hideMark/>
          </w:tcPr>
          <w:p w14:paraId="25DE2FBA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14:paraId="57D9B5C8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5F2C25" w:rsidRPr="005F2C25" w14:paraId="53D66077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1405A557" w14:textId="77777777" w:rsidR="005F2C25" w:rsidRPr="005F2C25" w:rsidRDefault="005F2C25" w:rsidP="005F2C2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Cruel &amp; Unnatural treatment of children</w:t>
            </w:r>
          </w:p>
        </w:tc>
        <w:tc>
          <w:tcPr>
            <w:tcW w:w="750" w:type="dxa"/>
            <w:noWrap/>
            <w:hideMark/>
          </w:tcPr>
          <w:p w14:paraId="37A4A46B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14:paraId="42445DFC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5F2C25" w:rsidRPr="005F2C25" w14:paraId="0FCD4460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623F9FDA" w14:textId="77777777" w:rsidR="005F2C25" w:rsidRPr="005F2C25" w:rsidRDefault="005F2C25" w:rsidP="005F2C2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Group 2 - Sexual Crimes</w:t>
            </w:r>
          </w:p>
        </w:tc>
        <w:tc>
          <w:tcPr>
            <w:tcW w:w="750" w:type="dxa"/>
            <w:noWrap/>
            <w:hideMark/>
          </w:tcPr>
          <w:p w14:paraId="3DE45A3E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C66D383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6</w:t>
            </w:r>
          </w:p>
        </w:tc>
      </w:tr>
      <w:tr w:rsidR="005F2C25" w:rsidRPr="005F2C25" w14:paraId="1F04C6A9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50C4CD0C" w14:textId="77777777" w:rsidR="005F2C25" w:rsidRPr="005F2C25" w:rsidRDefault="005F2C25" w:rsidP="005F2C2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Housebreaking (incl. attempts) - other premises</w:t>
            </w:r>
          </w:p>
        </w:tc>
        <w:tc>
          <w:tcPr>
            <w:tcW w:w="750" w:type="dxa"/>
            <w:noWrap/>
            <w:hideMark/>
          </w:tcPr>
          <w:p w14:paraId="28FB2BB7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14:paraId="46C8C39A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5F2C25" w:rsidRPr="005F2C25" w14:paraId="59BADE05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15460176" w14:textId="77777777" w:rsidR="005F2C25" w:rsidRPr="005F2C25" w:rsidRDefault="005F2C25" w:rsidP="005F2C2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Theft of a motor vehicle</w:t>
            </w:r>
          </w:p>
        </w:tc>
        <w:tc>
          <w:tcPr>
            <w:tcW w:w="750" w:type="dxa"/>
            <w:noWrap/>
            <w:hideMark/>
          </w:tcPr>
          <w:p w14:paraId="39B2CAF5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14:paraId="1B20F099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5F2C25" w:rsidRPr="005F2C25" w14:paraId="180D4F87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70E447BF" w14:textId="77777777" w:rsidR="005F2C25" w:rsidRPr="005F2C25" w:rsidRDefault="005F2C25" w:rsidP="005F2C2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Common theft</w:t>
            </w:r>
          </w:p>
        </w:tc>
        <w:tc>
          <w:tcPr>
            <w:tcW w:w="750" w:type="dxa"/>
            <w:noWrap/>
            <w:hideMark/>
          </w:tcPr>
          <w:p w14:paraId="00A153BD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750" w:type="dxa"/>
            <w:noWrap/>
            <w:hideMark/>
          </w:tcPr>
          <w:p w14:paraId="48163C1F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5</w:t>
            </w:r>
          </w:p>
        </w:tc>
      </w:tr>
      <w:tr w:rsidR="005F2C25" w:rsidRPr="005F2C25" w14:paraId="7C53A6B7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51B099F3" w14:textId="77777777" w:rsidR="005F2C25" w:rsidRPr="005F2C25" w:rsidRDefault="005F2C25" w:rsidP="005F2C2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Fraud</w:t>
            </w:r>
          </w:p>
        </w:tc>
        <w:tc>
          <w:tcPr>
            <w:tcW w:w="750" w:type="dxa"/>
            <w:noWrap/>
            <w:hideMark/>
          </w:tcPr>
          <w:p w14:paraId="7F0EEA0C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14:paraId="7A35C857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5F2C25" w:rsidRPr="005F2C25" w14:paraId="7328F92C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302FB716" w14:textId="77777777" w:rsidR="005F2C25" w:rsidRPr="005F2C25" w:rsidRDefault="005F2C25" w:rsidP="005F2C2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Vandalism (incl. reckless damage, etc.)</w:t>
            </w:r>
          </w:p>
        </w:tc>
        <w:tc>
          <w:tcPr>
            <w:tcW w:w="750" w:type="dxa"/>
            <w:noWrap/>
            <w:hideMark/>
          </w:tcPr>
          <w:p w14:paraId="318FA388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750" w:type="dxa"/>
            <w:noWrap/>
            <w:hideMark/>
          </w:tcPr>
          <w:p w14:paraId="6E815864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5</w:t>
            </w:r>
          </w:p>
        </w:tc>
      </w:tr>
      <w:tr w:rsidR="005F2C25" w:rsidRPr="005F2C25" w14:paraId="40AD8CB3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05EC0F24" w14:textId="77777777" w:rsidR="005F2C25" w:rsidRPr="005F2C25" w:rsidRDefault="005F2C25" w:rsidP="005F2C2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Carrying offensive weapons (incl. restriction)*</w:t>
            </w:r>
          </w:p>
        </w:tc>
        <w:tc>
          <w:tcPr>
            <w:tcW w:w="750" w:type="dxa"/>
            <w:noWrap/>
            <w:hideMark/>
          </w:tcPr>
          <w:p w14:paraId="4C0D78D2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14:paraId="3BE0F897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5F2C25" w:rsidRPr="005F2C25" w14:paraId="110B6280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5CFB92AE" w14:textId="77777777" w:rsidR="005F2C25" w:rsidRPr="005F2C25" w:rsidRDefault="005F2C25" w:rsidP="005F2C2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Handling bladed/pointed instrument*</w:t>
            </w:r>
          </w:p>
        </w:tc>
        <w:tc>
          <w:tcPr>
            <w:tcW w:w="750" w:type="dxa"/>
            <w:noWrap/>
            <w:hideMark/>
          </w:tcPr>
          <w:p w14:paraId="3A370D61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14:paraId="6D0918DA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5F2C25" w:rsidRPr="005F2C25" w14:paraId="0326767E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7CCE935A" w14:textId="77777777" w:rsidR="005F2C25" w:rsidRPr="005F2C25" w:rsidRDefault="005F2C25" w:rsidP="005F2C2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Offensive weapon (used in other criminal activity)*</w:t>
            </w:r>
          </w:p>
        </w:tc>
        <w:tc>
          <w:tcPr>
            <w:tcW w:w="750" w:type="dxa"/>
            <w:noWrap/>
            <w:hideMark/>
          </w:tcPr>
          <w:p w14:paraId="1BF7CF25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14:paraId="0CD28434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5F2C25" w:rsidRPr="005F2C25" w14:paraId="657F1CE7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759C6AB4" w14:textId="77777777" w:rsidR="005F2C25" w:rsidRPr="005F2C25" w:rsidRDefault="005F2C25" w:rsidP="005F2C2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Bladed/pointed instrument (used in other criminal activity)</w:t>
            </w:r>
          </w:p>
        </w:tc>
        <w:tc>
          <w:tcPr>
            <w:tcW w:w="750" w:type="dxa"/>
            <w:noWrap/>
            <w:hideMark/>
          </w:tcPr>
          <w:p w14:paraId="0CB67EAC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14:paraId="502639AA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5F2C25" w:rsidRPr="005F2C25" w14:paraId="5563DFAE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5884A435" w14:textId="77777777" w:rsidR="005F2C25" w:rsidRPr="005F2C25" w:rsidRDefault="005F2C25" w:rsidP="005F2C2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Possession of drugs</w:t>
            </w:r>
          </w:p>
        </w:tc>
        <w:tc>
          <w:tcPr>
            <w:tcW w:w="750" w:type="dxa"/>
            <w:noWrap/>
            <w:hideMark/>
          </w:tcPr>
          <w:p w14:paraId="739C5A5F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5043D58A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5F2C25" w:rsidRPr="005F2C25" w14:paraId="475C3F19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7388FA2A" w14:textId="77777777" w:rsidR="005F2C25" w:rsidRPr="005F2C25" w:rsidRDefault="005F2C25" w:rsidP="005F2C2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Bail offences (other than absconding)</w:t>
            </w:r>
          </w:p>
        </w:tc>
        <w:tc>
          <w:tcPr>
            <w:tcW w:w="750" w:type="dxa"/>
            <w:noWrap/>
            <w:hideMark/>
          </w:tcPr>
          <w:p w14:paraId="68F202EF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14:paraId="27677766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5F2C25" w:rsidRPr="005F2C25" w14:paraId="0F6A5500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38ED8104" w14:textId="77777777" w:rsidR="005F2C25" w:rsidRPr="005F2C25" w:rsidRDefault="005F2C25" w:rsidP="005F2C2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Other Group 5 crimes</w:t>
            </w:r>
          </w:p>
        </w:tc>
        <w:tc>
          <w:tcPr>
            <w:tcW w:w="750" w:type="dxa"/>
            <w:noWrap/>
            <w:hideMark/>
          </w:tcPr>
          <w:p w14:paraId="0A7B559E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389035BD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5F2C25" w:rsidRPr="005F2C25" w14:paraId="00D8DA48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7D4BA375" w14:textId="77777777" w:rsidR="005F2C25" w:rsidRPr="005F2C25" w:rsidRDefault="005F2C25" w:rsidP="005F2C2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Common Assault</w:t>
            </w:r>
          </w:p>
        </w:tc>
        <w:tc>
          <w:tcPr>
            <w:tcW w:w="750" w:type="dxa"/>
            <w:noWrap/>
            <w:hideMark/>
          </w:tcPr>
          <w:p w14:paraId="59CAC420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62</w:t>
            </w:r>
          </w:p>
        </w:tc>
        <w:tc>
          <w:tcPr>
            <w:tcW w:w="750" w:type="dxa"/>
            <w:noWrap/>
            <w:hideMark/>
          </w:tcPr>
          <w:p w14:paraId="52D2ECF2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31</w:t>
            </w:r>
          </w:p>
        </w:tc>
      </w:tr>
      <w:tr w:rsidR="005F2C25" w:rsidRPr="005F2C25" w14:paraId="71B9DC08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1A3AB1E2" w14:textId="77777777" w:rsidR="005F2C25" w:rsidRPr="005F2C25" w:rsidRDefault="005F2C25" w:rsidP="005F2C2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Common Assault (of an emergency worker)</w:t>
            </w:r>
          </w:p>
        </w:tc>
        <w:tc>
          <w:tcPr>
            <w:tcW w:w="750" w:type="dxa"/>
            <w:noWrap/>
            <w:hideMark/>
          </w:tcPr>
          <w:p w14:paraId="58C6E7A5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750" w:type="dxa"/>
            <w:noWrap/>
            <w:hideMark/>
          </w:tcPr>
          <w:p w14:paraId="61B1814A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5F2C25" w:rsidRPr="005F2C25" w14:paraId="06B1E21C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023B0B2F" w14:textId="77777777" w:rsidR="005F2C25" w:rsidRPr="005F2C25" w:rsidRDefault="005F2C25" w:rsidP="005F2C2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Breach of the Peace</w:t>
            </w:r>
          </w:p>
        </w:tc>
        <w:tc>
          <w:tcPr>
            <w:tcW w:w="750" w:type="dxa"/>
            <w:noWrap/>
            <w:hideMark/>
          </w:tcPr>
          <w:p w14:paraId="2E28A952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14:paraId="68F47ED0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5F2C25" w:rsidRPr="005F2C25" w14:paraId="4110B798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713BF8E7" w14:textId="77777777" w:rsidR="005F2C25" w:rsidRPr="005F2C25" w:rsidRDefault="005F2C25" w:rsidP="005F2C2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Threatening and abusive behaviour</w:t>
            </w:r>
          </w:p>
        </w:tc>
        <w:tc>
          <w:tcPr>
            <w:tcW w:w="750" w:type="dxa"/>
            <w:noWrap/>
            <w:hideMark/>
          </w:tcPr>
          <w:p w14:paraId="24C8A09E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27</w:t>
            </w:r>
          </w:p>
        </w:tc>
        <w:tc>
          <w:tcPr>
            <w:tcW w:w="750" w:type="dxa"/>
            <w:noWrap/>
            <w:hideMark/>
          </w:tcPr>
          <w:p w14:paraId="3FC69A0D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24</w:t>
            </w:r>
          </w:p>
        </w:tc>
      </w:tr>
      <w:tr w:rsidR="005F2C25" w:rsidRPr="005F2C25" w14:paraId="2D3D94F2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39601803" w14:textId="77777777" w:rsidR="005F2C25" w:rsidRPr="005F2C25" w:rsidRDefault="005F2C25" w:rsidP="005F2C2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Other alcohol related offences</w:t>
            </w:r>
          </w:p>
        </w:tc>
        <w:tc>
          <w:tcPr>
            <w:tcW w:w="750" w:type="dxa"/>
            <w:noWrap/>
            <w:hideMark/>
          </w:tcPr>
          <w:p w14:paraId="3686041B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4E58518E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5F2C25" w:rsidRPr="005F2C25" w14:paraId="50ACA1CA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2E87D205" w14:textId="77777777" w:rsidR="005F2C25" w:rsidRPr="005F2C25" w:rsidRDefault="005F2C25" w:rsidP="005F2C2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Other Group 6 offences</w:t>
            </w:r>
          </w:p>
        </w:tc>
        <w:tc>
          <w:tcPr>
            <w:tcW w:w="750" w:type="dxa"/>
            <w:noWrap/>
            <w:hideMark/>
          </w:tcPr>
          <w:p w14:paraId="2B90D5F2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E6C6D5E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5F2C25" w:rsidRPr="005F2C25" w14:paraId="56FD07CA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09C798EE" w14:textId="77777777" w:rsidR="005F2C25" w:rsidRPr="005F2C25" w:rsidRDefault="005F2C25" w:rsidP="005F2C2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Dangerous driving offences</w:t>
            </w:r>
          </w:p>
        </w:tc>
        <w:tc>
          <w:tcPr>
            <w:tcW w:w="750" w:type="dxa"/>
            <w:noWrap/>
            <w:hideMark/>
          </w:tcPr>
          <w:p w14:paraId="49428E12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14:paraId="19511771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5F2C25" w:rsidRPr="005F2C25" w14:paraId="1753DC78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4420C3FF" w14:textId="77777777" w:rsidR="005F2C25" w:rsidRPr="005F2C25" w:rsidRDefault="005F2C25" w:rsidP="005F2C2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Drink, Drug driving offences incl. Failure to provide a specimen</w:t>
            </w:r>
          </w:p>
        </w:tc>
        <w:tc>
          <w:tcPr>
            <w:tcW w:w="750" w:type="dxa"/>
            <w:noWrap/>
            <w:hideMark/>
          </w:tcPr>
          <w:p w14:paraId="380BF1E4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750" w:type="dxa"/>
            <w:noWrap/>
            <w:hideMark/>
          </w:tcPr>
          <w:p w14:paraId="3D4B9304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5F2C25" w:rsidRPr="005F2C25" w14:paraId="1FB618A2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073D9D2C" w14:textId="77777777" w:rsidR="005F2C25" w:rsidRPr="005F2C25" w:rsidRDefault="005F2C25" w:rsidP="005F2C2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Driving while disqualified</w:t>
            </w:r>
          </w:p>
        </w:tc>
        <w:tc>
          <w:tcPr>
            <w:tcW w:w="750" w:type="dxa"/>
            <w:noWrap/>
            <w:hideMark/>
          </w:tcPr>
          <w:p w14:paraId="61C34F97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14:paraId="1CD12CF3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5F2C25" w:rsidRPr="005F2C25" w14:paraId="158F5DBB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27DBB4BA" w14:textId="77777777" w:rsidR="005F2C25" w:rsidRPr="005F2C25" w:rsidRDefault="005F2C25" w:rsidP="005F2C2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Driving without a licence</w:t>
            </w:r>
          </w:p>
        </w:tc>
        <w:tc>
          <w:tcPr>
            <w:tcW w:w="750" w:type="dxa"/>
            <w:noWrap/>
            <w:hideMark/>
          </w:tcPr>
          <w:p w14:paraId="32B10E0D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4D74D154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5F2C25" w:rsidRPr="005F2C25" w14:paraId="6AF357D5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380B9D16" w14:textId="77777777" w:rsidR="005F2C25" w:rsidRPr="005F2C25" w:rsidRDefault="005F2C25" w:rsidP="005F2C2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Failure to insure against third party risks</w:t>
            </w:r>
          </w:p>
        </w:tc>
        <w:tc>
          <w:tcPr>
            <w:tcW w:w="750" w:type="dxa"/>
            <w:noWrap/>
            <w:hideMark/>
          </w:tcPr>
          <w:p w14:paraId="309619C7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14:paraId="0967B765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5F2C25" w:rsidRPr="005F2C25" w14:paraId="55B32989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147D84C9" w14:textId="77777777" w:rsidR="005F2C25" w:rsidRPr="005F2C25" w:rsidRDefault="005F2C25" w:rsidP="005F2C2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Driving Carelessly</w:t>
            </w:r>
          </w:p>
        </w:tc>
        <w:tc>
          <w:tcPr>
            <w:tcW w:w="750" w:type="dxa"/>
            <w:noWrap/>
            <w:hideMark/>
          </w:tcPr>
          <w:p w14:paraId="2E5BD6FB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14532B5C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5F2C25" w:rsidRPr="005F2C25" w14:paraId="5DE0BCA1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554D40B0" w14:textId="77777777" w:rsidR="005F2C25" w:rsidRPr="005F2C25" w:rsidRDefault="005F2C25" w:rsidP="005F2C2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Other Group 7 offences</w:t>
            </w:r>
          </w:p>
        </w:tc>
        <w:tc>
          <w:tcPr>
            <w:tcW w:w="750" w:type="dxa"/>
            <w:noWrap/>
            <w:hideMark/>
          </w:tcPr>
          <w:p w14:paraId="0FB78A90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750" w:type="dxa"/>
            <w:noWrap/>
            <w:hideMark/>
          </w:tcPr>
          <w:p w14:paraId="0F4B7C00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F2C25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5F2C25" w:rsidRPr="005F2C25" w14:paraId="539203D5" w14:textId="77777777" w:rsidTr="00297F78">
        <w:trPr>
          <w:trHeight w:val="330"/>
        </w:trPr>
        <w:tc>
          <w:tcPr>
            <w:tcW w:w="8359" w:type="dxa"/>
            <w:noWrap/>
            <w:hideMark/>
          </w:tcPr>
          <w:p w14:paraId="32C8E282" w14:textId="77777777" w:rsidR="005F2C25" w:rsidRPr="005F2C25" w:rsidRDefault="005F2C25" w:rsidP="005F2C25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F2C25">
              <w:rPr>
                <w:rFonts w:eastAsia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750" w:type="dxa"/>
            <w:noWrap/>
            <w:hideMark/>
          </w:tcPr>
          <w:p w14:paraId="5FA6554A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F2C25">
              <w:rPr>
                <w:rFonts w:eastAsia="Times New Roman"/>
                <w:b/>
                <w:bCs/>
                <w:color w:val="000000"/>
                <w:lang w:eastAsia="en-GB"/>
              </w:rPr>
              <w:t>160</w:t>
            </w:r>
          </w:p>
        </w:tc>
        <w:tc>
          <w:tcPr>
            <w:tcW w:w="750" w:type="dxa"/>
            <w:noWrap/>
            <w:hideMark/>
          </w:tcPr>
          <w:p w14:paraId="0B22DD57" w14:textId="77777777" w:rsidR="005F2C25" w:rsidRPr="005F2C25" w:rsidRDefault="005F2C25" w:rsidP="005F2C2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F2C25">
              <w:rPr>
                <w:rFonts w:eastAsia="Times New Roman"/>
                <w:b/>
                <w:bCs/>
                <w:color w:val="000000"/>
                <w:lang w:eastAsia="en-GB"/>
              </w:rPr>
              <w:t>105</w:t>
            </w:r>
          </w:p>
        </w:tc>
      </w:tr>
    </w:tbl>
    <w:p w14:paraId="09785EBA" w14:textId="711C08CD" w:rsidR="007F490F" w:rsidRDefault="00297F78" w:rsidP="00793DD5">
      <w:r w:rsidRPr="00297F78">
        <w:t>Recorded Crimes, Haven Seton Sands Holiday Park, Prestonpans, EH32 0QF, Lothians and Scottish Borders Divisions.</w:t>
      </w:r>
      <w:r>
        <w:t xml:space="preserve"> </w:t>
      </w:r>
      <w:r w:rsidRPr="005F2C25">
        <w:t>1st January 2022 to 31st July 2023, Calendar Years</w:t>
      </w:r>
    </w:p>
    <w:tbl>
      <w:tblPr>
        <w:tblStyle w:val="TableGrid"/>
        <w:tblW w:w="9859" w:type="dxa"/>
        <w:tblLook w:val="04A0" w:firstRow="1" w:lastRow="0" w:firstColumn="1" w:lastColumn="0" w:noHBand="0" w:noVBand="1"/>
        <w:tblCaption w:val="Recorded crimes Seton Sands"/>
        <w:tblDescription w:val="Recorded crimes Seton Sands"/>
      </w:tblPr>
      <w:tblGrid>
        <w:gridCol w:w="8359"/>
        <w:gridCol w:w="750"/>
        <w:gridCol w:w="750"/>
      </w:tblGrid>
      <w:tr w:rsidR="00297F78" w:rsidRPr="00557306" w14:paraId="51FF0922" w14:textId="77777777" w:rsidTr="00297F78">
        <w:trPr>
          <w:tblHeader/>
        </w:trPr>
        <w:tc>
          <w:tcPr>
            <w:tcW w:w="8359" w:type="dxa"/>
            <w:shd w:val="clear" w:color="auto" w:fill="D9D9D9" w:themeFill="background1" w:themeFillShade="D9"/>
          </w:tcPr>
          <w:p w14:paraId="6142F5FA" w14:textId="77777777" w:rsidR="00297F78" w:rsidRPr="00557306" w:rsidRDefault="00297F78" w:rsidP="00AC79F2">
            <w:pPr>
              <w:rPr>
                <w:b/>
              </w:rPr>
            </w:pPr>
            <w:r>
              <w:rPr>
                <w:b/>
              </w:rPr>
              <w:t>Crime Category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60E35B8C" w14:textId="77777777" w:rsidR="00297F78" w:rsidRPr="00557306" w:rsidRDefault="00297F78" w:rsidP="00AC79F2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0D3C0100" w14:textId="77777777" w:rsidR="00297F78" w:rsidRPr="00557306" w:rsidRDefault="00297F78" w:rsidP="00AC79F2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297F78" w:rsidRPr="00297F78" w14:paraId="4AEB3D9D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71FA452B" w14:textId="77777777" w:rsidR="00297F78" w:rsidRPr="00297F78" w:rsidRDefault="00297F78" w:rsidP="00297F78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97F78">
              <w:rPr>
                <w:rFonts w:eastAsia="Times New Roman"/>
                <w:color w:val="000000"/>
                <w:lang w:eastAsia="en-GB"/>
              </w:rPr>
              <w:t>Serious Assault (incl. culpable &amp; reckless conduct - causing injury)</w:t>
            </w:r>
          </w:p>
        </w:tc>
        <w:tc>
          <w:tcPr>
            <w:tcW w:w="750" w:type="dxa"/>
            <w:noWrap/>
            <w:hideMark/>
          </w:tcPr>
          <w:p w14:paraId="293C77D0" w14:textId="77777777" w:rsidR="00297F78" w:rsidRPr="00297F78" w:rsidRDefault="00297F78" w:rsidP="00297F78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297F78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14:paraId="0FCD1D57" w14:textId="77777777" w:rsidR="00297F78" w:rsidRPr="00297F78" w:rsidRDefault="00297F78" w:rsidP="00297F78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297F78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297F78" w:rsidRPr="00297F78" w14:paraId="4BBBE825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3DA793EA" w14:textId="77777777" w:rsidR="00297F78" w:rsidRPr="00297F78" w:rsidRDefault="00297F78" w:rsidP="00297F78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97F78">
              <w:rPr>
                <w:rFonts w:eastAsia="Times New Roman"/>
                <w:color w:val="000000"/>
                <w:lang w:eastAsia="en-GB"/>
              </w:rPr>
              <w:t>Group 2 - Sexual Crimes</w:t>
            </w:r>
          </w:p>
        </w:tc>
        <w:tc>
          <w:tcPr>
            <w:tcW w:w="750" w:type="dxa"/>
            <w:noWrap/>
            <w:hideMark/>
          </w:tcPr>
          <w:p w14:paraId="60E256B7" w14:textId="77777777" w:rsidR="00297F78" w:rsidRPr="00297F78" w:rsidRDefault="00297F78" w:rsidP="00297F78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297F78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14:paraId="66259B18" w14:textId="77777777" w:rsidR="00297F78" w:rsidRPr="00297F78" w:rsidRDefault="00297F78" w:rsidP="00297F78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297F78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297F78" w:rsidRPr="00297F78" w14:paraId="366F377B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02C5BA06" w14:textId="77777777" w:rsidR="00297F78" w:rsidRPr="00297F78" w:rsidRDefault="00297F78" w:rsidP="00297F78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97F78">
              <w:rPr>
                <w:rFonts w:eastAsia="Times New Roman"/>
                <w:color w:val="000000"/>
                <w:lang w:eastAsia="en-GB"/>
              </w:rPr>
              <w:t>Vandalism (incl. reckless damage, etc.)</w:t>
            </w:r>
          </w:p>
        </w:tc>
        <w:tc>
          <w:tcPr>
            <w:tcW w:w="750" w:type="dxa"/>
            <w:noWrap/>
            <w:hideMark/>
          </w:tcPr>
          <w:p w14:paraId="767E1ED7" w14:textId="77777777" w:rsidR="00297F78" w:rsidRPr="00297F78" w:rsidRDefault="00297F78" w:rsidP="00297F78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297F78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14:paraId="5F7213D2" w14:textId="77777777" w:rsidR="00297F78" w:rsidRPr="00297F78" w:rsidRDefault="00297F78" w:rsidP="00297F78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297F78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297F78" w:rsidRPr="00297F78" w14:paraId="0BEBB7AD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63B03B81" w14:textId="77777777" w:rsidR="00297F78" w:rsidRPr="00297F78" w:rsidRDefault="00297F78" w:rsidP="00297F78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97F78">
              <w:rPr>
                <w:rFonts w:eastAsia="Times New Roman"/>
                <w:color w:val="000000"/>
                <w:lang w:eastAsia="en-GB"/>
              </w:rPr>
              <w:t>Other Group 4 crimes</w:t>
            </w:r>
          </w:p>
        </w:tc>
        <w:tc>
          <w:tcPr>
            <w:tcW w:w="750" w:type="dxa"/>
            <w:noWrap/>
            <w:hideMark/>
          </w:tcPr>
          <w:p w14:paraId="7AE7AB30" w14:textId="77777777" w:rsidR="00297F78" w:rsidRPr="00297F78" w:rsidRDefault="00297F78" w:rsidP="00297F78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297F78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14:paraId="249F3CC9" w14:textId="77777777" w:rsidR="00297F78" w:rsidRPr="00297F78" w:rsidRDefault="00297F78" w:rsidP="00297F78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297F78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297F78" w:rsidRPr="00297F78" w14:paraId="52F3593C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6CF2145A" w14:textId="77777777" w:rsidR="00297F78" w:rsidRPr="00297F78" w:rsidRDefault="00297F78" w:rsidP="00297F78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97F78">
              <w:rPr>
                <w:rFonts w:eastAsia="Times New Roman"/>
                <w:color w:val="000000"/>
                <w:lang w:eastAsia="en-GB"/>
              </w:rPr>
              <w:t>Common Assault</w:t>
            </w:r>
          </w:p>
        </w:tc>
        <w:tc>
          <w:tcPr>
            <w:tcW w:w="750" w:type="dxa"/>
            <w:noWrap/>
            <w:hideMark/>
          </w:tcPr>
          <w:p w14:paraId="1E03BCDB" w14:textId="77777777" w:rsidR="00297F78" w:rsidRPr="00297F78" w:rsidRDefault="00297F78" w:rsidP="00297F78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297F78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070D04A" w14:textId="77777777" w:rsidR="00297F78" w:rsidRPr="00297F78" w:rsidRDefault="00297F78" w:rsidP="00297F78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297F78">
              <w:rPr>
                <w:rFonts w:eastAsia="Times New Roman"/>
                <w:color w:val="000000"/>
                <w:lang w:eastAsia="en-GB"/>
              </w:rPr>
              <w:t>6</w:t>
            </w:r>
          </w:p>
        </w:tc>
      </w:tr>
      <w:tr w:rsidR="00297F78" w:rsidRPr="00297F78" w14:paraId="786F7945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5CB32F08" w14:textId="77777777" w:rsidR="00297F78" w:rsidRPr="00297F78" w:rsidRDefault="00297F78" w:rsidP="00297F78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97F78">
              <w:rPr>
                <w:rFonts w:eastAsia="Times New Roman"/>
                <w:color w:val="000000"/>
                <w:lang w:eastAsia="en-GB"/>
              </w:rPr>
              <w:lastRenderedPageBreak/>
              <w:t>Threatening and abusive behaviour</w:t>
            </w:r>
          </w:p>
        </w:tc>
        <w:tc>
          <w:tcPr>
            <w:tcW w:w="750" w:type="dxa"/>
            <w:noWrap/>
            <w:hideMark/>
          </w:tcPr>
          <w:p w14:paraId="612036BF" w14:textId="77777777" w:rsidR="00297F78" w:rsidRPr="00297F78" w:rsidRDefault="00297F78" w:rsidP="00297F78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297F78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14:paraId="2BE12C5B" w14:textId="77777777" w:rsidR="00297F78" w:rsidRPr="00297F78" w:rsidRDefault="00297F78" w:rsidP="00297F78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297F78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297F78" w:rsidRPr="00297F78" w14:paraId="7C252B34" w14:textId="77777777" w:rsidTr="00297F78">
        <w:trPr>
          <w:trHeight w:val="300"/>
        </w:trPr>
        <w:tc>
          <w:tcPr>
            <w:tcW w:w="8359" w:type="dxa"/>
            <w:noWrap/>
            <w:hideMark/>
          </w:tcPr>
          <w:p w14:paraId="678C4094" w14:textId="77777777" w:rsidR="00297F78" w:rsidRPr="00297F78" w:rsidRDefault="00297F78" w:rsidP="00297F78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97F78">
              <w:rPr>
                <w:rFonts w:eastAsia="Times New Roman"/>
                <w:color w:val="000000"/>
                <w:lang w:eastAsia="en-GB"/>
              </w:rPr>
              <w:t>Other Group 6 offences</w:t>
            </w:r>
          </w:p>
        </w:tc>
        <w:tc>
          <w:tcPr>
            <w:tcW w:w="750" w:type="dxa"/>
            <w:noWrap/>
            <w:hideMark/>
          </w:tcPr>
          <w:p w14:paraId="0A9658FE" w14:textId="77777777" w:rsidR="00297F78" w:rsidRPr="00297F78" w:rsidRDefault="00297F78" w:rsidP="00297F78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297F78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14:paraId="44E0B8FA" w14:textId="77777777" w:rsidR="00297F78" w:rsidRPr="00297F78" w:rsidRDefault="00297F78" w:rsidP="00297F78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297F78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297F78" w:rsidRPr="00297F78" w14:paraId="31CF73D6" w14:textId="77777777" w:rsidTr="00297F78">
        <w:trPr>
          <w:trHeight w:val="330"/>
        </w:trPr>
        <w:tc>
          <w:tcPr>
            <w:tcW w:w="8359" w:type="dxa"/>
            <w:noWrap/>
            <w:hideMark/>
          </w:tcPr>
          <w:p w14:paraId="3F119848" w14:textId="77777777" w:rsidR="00297F78" w:rsidRPr="00297F78" w:rsidRDefault="00297F78" w:rsidP="00297F78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297F78">
              <w:rPr>
                <w:rFonts w:eastAsia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750" w:type="dxa"/>
            <w:noWrap/>
            <w:hideMark/>
          </w:tcPr>
          <w:p w14:paraId="210BD601" w14:textId="77777777" w:rsidR="00297F78" w:rsidRPr="00297F78" w:rsidRDefault="00297F78" w:rsidP="00297F78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297F78">
              <w:rPr>
                <w:rFonts w:eastAsia="Times New Roman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750" w:type="dxa"/>
            <w:noWrap/>
            <w:hideMark/>
          </w:tcPr>
          <w:p w14:paraId="5E1DA1A7" w14:textId="77777777" w:rsidR="00297F78" w:rsidRPr="00297F78" w:rsidRDefault="00297F78" w:rsidP="00297F78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297F78">
              <w:rPr>
                <w:rFonts w:eastAsia="Times New Roman"/>
                <w:b/>
                <w:bCs/>
                <w:color w:val="000000"/>
                <w:lang w:eastAsia="en-GB"/>
              </w:rPr>
              <w:t>17</w:t>
            </w:r>
          </w:p>
        </w:tc>
      </w:tr>
    </w:tbl>
    <w:p w14:paraId="4132B8FE" w14:textId="4E6D1A5B" w:rsidR="00297F78" w:rsidRDefault="00297F78" w:rsidP="00793DD5">
      <w:r w:rsidRPr="00297F78">
        <w:t xml:space="preserve">All statistics are provisional and should be treated as management information. All data have been extracted from Police Scotland internal systems and are correct as at </w:t>
      </w:r>
      <w:r>
        <w:t>29/08/2023.</w:t>
      </w:r>
    </w:p>
    <w:sectPr w:rsidR="00297F78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4240850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68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069745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68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6CB1F5D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68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2009283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68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253D756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68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337B010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68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6638C"/>
    <w:multiLevelType w:val="hybridMultilevel"/>
    <w:tmpl w:val="3DC88D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1"/>
  </w:num>
  <w:num w:numId="2" w16cid:durableId="201328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297F78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F2C25"/>
    <w:rsid w:val="006D5799"/>
    <w:rsid w:val="00716800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AE05BF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D615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F2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copfs.gsi.gov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622</Words>
  <Characters>3552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2023-09-01T13:11:00Z</cp:lastPrinted>
  <dcterms:created xsi:type="dcterms:W3CDTF">2021-10-06T12:31:00Z</dcterms:created>
  <dcterms:modified xsi:type="dcterms:W3CDTF">2023-09-01T13:11:00Z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