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610ED" w14:textId="571B4A67" w:rsidR="00974CB5" w:rsidRDefault="00974CB5" w:rsidP="00974DED">
      <w:pPr>
        <w:pStyle w:val="Heading4"/>
      </w:pPr>
      <w:bookmarkStart w:id="0" w:name="_Toc157687357"/>
      <w:bookmarkStart w:id="1" w:name="_Toc157696601"/>
      <w:bookmarkStart w:id="2" w:name="_Toc140746121"/>
      <w:r w:rsidRPr="00974CB5">
        <w:rPr>
          <w:noProof/>
        </w:rPr>
        <w:drawing>
          <wp:inline distT="0" distB="0" distL="0" distR="0" wp14:anchorId="52EA7E65" wp14:editId="5FC4E7B1">
            <wp:extent cx="6264000" cy="8496000"/>
            <wp:effectExtent l="0" t="0" r="3810" b="635"/>
            <wp:docPr id="294557271" name="Picture 1" descr="Police Scotland&#10;Quarter 2 Year to Date Performance Report: April to September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557271" name="Picture 1" descr="Police Scotland&#10;Quarter 2 Year to Date Performance Report: April to September 2025"/>
                    <pic:cNvPicPr/>
                  </pic:nvPicPr>
                  <pic:blipFill>
                    <a:blip r:embed="rId12"/>
                    <a:stretch>
                      <a:fillRect/>
                    </a:stretch>
                  </pic:blipFill>
                  <pic:spPr>
                    <a:xfrm>
                      <a:off x="0" y="0"/>
                      <a:ext cx="6264000" cy="8496000"/>
                    </a:xfrm>
                    <a:prstGeom prst="rect">
                      <a:avLst/>
                    </a:prstGeom>
                  </pic:spPr>
                </pic:pic>
              </a:graphicData>
            </a:graphic>
          </wp:inline>
        </w:drawing>
      </w:r>
      <w:bookmarkEnd w:id="0"/>
      <w:bookmarkEnd w:id="1"/>
    </w:p>
    <w:p w14:paraId="7166C172" w14:textId="77777777" w:rsidR="00974CB5" w:rsidRDefault="00974CB5">
      <w:pPr>
        <w:spacing w:before="0" w:after="160" w:line="259" w:lineRule="auto"/>
        <w:rPr>
          <w:rFonts w:cs="Arial"/>
          <w:b/>
          <w:szCs w:val="22"/>
        </w:rPr>
      </w:pPr>
      <w:r>
        <w:br w:type="page"/>
      </w:r>
    </w:p>
    <w:bookmarkEnd w:id="2" w:displacedByCustomXml="next"/>
    <w:bookmarkStart w:id="3" w:name="_Hlk150507707" w:displacedByCustomXml="next"/>
    <w:bookmarkStart w:id="4" w:name="_Toc77150407" w:displacedByCustomXml="next"/>
    <w:sdt>
      <w:sdtPr>
        <w:rPr>
          <w:rFonts w:ascii="Arial" w:eastAsiaTheme="minorHAnsi" w:hAnsi="Arial" w:cstheme="minorBidi"/>
          <w:color w:val="auto"/>
          <w:sz w:val="24"/>
          <w:szCs w:val="24"/>
          <w:lang w:val="en-GB"/>
        </w:rPr>
        <w:id w:val="351846396"/>
        <w:docPartObj>
          <w:docPartGallery w:val="Table of Contents"/>
          <w:docPartUnique/>
        </w:docPartObj>
      </w:sdtPr>
      <w:sdtEndPr>
        <w:rPr>
          <w:b/>
          <w:bCs/>
        </w:rPr>
      </w:sdtEndPr>
      <w:sdtContent>
        <w:p w14:paraId="3C0066A1" w14:textId="59220DE8" w:rsidR="00D50A08" w:rsidRDefault="00D50A08">
          <w:pPr>
            <w:pStyle w:val="TOCHeading"/>
          </w:pPr>
          <w:r>
            <w:rPr>
              <w:lang w:val="en-GB"/>
            </w:rPr>
            <w:t>Contents</w:t>
          </w:r>
        </w:p>
        <w:p w14:paraId="252E6470" w14:textId="0492DF3E" w:rsidR="00C244AD" w:rsidRDefault="00D50A08">
          <w:pPr>
            <w:pStyle w:val="TOC3"/>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215149604" w:history="1">
            <w:r w:rsidR="00C244AD" w:rsidRPr="005E502D">
              <w:rPr>
                <w:rStyle w:val="Hyperlink"/>
                <w:noProof/>
              </w:rPr>
              <w:t>Deputy Chief Constable Foreword</w:t>
            </w:r>
            <w:r w:rsidR="00C244AD">
              <w:rPr>
                <w:noProof/>
                <w:webHidden/>
              </w:rPr>
              <w:tab/>
            </w:r>
            <w:r w:rsidR="00C244AD">
              <w:rPr>
                <w:noProof/>
                <w:webHidden/>
              </w:rPr>
              <w:fldChar w:fldCharType="begin"/>
            </w:r>
            <w:r w:rsidR="00C244AD">
              <w:rPr>
                <w:noProof/>
                <w:webHidden/>
              </w:rPr>
              <w:instrText xml:space="preserve"> PAGEREF _Toc215149604 \h </w:instrText>
            </w:r>
            <w:r w:rsidR="00C244AD">
              <w:rPr>
                <w:noProof/>
                <w:webHidden/>
              </w:rPr>
            </w:r>
            <w:r w:rsidR="00C244AD">
              <w:rPr>
                <w:noProof/>
                <w:webHidden/>
              </w:rPr>
              <w:fldChar w:fldCharType="separate"/>
            </w:r>
            <w:r w:rsidR="00C244AD">
              <w:rPr>
                <w:noProof/>
                <w:webHidden/>
              </w:rPr>
              <w:t>3</w:t>
            </w:r>
            <w:r w:rsidR="00C244AD">
              <w:rPr>
                <w:noProof/>
                <w:webHidden/>
              </w:rPr>
              <w:fldChar w:fldCharType="end"/>
            </w:r>
          </w:hyperlink>
        </w:p>
        <w:p w14:paraId="7FCFE1D8" w14:textId="1BDA9860" w:rsidR="00C244AD" w:rsidRDefault="00C244AD">
          <w:pPr>
            <w:pStyle w:val="TOC3"/>
            <w:rPr>
              <w:rFonts w:asciiTheme="minorHAnsi" w:eastAsiaTheme="minorEastAsia" w:hAnsiTheme="minorHAnsi"/>
              <w:noProof/>
              <w:kern w:val="2"/>
              <w:lang w:eastAsia="en-GB"/>
              <w14:ligatures w14:val="standardContextual"/>
            </w:rPr>
          </w:pPr>
          <w:hyperlink w:anchor="_Toc215149605" w:history="1">
            <w:r w:rsidRPr="005E502D">
              <w:rPr>
                <w:rStyle w:val="Hyperlink"/>
                <w:noProof/>
              </w:rPr>
              <w:t>Introduction</w:t>
            </w:r>
            <w:r>
              <w:rPr>
                <w:noProof/>
                <w:webHidden/>
              </w:rPr>
              <w:tab/>
            </w:r>
            <w:r>
              <w:rPr>
                <w:noProof/>
                <w:webHidden/>
              </w:rPr>
              <w:fldChar w:fldCharType="begin"/>
            </w:r>
            <w:r>
              <w:rPr>
                <w:noProof/>
                <w:webHidden/>
              </w:rPr>
              <w:instrText xml:space="preserve"> PAGEREF _Toc215149605 \h </w:instrText>
            </w:r>
            <w:r>
              <w:rPr>
                <w:noProof/>
                <w:webHidden/>
              </w:rPr>
            </w:r>
            <w:r>
              <w:rPr>
                <w:noProof/>
                <w:webHidden/>
              </w:rPr>
              <w:fldChar w:fldCharType="separate"/>
            </w:r>
            <w:r>
              <w:rPr>
                <w:noProof/>
                <w:webHidden/>
              </w:rPr>
              <w:t>4</w:t>
            </w:r>
            <w:r>
              <w:rPr>
                <w:noProof/>
                <w:webHidden/>
              </w:rPr>
              <w:fldChar w:fldCharType="end"/>
            </w:r>
          </w:hyperlink>
        </w:p>
        <w:p w14:paraId="65180E68" w14:textId="2250C165" w:rsidR="00C244AD" w:rsidRDefault="00C244AD">
          <w:pPr>
            <w:pStyle w:val="TOC3"/>
            <w:rPr>
              <w:rFonts w:asciiTheme="minorHAnsi" w:eastAsiaTheme="minorEastAsia" w:hAnsiTheme="minorHAnsi"/>
              <w:noProof/>
              <w:kern w:val="2"/>
              <w:lang w:eastAsia="en-GB"/>
              <w14:ligatures w14:val="standardContextual"/>
            </w:rPr>
          </w:pPr>
          <w:hyperlink w:anchor="_Toc215149606" w:history="1">
            <w:r w:rsidRPr="005E502D">
              <w:rPr>
                <w:rStyle w:val="Hyperlink"/>
                <w:noProof/>
                <w:lang w:eastAsia="en-GB"/>
              </w:rPr>
              <w:t>Executive Summary</w:t>
            </w:r>
            <w:r>
              <w:rPr>
                <w:noProof/>
                <w:webHidden/>
              </w:rPr>
              <w:tab/>
            </w:r>
            <w:r>
              <w:rPr>
                <w:noProof/>
                <w:webHidden/>
              </w:rPr>
              <w:fldChar w:fldCharType="begin"/>
            </w:r>
            <w:r>
              <w:rPr>
                <w:noProof/>
                <w:webHidden/>
              </w:rPr>
              <w:instrText xml:space="preserve"> PAGEREF _Toc215149606 \h </w:instrText>
            </w:r>
            <w:r>
              <w:rPr>
                <w:noProof/>
                <w:webHidden/>
              </w:rPr>
            </w:r>
            <w:r>
              <w:rPr>
                <w:noProof/>
                <w:webHidden/>
              </w:rPr>
              <w:fldChar w:fldCharType="separate"/>
            </w:r>
            <w:r>
              <w:rPr>
                <w:noProof/>
                <w:webHidden/>
              </w:rPr>
              <w:t>6</w:t>
            </w:r>
            <w:r>
              <w:rPr>
                <w:noProof/>
                <w:webHidden/>
              </w:rPr>
              <w:fldChar w:fldCharType="end"/>
            </w:r>
          </w:hyperlink>
        </w:p>
        <w:p w14:paraId="66ED9E32" w14:textId="27D24806" w:rsidR="00C244AD" w:rsidRDefault="00C244AD">
          <w:pPr>
            <w:pStyle w:val="TOC3"/>
            <w:rPr>
              <w:rFonts w:asciiTheme="minorHAnsi" w:eastAsiaTheme="minorEastAsia" w:hAnsiTheme="minorHAnsi"/>
              <w:noProof/>
              <w:kern w:val="2"/>
              <w:lang w:eastAsia="en-GB"/>
              <w14:ligatures w14:val="standardContextual"/>
            </w:rPr>
          </w:pPr>
          <w:hyperlink w:anchor="_Toc215149607" w:history="1">
            <w:r w:rsidRPr="005E502D">
              <w:rPr>
                <w:rStyle w:val="Hyperlink"/>
                <w:noProof/>
                <w:lang w:eastAsia="en-GB"/>
              </w:rPr>
              <w:t>Key Insights</w:t>
            </w:r>
            <w:r>
              <w:rPr>
                <w:noProof/>
                <w:webHidden/>
              </w:rPr>
              <w:tab/>
            </w:r>
            <w:r>
              <w:rPr>
                <w:noProof/>
                <w:webHidden/>
              </w:rPr>
              <w:fldChar w:fldCharType="begin"/>
            </w:r>
            <w:r>
              <w:rPr>
                <w:noProof/>
                <w:webHidden/>
              </w:rPr>
              <w:instrText xml:space="preserve"> PAGEREF _Toc215149607 \h </w:instrText>
            </w:r>
            <w:r>
              <w:rPr>
                <w:noProof/>
                <w:webHidden/>
              </w:rPr>
            </w:r>
            <w:r>
              <w:rPr>
                <w:noProof/>
                <w:webHidden/>
              </w:rPr>
              <w:fldChar w:fldCharType="separate"/>
            </w:r>
            <w:r>
              <w:rPr>
                <w:noProof/>
                <w:webHidden/>
              </w:rPr>
              <w:t>8</w:t>
            </w:r>
            <w:r>
              <w:rPr>
                <w:noProof/>
                <w:webHidden/>
              </w:rPr>
              <w:fldChar w:fldCharType="end"/>
            </w:r>
          </w:hyperlink>
        </w:p>
        <w:p w14:paraId="44DACC04" w14:textId="320E992D" w:rsidR="00C244AD" w:rsidRDefault="00C244AD">
          <w:pPr>
            <w:pStyle w:val="TOC3"/>
            <w:rPr>
              <w:rFonts w:asciiTheme="minorHAnsi" w:eastAsiaTheme="minorEastAsia" w:hAnsiTheme="minorHAnsi"/>
              <w:noProof/>
              <w:kern w:val="2"/>
              <w:lang w:eastAsia="en-GB"/>
              <w14:ligatures w14:val="standardContextual"/>
            </w:rPr>
          </w:pPr>
          <w:hyperlink w:anchor="_Toc215149608" w:history="1">
            <w:r w:rsidRPr="005E502D">
              <w:rPr>
                <w:rStyle w:val="Hyperlink"/>
                <w:rFonts w:cs="Arial"/>
                <w:noProof/>
              </w:rPr>
              <w:t>Vision 2030: Safer Communities</w:t>
            </w:r>
            <w:r>
              <w:rPr>
                <w:noProof/>
                <w:webHidden/>
              </w:rPr>
              <w:tab/>
            </w:r>
            <w:r>
              <w:rPr>
                <w:noProof/>
                <w:webHidden/>
              </w:rPr>
              <w:fldChar w:fldCharType="begin"/>
            </w:r>
            <w:r>
              <w:rPr>
                <w:noProof/>
                <w:webHidden/>
              </w:rPr>
              <w:instrText xml:space="preserve"> PAGEREF _Toc215149608 \h </w:instrText>
            </w:r>
            <w:r>
              <w:rPr>
                <w:noProof/>
                <w:webHidden/>
              </w:rPr>
            </w:r>
            <w:r>
              <w:rPr>
                <w:noProof/>
                <w:webHidden/>
              </w:rPr>
              <w:fldChar w:fldCharType="separate"/>
            </w:r>
            <w:r>
              <w:rPr>
                <w:noProof/>
                <w:webHidden/>
              </w:rPr>
              <w:t>14</w:t>
            </w:r>
            <w:r>
              <w:rPr>
                <w:noProof/>
                <w:webHidden/>
              </w:rPr>
              <w:fldChar w:fldCharType="end"/>
            </w:r>
          </w:hyperlink>
        </w:p>
        <w:p w14:paraId="18D185DB" w14:textId="1130EA06" w:rsidR="00C244AD" w:rsidRDefault="00C244AD">
          <w:pPr>
            <w:pStyle w:val="TOC3"/>
            <w:rPr>
              <w:rFonts w:asciiTheme="minorHAnsi" w:eastAsiaTheme="minorEastAsia" w:hAnsiTheme="minorHAnsi"/>
              <w:noProof/>
              <w:kern w:val="2"/>
              <w:lang w:eastAsia="en-GB"/>
              <w14:ligatures w14:val="standardContextual"/>
            </w:rPr>
          </w:pPr>
          <w:hyperlink w:anchor="_Toc215149609" w:history="1">
            <w:r w:rsidRPr="005E502D">
              <w:rPr>
                <w:rStyle w:val="Hyperlink"/>
                <w:rFonts w:cs="Arial"/>
                <w:noProof/>
              </w:rPr>
              <w:t>Vision 2030: Less Crime</w:t>
            </w:r>
            <w:r>
              <w:rPr>
                <w:noProof/>
                <w:webHidden/>
              </w:rPr>
              <w:tab/>
            </w:r>
            <w:r>
              <w:rPr>
                <w:noProof/>
                <w:webHidden/>
              </w:rPr>
              <w:fldChar w:fldCharType="begin"/>
            </w:r>
            <w:r>
              <w:rPr>
                <w:noProof/>
                <w:webHidden/>
              </w:rPr>
              <w:instrText xml:space="preserve"> PAGEREF _Toc215149609 \h </w:instrText>
            </w:r>
            <w:r>
              <w:rPr>
                <w:noProof/>
                <w:webHidden/>
              </w:rPr>
            </w:r>
            <w:r>
              <w:rPr>
                <w:noProof/>
                <w:webHidden/>
              </w:rPr>
              <w:fldChar w:fldCharType="separate"/>
            </w:r>
            <w:r>
              <w:rPr>
                <w:noProof/>
                <w:webHidden/>
              </w:rPr>
              <w:t>27</w:t>
            </w:r>
            <w:r>
              <w:rPr>
                <w:noProof/>
                <w:webHidden/>
              </w:rPr>
              <w:fldChar w:fldCharType="end"/>
            </w:r>
          </w:hyperlink>
        </w:p>
        <w:p w14:paraId="3908D237" w14:textId="26AE456E" w:rsidR="00C244AD" w:rsidRDefault="00C244AD">
          <w:pPr>
            <w:pStyle w:val="TOC3"/>
            <w:rPr>
              <w:rFonts w:asciiTheme="minorHAnsi" w:eastAsiaTheme="minorEastAsia" w:hAnsiTheme="minorHAnsi"/>
              <w:noProof/>
              <w:kern w:val="2"/>
              <w:lang w:eastAsia="en-GB"/>
              <w14:ligatures w14:val="standardContextual"/>
            </w:rPr>
          </w:pPr>
          <w:hyperlink w:anchor="_Toc215149610" w:history="1">
            <w:r w:rsidRPr="005E502D">
              <w:rPr>
                <w:rStyle w:val="Hyperlink"/>
                <w:rFonts w:cs="Arial"/>
                <w:noProof/>
              </w:rPr>
              <w:t>Vision 2030: Supported Victims</w:t>
            </w:r>
            <w:r>
              <w:rPr>
                <w:noProof/>
                <w:webHidden/>
              </w:rPr>
              <w:tab/>
            </w:r>
            <w:r>
              <w:rPr>
                <w:noProof/>
                <w:webHidden/>
              </w:rPr>
              <w:fldChar w:fldCharType="begin"/>
            </w:r>
            <w:r>
              <w:rPr>
                <w:noProof/>
                <w:webHidden/>
              </w:rPr>
              <w:instrText xml:space="preserve"> PAGEREF _Toc215149610 \h </w:instrText>
            </w:r>
            <w:r>
              <w:rPr>
                <w:noProof/>
                <w:webHidden/>
              </w:rPr>
            </w:r>
            <w:r>
              <w:rPr>
                <w:noProof/>
                <w:webHidden/>
              </w:rPr>
              <w:fldChar w:fldCharType="separate"/>
            </w:r>
            <w:r>
              <w:rPr>
                <w:noProof/>
                <w:webHidden/>
              </w:rPr>
              <w:t>47</w:t>
            </w:r>
            <w:r>
              <w:rPr>
                <w:noProof/>
                <w:webHidden/>
              </w:rPr>
              <w:fldChar w:fldCharType="end"/>
            </w:r>
          </w:hyperlink>
        </w:p>
        <w:p w14:paraId="22754F8A" w14:textId="4D1D92DC" w:rsidR="00C244AD" w:rsidRDefault="00C244AD">
          <w:pPr>
            <w:pStyle w:val="TOC3"/>
            <w:rPr>
              <w:rFonts w:asciiTheme="minorHAnsi" w:eastAsiaTheme="minorEastAsia" w:hAnsiTheme="minorHAnsi"/>
              <w:noProof/>
              <w:kern w:val="2"/>
              <w:lang w:eastAsia="en-GB"/>
              <w14:ligatures w14:val="standardContextual"/>
            </w:rPr>
          </w:pPr>
          <w:hyperlink w:anchor="_Toc215149611" w:history="1">
            <w:r w:rsidRPr="005E502D">
              <w:rPr>
                <w:rStyle w:val="Hyperlink"/>
                <w:rFonts w:cs="Arial"/>
                <w:noProof/>
              </w:rPr>
              <w:t>Vision 2030: Thriving Workforce</w:t>
            </w:r>
            <w:r>
              <w:rPr>
                <w:noProof/>
                <w:webHidden/>
              </w:rPr>
              <w:tab/>
            </w:r>
            <w:r>
              <w:rPr>
                <w:noProof/>
                <w:webHidden/>
              </w:rPr>
              <w:fldChar w:fldCharType="begin"/>
            </w:r>
            <w:r>
              <w:rPr>
                <w:noProof/>
                <w:webHidden/>
              </w:rPr>
              <w:instrText xml:space="preserve"> PAGEREF _Toc215149611 \h </w:instrText>
            </w:r>
            <w:r>
              <w:rPr>
                <w:noProof/>
                <w:webHidden/>
              </w:rPr>
            </w:r>
            <w:r>
              <w:rPr>
                <w:noProof/>
                <w:webHidden/>
              </w:rPr>
              <w:fldChar w:fldCharType="separate"/>
            </w:r>
            <w:r>
              <w:rPr>
                <w:noProof/>
                <w:webHidden/>
              </w:rPr>
              <w:t>58</w:t>
            </w:r>
            <w:r>
              <w:rPr>
                <w:noProof/>
                <w:webHidden/>
              </w:rPr>
              <w:fldChar w:fldCharType="end"/>
            </w:r>
          </w:hyperlink>
        </w:p>
        <w:p w14:paraId="09792685" w14:textId="1572298D" w:rsidR="00C244AD" w:rsidRDefault="00C244AD">
          <w:pPr>
            <w:pStyle w:val="TOC3"/>
            <w:rPr>
              <w:rFonts w:asciiTheme="minorHAnsi" w:eastAsiaTheme="minorEastAsia" w:hAnsiTheme="minorHAnsi"/>
              <w:noProof/>
              <w:kern w:val="2"/>
              <w:lang w:eastAsia="en-GB"/>
              <w14:ligatures w14:val="standardContextual"/>
            </w:rPr>
          </w:pPr>
          <w:hyperlink w:anchor="_Toc215149612" w:history="1">
            <w:r w:rsidRPr="005E502D">
              <w:rPr>
                <w:rStyle w:val="Hyperlink"/>
                <w:noProof/>
              </w:rPr>
              <w:t>Appendix</w:t>
            </w:r>
            <w:r>
              <w:rPr>
                <w:noProof/>
                <w:webHidden/>
              </w:rPr>
              <w:tab/>
            </w:r>
            <w:r>
              <w:rPr>
                <w:noProof/>
                <w:webHidden/>
              </w:rPr>
              <w:fldChar w:fldCharType="begin"/>
            </w:r>
            <w:r>
              <w:rPr>
                <w:noProof/>
                <w:webHidden/>
              </w:rPr>
              <w:instrText xml:space="preserve"> PAGEREF _Toc215149612 \h </w:instrText>
            </w:r>
            <w:r>
              <w:rPr>
                <w:noProof/>
                <w:webHidden/>
              </w:rPr>
            </w:r>
            <w:r>
              <w:rPr>
                <w:noProof/>
                <w:webHidden/>
              </w:rPr>
              <w:fldChar w:fldCharType="separate"/>
            </w:r>
            <w:r>
              <w:rPr>
                <w:noProof/>
                <w:webHidden/>
              </w:rPr>
              <w:t>68</w:t>
            </w:r>
            <w:r>
              <w:rPr>
                <w:noProof/>
                <w:webHidden/>
              </w:rPr>
              <w:fldChar w:fldCharType="end"/>
            </w:r>
          </w:hyperlink>
        </w:p>
        <w:p w14:paraId="766DF4C5" w14:textId="07C77770" w:rsidR="00D50A08" w:rsidRDefault="00D50A08">
          <w:r>
            <w:rPr>
              <w:b/>
              <w:bCs/>
            </w:rPr>
            <w:fldChar w:fldCharType="end"/>
          </w:r>
        </w:p>
      </w:sdtContent>
    </w:sdt>
    <w:p w14:paraId="012A732A" w14:textId="77777777" w:rsidR="00FA36C6" w:rsidRDefault="00FA36C6" w:rsidP="00FA36C6">
      <w:pPr>
        <w:spacing w:before="240" w:after="0"/>
      </w:pPr>
    </w:p>
    <w:p w14:paraId="5490C236" w14:textId="77777777" w:rsidR="00FA36C6" w:rsidRDefault="00FA36C6" w:rsidP="00FA36C6">
      <w:pPr>
        <w:spacing w:before="240" w:after="0"/>
      </w:pPr>
    </w:p>
    <w:p w14:paraId="5077750C" w14:textId="77777777" w:rsidR="00FA36C6" w:rsidRDefault="00FA36C6" w:rsidP="00FA36C6">
      <w:pPr>
        <w:spacing w:before="240" w:after="0"/>
      </w:pPr>
    </w:p>
    <w:p w14:paraId="11D23417" w14:textId="77777777" w:rsidR="00FA36C6" w:rsidRDefault="00FA36C6" w:rsidP="00FA36C6">
      <w:pPr>
        <w:spacing w:before="240" w:after="0"/>
      </w:pPr>
    </w:p>
    <w:p w14:paraId="48250AF4" w14:textId="77777777" w:rsidR="00FA36C6" w:rsidRDefault="00FA36C6" w:rsidP="00FA36C6">
      <w:pPr>
        <w:spacing w:before="240" w:after="0"/>
      </w:pPr>
    </w:p>
    <w:p w14:paraId="0D34EFAB" w14:textId="77777777" w:rsidR="00BD21DF" w:rsidRDefault="00BD21DF" w:rsidP="00FA36C6">
      <w:pPr>
        <w:spacing w:before="240" w:after="0"/>
      </w:pPr>
    </w:p>
    <w:p w14:paraId="48C24BAD" w14:textId="77777777" w:rsidR="00BD21DF" w:rsidRDefault="00BD21DF" w:rsidP="00FA36C6">
      <w:pPr>
        <w:spacing w:before="240" w:after="0"/>
      </w:pPr>
    </w:p>
    <w:p w14:paraId="10C26E8D" w14:textId="77777777" w:rsidR="00974CB5" w:rsidRDefault="00974CB5" w:rsidP="00FA36C6">
      <w:pPr>
        <w:spacing w:before="240" w:after="0"/>
      </w:pPr>
    </w:p>
    <w:p w14:paraId="6D002CC8" w14:textId="77777777" w:rsidR="00974CB5" w:rsidRDefault="00974CB5" w:rsidP="00FA36C6">
      <w:pPr>
        <w:spacing w:before="240" w:after="0"/>
      </w:pPr>
    </w:p>
    <w:p w14:paraId="5022201C" w14:textId="3A68A074" w:rsidR="00FA36C6" w:rsidRDefault="00FA36C6" w:rsidP="00FA36C6">
      <w:pPr>
        <w:spacing w:before="240" w:after="0"/>
      </w:pPr>
      <w:r>
        <w:t>This is the 202</w:t>
      </w:r>
      <w:r w:rsidR="009E7CB6">
        <w:t>5</w:t>
      </w:r>
      <w:r>
        <w:t>/2</w:t>
      </w:r>
      <w:r w:rsidR="009E7CB6">
        <w:t>6</w:t>
      </w:r>
      <w:r>
        <w:t xml:space="preserve"> Q</w:t>
      </w:r>
      <w:r w:rsidR="009B41AA">
        <w:t xml:space="preserve">uarter </w:t>
      </w:r>
      <w:r w:rsidR="009A36F6">
        <w:t>2</w:t>
      </w:r>
      <w:r>
        <w:t xml:space="preserve"> performance report covering the period 01 April </w:t>
      </w:r>
      <w:r w:rsidR="002B6E08">
        <w:t>202</w:t>
      </w:r>
      <w:r w:rsidR="009E7CB6">
        <w:t>5</w:t>
      </w:r>
      <w:r w:rsidR="002B6E08">
        <w:t xml:space="preserve"> </w:t>
      </w:r>
      <w:r>
        <w:t>to 3</w:t>
      </w:r>
      <w:r w:rsidR="009E7CB6">
        <w:t xml:space="preserve">0 </w:t>
      </w:r>
      <w:r w:rsidR="00BA74F2">
        <w:t>September</w:t>
      </w:r>
      <w:r>
        <w:t xml:space="preserve"> 202</w:t>
      </w:r>
      <w:r w:rsidR="002B6E08">
        <w:t>5</w:t>
      </w:r>
      <w:r>
        <w:t xml:space="preserve">. All data is correct at the published date and was extracted at the start of </w:t>
      </w:r>
      <w:r w:rsidR="00BA74F2">
        <w:t>October</w:t>
      </w:r>
      <w:r w:rsidR="006F7FD4">
        <w:t xml:space="preserve"> </w:t>
      </w:r>
      <w:r>
        <w:t>202</w:t>
      </w:r>
      <w:r w:rsidR="00E47778">
        <w:t>5</w:t>
      </w:r>
      <w:r>
        <w:t>. The data is extracted from Police Scotland internal systems which are dynamic and continuously updated as investigations progress.</w:t>
      </w:r>
    </w:p>
    <w:p w14:paraId="5E3D46E3" w14:textId="1E66D73C" w:rsidR="002B6E08" w:rsidRDefault="00FA36C6" w:rsidP="00FA36C6">
      <w:pPr>
        <w:spacing w:before="240" w:after="0"/>
      </w:pPr>
      <w:r>
        <w:t xml:space="preserve">This report contains the most up to date recorded crime data that was available at the start of </w:t>
      </w:r>
      <w:r w:rsidR="00BA74F2">
        <w:t>October</w:t>
      </w:r>
      <w:r w:rsidR="006F7FD4">
        <w:t xml:space="preserve"> </w:t>
      </w:r>
      <w:r>
        <w:t>202</w:t>
      </w:r>
      <w:r w:rsidR="00E47778">
        <w:t>5</w:t>
      </w:r>
      <w:r>
        <w:t xml:space="preserve"> for Quarter </w:t>
      </w:r>
      <w:r w:rsidR="00BA74F2">
        <w:t>2</w:t>
      </w:r>
      <w:r>
        <w:t xml:space="preserve"> of the reporting year 202</w:t>
      </w:r>
      <w:r w:rsidR="00FB2AFD">
        <w:t>5</w:t>
      </w:r>
      <w:r>
        <w:t>/2</w:t>
      </w:r>
      <w:r w:rsidR="00FB2AFD">
        <w:t>6</w:t>
      </w:r>
      <w:r>
        <w:t xml:space="preserve">. </w:t>
      </w:r>
    </w:p>
    <w:p w14:paraId="4836BA79" w14:textId="34C3FFE8" w:rsidR="00FA36C6" w:rsidRDefault="00FA36C6" w:rsidP="00FA36C6">
      <w:pPr>
        <w:spacing w:before="240" w:after="0"/>
      </w:pPr>
      <w:r>
        <w:t xml:space="preserve">Further detailed Police Scotland Management Information can be found here: </w:t>
      </w:r>
      <w:hyperlink r:id="rId13" w:history="1">
        <w:r w:rsidRPr="008F779B">
          <w:rPr>
            <w:rStyle w:val="Hyperlink"/>
          </w:rPr>
          <w:t>https://www.scotland.police.uk/about-us/what-we-do/how-we-are-performing/</w:t>
        </w:r>
      </w:hyperlink>
    </w:p>
    <w:p w14:paraId="6D79E26C" w14:textId="5A23CC69" w:rsidR="009C3E2A" w:rsidRDefault="009C3E2A" w:rsidP="008F779B">
      <w:pPr>
        <w:spacing w:before="240" w:after="0"/>
        <w:rPr>
          <w:rFonts w:eastAsiaTheme="majorEastAsia" w:cstheme="majorBidi"/>
          <w:b/>
          <w:color w:val="000000" w:themeColor="text1"/>
          <w:sz w:val="32"/>
          <w:szCs w:val="26"/>
        </w:rPr>
      </w:pPr>
      <w:r>
        <w:br w:type="page"/>
      </w:r>
    </w:p>
    <w:p w14:paraId="79CEEC3D" w14:textId="6C22BE37" w:rsidR="00004A36" w:rsidRDefault="00D12BB1" w:rsidP="00B453C4">
      <w:pPr>
        <w:pStyle w:val="Heading3"/>
      </w:pPr>
      <w:bookmarkStart w:id="5" w:name="_Toc140746122"/>
      <w:bookmarkStart w:id="6" w:name="_Toc140750236"/>
      <w:bookmarkStart w:id="7" w:name="_Toc142045253"/>
      <w:bookmarkStart w:id="8" w:name="_Toc157687358"/>
      <w:bookmarkStart w:id="9" w:name="_Toc157696602"/>
      <w:bookmarkStart w:id="10" w:name="_Toc215149604"/>
      <w:bookmarkEnd w:id="3"/>
      <w:r w:rsidRPr="00D12BB1">
        <w:lastRenderedPageBreak/>
        <w:t>Deputy Chief Constable</w:t>
      </w:r>
      <w:bookmarkEnd w:id="5"/>
      <w:bookmarkEnd w:id="6"/>
      <w:bookmarkEnd w:id="7"/>
      <w:bookmarkEnd w:id="8"/>
      <w:bookmarkEnd w:id="9"/>
      <w:bookmarkEnd w:id="4"/>
      <w:r w:rsidR="00B07689">
        <w:t xml:space="preserve"> Foreword</w:t>
      </w:r>
      <w:bookmarkEnd w:id="10"/>
    </w:p>
    <w:p w14:paraId="1F1E11E4" w14:textId="77777777" w:rsidR="00CD257D" w:rsidRDefault="00CD257D" w:rsidP="00CD257D">
      <w:bookmarkStart w:id="11" w:name="_Hlk206075366"/>
      <w:r>
        <w:t>Operating environments for our officers and staff have continued to intensify during the period of July to September 2025, particularly with an increase in all violent crimes and sexual crimes.</w:t>
      </w:r>
    </w:p>
    <w:p w14:paraId="5FA10DA0" w14:textId="77777777" w:rsidR="00CD257D" w:rsidRDefault="00CD257D" w:rsidP="00CD257D">
      <w:r>
        <w:t>Despite an overall rise in violence, the number of children accused of violent crime continues to decrease. However, of note, the number of children accused of attempted murder continues to be higher than usual. We care deeply about violence and how it affects our young people, and significant activity is highlighted in the report as part of Operation Stardrop, detailing work with partners to deliver early intervention to safeguard children and young people and prevent future violence.</w:t>
      </w:r>
    </w:p>
    <w:p w14:paraId="40949D00" w14:textId="77777777" w:rsidR="00CD257D" w:rsidRDefault="00CD257D" w:rsidP="00CD257D">
      <w:r>
        <w:t xml:space="preserve">Police Scotland continues to prioritise protection of those who face the greatest threat, risk or harm, and respond to the growth of digitally enabled crime. </w:t>
      </w:r>
    </w:p>
    <w:p w14:paraId="2057D5BB" w14:textId="77777777" w:rsidR="00CD257D" w:rsidRDefault="00CD257D" w:rsidP="00CD257D">
      <w:r>
        <w:t xml:space="preserve">The report reflects a continued rise in online child sexual abuse, with an increase of over 20 per cent compared to the same period last year, and the requirement for policing to build new capabilities and capacity. </w:t>
      </w:r>
    </w:p>
    <w:p w14:paraId="64AF1A68" w14:textId="77777777" w:rsidR="00CD257D" w:rsidRDefault="00CD257D" w:rsidP="00CD257D">
      <w:r>
        <w:t xml:space="preserve">During this period there was also an eight per cent increase in reports of rape compared to the previous year. A considerable proportion of reports, over 40 per cent, were for non-recent rapes which often require an enhanced response. </w:t>
      </w:r>
    </w:p>
    <w:p w14:paraId="2C94FFD1" w14:textId="77777777" w:rsidR="00CD257D" w:rsidRDefault="00CD257D" w:rsidP="00CD257D">
      <w:r>
        <w:t>Serious and organised crime and illegal drugs continue to blight our communities with a 20 per cent increase from the second quarter of the previous year.</w:t>
      </w:r>
    </w:p>
    <w:p w14:paraId="6B26CE50" w14:textId="77777777" w:rsidR="00CD257D" w:rsidRDefault="00CD257D" w:rsidP="00CD257D">
      <w:r>
        <w:t xml:space="preserve">This report highlights proactive activity to disrupt serious organised crime which resulted in uncovering the largest cannabis cultivation in Scotland to date, valued at almost £12 million. </w:t>
      </w:r>
    </w:p>
    <w:p w14:paraId="4AC5C7A7" w14:textId="6B02C057" w:rsidR="00CD257D" w:rsidRDefault="00CD257D" w:rsidP="00CD257D">
      <w:r>
        <w:t xml:space="preserve">The challenge for policing is evolving rapidly, as is illustrated during this period by increasing online harm, threat and violence. As highlighted by Chief Constable, Jo Farrell during pre-budget scrutiny discussions at Scottish Parliament, existing pressure on our performance and people can influence confidence in our ability to prevent and investigate crime, as is reflected </w:t>
      </w:r>
      <w:r w:rsidR="000C4FC2">
        <w:t xml:space="preserve">in </w:t>
      </w:r>
      <w:r>
        <w:t xml:space="preserve">a small decrease in public confidence in this report. </w:t>
      </w:r>
    </w:p>
    <w:p w14:paraId="20891D6C" w14:textId="77777777" w:rsidR="00CD257D" w:rsidRDefault="00CD257D" w:rsidP="00CD257D">
      <w:r>
        <w:t>At the same time, we’ve delivered proactive work to prioritise roadside drug testing with a significant increase in positive detections, safeguard over 100 people as part of County Lines Intensification Week and detect over 500 shopliftings since the establishment of our Retail Crime Taskforce six months ago.</w:t>
      </w:r>
    </w:p>
    <w:p w14:paraId="473A8436" w14:textId="77777777" w:rsidR="00CD257D" w:rsidRDefault="00CD257D" w:rsidP="00CD257D">
      <w:r>
        <w:t>Our officers and staff continue to respond with professionalism and commitment, and I want to thank colleagues for their unwavering dedication to keeping people safe.</w:t>
      </w:r>
    </w:p>
    <w:p w14:paraId="23039609" w14:textId="2C4B7703" w:rsidR="00925ABC" w:rsidRDefault="00CD257D" w:rsidP="005C51F4">
      <w:r>
        <w:t>This report seeks to provide meaningful insights into how we are delivering on our Annual Police Plan and vision to achieve safer communities, less crime, supported victims, and a thriving workforce.</w:t>
      </w:r>
    </w:p>
    <w:p w14:paraId="74B89BC1" w14:textId="77777777" w:rsidR="00A74DB4" w:rsidRDefault="00A74DB4" w:rsidP="00A74DB4">
      <w:r>
        <w:rPr>
          <w:noProof/>
        </w:rPr>
        <w:drawing>
          <wp:anchor distT="0" distB="0" distL="114300" distR="114300" simplePos="0" relativeHeight="251658240" behindDoc="1" locked="0" layoutInCell="1" allowOverlap="1" wp14:anchorId="765429BA" wp14:editId="61657F49">
            <wp:simplePos x="0" y="0"/>
            <wp:positionH relativeFrom="margin">
              <wp:align>left</wp:align>
            </wp:positionH>
            <wp:positionV relativeFrom="paragraph">
              <wp:posOffset>66040</wp:posOffset>
            </wp:positionV>
            <wp:extent cx="1333500" cy="360680"/>
            <wp:effectExtent l="0" t="0" r="0" b="1270"/>
            <wp:wrapTight wrapText="bothSides">
              <wp:wrapPolygon edited="0">
                <wp:start x="0" y="0"/>
                <wp:lineTo x="0" y="20535"/>
                <wp:lineTo x="21291" y="20535"/>
                <wp:lineTo x="21291" y="0"/>
                <wp:lineTo x="0" y="0"/>
              </wp:wrapPolygon>
            </wp:wrapTight>
            <wp:docPr id="1053446700" name="Picture 1" descr="DCC Conn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6700" name="Picture 1" descr="DCC Connors'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C347F" w14:textId="77777777" w:rsidR="00A74DB4" w:rsidRDefault="00A74DB4" w:rsidP="00A74DB4"/>
    <w:p w14:paraId="298D6568" w14:textId="676FA71F" w:rsidR="000C3C84" w:rsidRDefault="00A74DB4" w:rsidP="00FF2F06">
      <w:r>
        <w:t>DCC Jane Connors LVO QPM</w:t>
      </w:r>
      <w:r w:rsidR="00CD257D">
        <w:t xml:space="preserve"> (</w:t>
      </w:r>
      <w:r>
        <w:t>Deputy Chief Constable Operational Policing</w:t>
      </w:r>
      <w:r w:rsidR="00CD257D">
        <w:t>)</w:t>
      </w:r>
      <w:bookmarkEnd w:id="11"/>
      <w:r w:rsidR="000C3C84">
        <w:br w:type="page"/>
      </w:r>
    </w:p>
    <w:p w14:paraId="6EE36D66" w14:textId="7AE19FE0" w:rsidR="00D12BB1" w:rsidRPr="00CB09F7" w:rsidRDefault="00D12BB1" w:rsidP="008D48E9">
      <w:pPr>
        <w:pStyle w:val="Heading3"/>
      </w:pPr>
      <w:bookmarkStart w:id="12" w:name="_Toc215149605"/>
      <w:r w:rsidRPr="00CB09F7">
        <w:lastRenderedPageBreak/>
        <w:t>Introduction</w:t>
      </w:r>
      <w:bookmarkEnd w:id="12"/>
    </w:p>
    <w:p w14:paraId="79461B9E" w14:textId="7191806F" w:rsidR="00627F10" w:rsidRPr="00CB09F7" w:rsidRDefault="008F3D52" w:rsidP="008D48E9">
      <w:r>
        <w:t>Th</w:t>
      </w:r>
      <w:r w:rsidR="008E4FDA" w:rsidRPr="00CB09F7">
        <w:t xml:space="preserve">is is the </w:t>
      </w:r>
      <w:r w:rsidR="00BA74F2">
        <w:t>second</w:t>
      </w:r>
      <w:r w:rsidR="008E4FDA" w:rsidRPr="00CB09F7">
        <w:t xml:space="preserve"> </w:t>
      </w:r>
      <w:r w:rsidR="00FB2AFD">
        <w:t>q</w:t>
      </w:r>
      <w:r w:rsidR="008E4FDA" w:rsidRPr="00CB09F7">
        <w:t>uarterly report of the 202</w:t>
      </w:r>
      <w:r w:rsidR="00627F10" w:rsidRPr="00CB09F7">
        <w:t>5</w:t>
      </w:r>
      <w:r w:rsidR="008E4FDA" w:rsidRPr="00CB09F7">
        <w:t>/2</w:t>
      </w:r>
      <w:r w:rsidR="00627F10" w:rsidRPr="00CB09F7">
        <w:t>6</w:t>
      </w:r>
      <w:r w:rsidR="008E4FDA" w:rsidRPr="00CB09F7">
        <w:t xml:space="preserve"> performance cycle, reporting </w:t>
      </w:r>
      <w:r w:rsidR="00627F10" w:rsidRPr="00CB09F7">
        <w:t>based on our Performance and Accountability Framework for 2025/26. This year’s Performance and Accountability</w:t>
      </w:r>
      <w:r w:rsidR="00C2679C" w:rsidRPr="00CB09F7">
        <w:t xml:space="preserve"> Framework </w:t>
      </w:r>
      <w:r w:rsidR="00627F10" w:rsidRPr="00CB09F7">
        <w:t>is set out to measure performance, progress and impact across all areas of Police Scotland’s</w:t>
      </w:r>
      <w:r w:rsidR="00FF03AB" w:rsidRPr="00CB09F7">
        <w:t xml:space="preserve"> </w:t>
      </w:r>
      <w:hyperlink r:id="rId15" w:history="1">
        <w:r w:rsidR="00FF03AB" w:rsidRPr="00CB09F7">
          <w:rPr>
            <w:rStyle w:val="Hyperlink"/>
            <w:color w:val="auto"/>
          </w:rPr>
          <w:t>2030 Vision</w:t>
        </w:r>
      </w:hyperlink>
      <w:r w:rsidR="00627F10" w:rsidRPr="00CB09F7">
        <w:t>.</w:t>
      </w:r>
    </w:p>
    <w:p w14:paraId="32A6EA9D" w14:textId="4D4504E0" w:rsidR="00627F10" w:rsidRPr="00CB09F7" w:rsidRDefault="00627F10" w:rsidP="008D48E9">
      <w:r w:rsidRPr="00CB09F7">
        <w:t>Our 2030 vision provides the service with a clear, aspirational direction of travel to shape the development of Police Scotland. The purpose of the 2030 Vision is not only to motivate our workforce to deliver, but also to support strategic decision making around service investment priorities and our portfolio of change.</w:t>
      </w:r>
    </w:p>
    <w:p w14:paraId="4316AAB6" w14:textId="4F0D20FE" w:rsidR="00361C4F" w:rsidRPr="00CB09F7" w:rsidRDefault="00FF03AB" w:rsidP="008D48E9">
      <w:r w:rsidRPr="00CB09F7">
        <w:t>Our 2030 Vision is for safer communities, less crime, supported victims and a thriving workforce</w:t>
      </w:r>
      <w:r w:rsidR="00627F10" w:rsidRPr="00CB09F7">
        <w:t xml:space="preserve"> with this report structured under each of these pillars.</w:t>
      </w:r>
      <w:r w:rsidR="00361C4F" w:rsidRPr="00CB09F7">
        <w:t xml:space="preserve"> </w:t>
      </w:r>
      <w:r w:rsidR="00627F10" w:rsidRPr="00CB09F7">
        <w:t xml:space="preserve">The 2030 Vision, along with the Chief Constable’s priorities (Trust, Confidence and Performance), </w:t>
      </w:r>
      <w:r w:rsidR="00361C4F" w:rsidRPr="00CB09F7">
        <w:t xml:space="preserve">remain </w:t>
      </w:r>
      <w:r w:rsidR="00627F10" w:rsidRPr="00CB09F7">
        <w:t>align</w:t>
      </w:r>
      <w:r w:rsidR="00361C4F" w:rsidRPr="00CB09F7">
        <w:t>ed</w:t>
      </w:r>
      <w:r w:rsidR="00627F10" w:rsidRPr="00CB09F7">
        <w:t xml:space="preserve"> to the </w:t>
      </w:r>
      <w:r w:rsidR="00361C4F" w:rsidRPr="00CB09F7">
        <w:t xml:space="preserve">following </w:t>
      </w:r>
      <w:r w:rsidR="00627F10" w:rsidRPr="00CB09F7">
        <w:t>five Stra</w:t>
      </w:r>
      <w:r w:rsidR="00361C4F" w:rsidRPr="00CB09F7">
        <w:t>tegic Outcomes set out in the Joint Strategy for Policing:</w:t>
      </w:r>
    </w:p>
    <w:p w14:paraId="4CAC5E7D" w14:textId="73C14F73" w:rsidR="00361C4F" w:rsidRDefault="00B96834" w:rsidP="00361C4F">
      <w:pPr>
        <w:pStyle w:val="Bullets"/>
      </w:pPr>
      <w:r>
        <w:t xml:space="preserve">Public Safety and Wellbeing – </w:t>
      </w:r>
      <w:r w:rsidR="00361C4F">
        <w:t>Threats to public safety are resolved by a proactive and responsive service;</w:t>
      </w:r>
    </w:p>
    <w:p w14:paraId="2C71ECE4" w14:textId="534E70DB" w:rsidR="00361C4F" w:rsidRDefault="00B96834" w:rsidP="00361C4F">
      <w:pPr>
        <w:pStyle w:val="Bullets"/>
      </w:pPr>
      <w:r>
        <w:t xml:space="preserve">Needs of Local Communities – </w:t>
      </w:r>
      <w:r w:rsidR="00361C4F">
        <w:t>The needs of local communities are addressed through effective service delivery</w:t>
      </w:r>
      <w:r w:rsidR="00DE0C33">
        <w:t>;</w:t>
      </w:r>
    </w:p>
    <w:p w14:paraId="3DD479FA" w14:textId="079D71BF" w:rsidR="00FF03AB" w:rsidRDefault="00B96834" w:rsidP="00361C4F">
      <w:pPr>
        <w:pStyle w:val="Bullets"/>
      </w:pPr>
      <w:r>
        <w:t xml:space="preserve">Confidence in Policing – </w:t>
      </w:r>
      <w:r w:rsidR="00361C4F">
        <w:t>The</w:t>
      </w:r>
      <w:r w:rsidR="00C2679C">
        <w:t xml:space="preserve"> public, communities and partners are engaged, involved and have confidence in policing</w:t>
      </w:r>
      <w:r w:rsidR="00361C4F">
        <w:t>;</w:t>
      </w:r>
    </w:p>
    <w:p w14:paraId="411D7AE9" w14:textId="36D3B9BE" w:rsidR="00361C4F" w:rsidRDefault="00B96834" w:rsidP="004409EB">
      <w:pPr>
        <w:pStyle w:val="Bullets"/>
      </w:pPr>
      <w:r>
        <w:t xml:space="preserve">Working Environment – </w:t>
      </w:r>
      <w:r w:rsidR="00361C4F">
        <w:t>Our people are supported through a positive working environment, enabling them to serve the public;</w:t>
      </w:r>
    </w:p>
    <w:p w14:paraId="32CCAB25" w14:textId="13D20512" w:rsidR="00361C4F" w:rsidRPr="00361C4F" w:rsidRDefault="00B96834" w:rsidP="004409EB">
      <w:pPr>
        <w:pStyle w:val="Bullets"/>
      </w:pPr>
      <w:r>
        <w:t xml:space="preserve">Sustainable and Adaptable Service – </w:t>
      </w:r>
      <w:r w:rsidR="00361C4F">
        <w:t>Police Scotland is sustainable, adaptable and prepared for future challenges.</w:t>
      </w:r>
    </w:p>
    <w:p w14:paraId="1F35B934" w14:textId="77777777" w:rsidR="00361C4F" w:rsidRPr="004409EB" w:rsidRDefault="00361C4F" w:rsidP="008518F7">
      <w:bookmarkStart w:id="13" w:name="_Hlk189469777"/>
      <w:r w:rsidRPr="004409EB">
        <w:t>Although reporting will be displayed against the 2030 Vision, this alignment ensures Police Scotland will continue to operate, evidence progression and contribute to the overarching outcomes.</w:t>
      </w:r>
    </w:p>
    <w:p w14:paraId="726CF5FC" w14:textId="16A71FC8" w:rsidR="00361C4F" w:rsidRPr="004409EB" w:rsidRDefault="00361C4F" w:rsidP="008518F7">
      <w:r w:rsidRPr="004409EB">
        <w:t>We are using overarching, targeted Strategic Indicators to draw together a suite of Key Performance Indicators (KPIs) which provides scope to detail the qualitative aspects of performance and show how we are performing in these areas. Management Information (MI) and supporting evidence will be used to highlight exception</w:t>
      </w:r>
      <w:r w:rsidR="004409EB" w:rsidRPr="004409EB">
        <w:t>s</w:t>
      </w:r>
      <w:r w:rsidRPr="004409EB">
        <w:t xml:space="preserve"> within the data.</w:t>
      </w:r>
    </w:p>
    <w:p w14:paraId="476BF052" w14:textId="53D382E3" w:rsidR="00CB09F7" w:rsidRPr="004409EB" w:rsidRDefault="00361C4F" w:rsidP="008518F7">
      <w:r w:rsidRPr="004409EB">
        <w:t xml:space="preserve">In line with Scottish Government reporting, data comparisons within this report are now made, where possible, against both </w:t>
      </w:r>
      <w:r w:rsidR="00CB09F7" w:rsidRPr="004409EB">
        <w:t>Quarter 1 (year-to-date vs previous year-to-date)</w:t>
      </w:r>
      <w:r w:rsidRPr="004409EB">
        <w:t xml:space="preserve"> and the </w:t>
      </w:r>
      <w:r w:rsidR="000601E1">
        <w:t xml:space="preserve">rolling </w:t>
      </w:r>
      <w:r w:rsidR="005A7EA3" w:rsidRPr="004409EB">
        <w:t>12</w:t>
      </w:r>
      <w:r w:rsidR="009D6143">
        <w:t xml:space="preserve"> </w:t>
      </w:r>
      <w:r w:rsidR="005A7EA3" w:rsidRPr="004409EB">
        <w:t>month</w:t>
      </w:r>
      <w:r w:rsidRPr="004409EB">
        <w:t xml:space="preserve"> period</w:t>
      </w:r>
      <w:r w:rsidR="00CB09F7" w:rsidRPr="004409EB">
        <w:t xml:space="preserve"> (year-to-date vs previous year-to-date)</w:t>
      </w:r>
      <w:r w:rsidRPr="004409EB">
        <w:t>.</w:t>
      </w:r>
      <w:r w:rsidR="00CB09F7" w:rsidRPr="004409EB">
        <w:t xml:space="preserve"> We will no longer include five-year mean comparisons</w:t>
      </w:r>
      <w:r w:rsidR="004409EB" w:rsidRPr="004409EB">
        <w:t xml:space="preserve"> in the quarterly performance report.</w:t>
      </w:r>
    </w:p>
    <w:p w14:paraId="7706652D" w14:textId="4D83CC5E" w:rsidR="00CB09F7" w:rsidRPr="004409EB" w:rsidRDefault="00CB09F7" w:rsidP="008518F7">
      <w:r w:rsidRPr="004409EB">
        <w:t xml:space="preserve">The </w:t>
      </w:r>
      <w:r w:rsidR="005A7EA3" w:rsidRPr="004409EB">
        <w:t>12</w:t>
      </w:r>
      <w:r w:rsidR="009D6143">
        <w:t xml:space="preserve"> </w:t>
      </w:r>
      <w:r w:rsidR="005A7EA3" w:rsidRPr="004409EB">
        <w:t>month</w:t>
      </w:r>
      <w:r w:rsidRPr="004409EB">
        <w:t xml:space="preserve"> timeframe will always encompass the most recent </w:t>
      </w:r>
      <w:r w:rsidR="005A7EA3" w:rsidRPr="004409EB">
        <w:t>12</w:t>
      </w:r>
      <w:r w:rsidR="009D6143">
        <w:t xml:space="preserve"> </w:t>
      </w:r>
      <w:r w:rsidR="005A7EA3" w:rsidRPr="004409EB">
        <w:t>month</w:t>
      </w:r>
      <w:r w:rsidRPr="004409EB">
        <w:t xml:space="preserve"> period. It is a dynamic, shifting period which will remove any short-term effect</w:t>
      </w:r>
      <w:r w:rsidR="004409EB" w:rsidRPr="004409EB">
        <w:t>s</w:t>
      </w:r>
      <w:r w:rsidRPr="004409EB">
        <w:t xml:space="preserve"> of seasonality in our reporting. </w:t>
      </w:r>
      <w:r w:rsidR="00612606">
        <w:t>Within this report,</w:t>
      </w:r>
      <w:r w:rsidRPr="004409EB">
        <w:t xml:space="preserve"> the rolling </w:t>
      </w:r>
      <w:r w:rsidR="005A7EA3" w:rsidRPr="004409EB">
        <w:t>12</w:t>
      </w:r>
      <w:r w:rsidR="009D6143">
        <w:t xml:space="preserve"> </w:t>
      </w:r>
      <w:r w:rsidR="005A7EA3" w:rsidRPr="004409EB">
        <w:t>month</w:t>
      </w:r>
      <w:r w:rsidRPr="004409EB">
        <w:t xml:space="preserve"> period will compare </w:t>
      </w:r>
      <w:r w:rsidR="00BA74F2">
        <w:t>October</w:t>
      </w:r>
      <w:r w:rsidRPr="004409EB">
        <w:t xml:space="preserve"> to </w:t>
      </w:r>
      <w:r w:rsidR="00BA74F2">
        <w:t>September</w:t>
      </w:r>
      <w:r w:rsidRPr="004409EB">
        <w:t xml:space="preserve"> YTD against </w:t>
      </w:r>
      <w:r w:rsidR="00BA74F2">
        <w:t>October</w:t>
      </w:r>
      <w:r w:rsidRPr="004409EB">
        <w:t xml:space="preserve"> to </w:t>
      </w:r>
      <w:r w:rsidR="00BA74F2">
        <w:t>September</w:t>
      </w:r>
      <w:r w:rsidRPr="004409EB">
        <w:t xml:space="preserve"> PYTD.</w:t>
      </w:r>
    </w:p>
    <w:p w14:paraId="2CF5300A" w14:textId="53E57F8D" w:rsidR="004409EB" w:rsidRPr="004409EB" w:rsidRDefault="00361C4F" w:rsidP="008518F7">
      <w:r w:rsidRPr="004409EB">
        <w:lastRenderedPageBreak/>
        <w:t xml:space="preserve">We </w:t>
      </w:r>
      <w:r w:rsidR="004409EB" w:rsidRPr="004409EB">
        <w:t>continue to identify and draw out key insights, with these displayed at the beginning of the report</w:t>
      </w:r>
      <w:r w:rsidR="004F3885" w:rsidRPr="004409EB">
        <w:t xml:space="preserve">. </w:t>
      </w:r>
      <w:r w:rsidR="004409EB" w:rsidRPr="004409EB">
        <w:t xml:space="preserve">During Quarter </w:t>
      </w:r>
      <w:r w:rsidR="00BA74F2">
        <w:t>2</w:t>
      </w:r>
      <w:r w:rsidR="004409EB" w:rsidRPr="004409EB">
        <w:t xml:space="preserve"> the following k</w:t>
      </w:r>
      <w:r w:rsidR="00D8614B" w:rsidRPr="004409EB">
        <w:t>ey insight</w:t>
      </w:r>
      <w:r w:rsidR="00FF5CD1" w:rsidRPr="004409EB">
        <w:t>s</w:t>
      </w:r>
      <w:r w:rsidR="00D8614B" w:rsidRPr="004409EB">
        <w:t xml:space="preserve"> </w:t>
      </w:r>
      <w:r w:rsidR="004409EB" w:rsidRPr="004409EB">
        <w:t>have been identified and highlighted:</w:t>
      </w:r>
    </w:p>
    <w:p w14:paraId="79FA7DB4" w14:textId="211339D5" w:rsidR="00B34806" w:rsidRDefault="004816BE" w:rsidP="004409EB">
      <w:pPr>
        <w:pStyle w:val="Bullets"/>
      </w:pPr>
      <w:hyperlink w:anchor="KI1MentalHealth" w:history="1">
        <w:r w:rsidRPr="008E14DF">
          <w:rPr>
            <w:rStyle w:val="Hyperlink"/>
          </w:rPr>
          <w:t>Mental Health</w:t>
        </w:r>
        <w:r w:rsidR="00290227" w:rsidRPr="008E14DF">
          <w:rPr>
            <w:rStyle w:val="Hyperlink"/>
          </w:rPr>
          <w:t>-Related</w:t>
        </w:r>
        <w:r w:rsidRPr="008E14DF">
          <w:rPr>
            <w:rStyle w:val="Hyperlink"/>
          </w:rPr>
          <w:t xml:space="preserve"> Incidents</w:t>
        </w:r>
      </w:hyperlink>
    </w:p>
    <w:p w14:paraId="1420D6A3" w14:textId="5F0029A9" w:rsidR="004409EB" w:rsidRDefault="007C27C1" w:rsidP="00D707BF">
      <w:pPr>
        <w:pStyle w:val="Bullets"/>
      </w:pPr>
      <w:hyperlink w:anchor="KI2MotorcycleSafety" w:history="1">
        <w:r w:rsidRPr="008E14DF">
          <w:rPr>
            <w:rStyle w:val="Hyperlink"/>
          </w:rPr>
          <w:t>Motorcycle Safety Campaign</w:t>
        </w:r>
      </w:hyperlink>
    </w:p>
    <w:bookmarkEnd w:id="13"/>
    <w:p w14:paraId="367CCE3B" w14:textId="104CB5DA" w:rsidR="008518F7" w:rsidRDefault="008E14DF" w:rsidP="0070214C">
      <w:pPr>
        <w:pStyle w:val="Bullets"/>
      </w:pPr>
      <w:r>
        <w:fldChar w:fldCharType="begin"/>
      </w:r>
      <w:r>
        <w:instrText>HYPERLINK  \l "KI3PoliceAssaults"</w:instrText>
      </w:r>
      <w:r>
        <w:fldChar w:fldCharType="separate"/>
      </w:r>
      <w:r w:rsidR="007C27C1" w:rsidRPr="008E14DF">
        <w:rPr>
          <w:rStyle w:val="Hyperlink"/>
        </w:rPr>
        <w:t>Assaults on Police Officers/Staff</w:t>
      </w:r>
      <w:r>
        <w:fldChar w:fldCharType="end"/>
      </w:r>
    </w:p>
    <w:p w14:paraId="182FA598" w14:textId="407C42FB" w:rsidR="000C79C4" w:rsidRPr="000C79C4" w:rsidRDefault="000C79C4" w:rsidP="000C79C4">
      <w:pPr>
        <w:pStyle w:val="ListBullet"/>
        <w:rPr>
          <w:lang w:eastAsia="en-GB"/>
        </w:rPr>
      </w:pPr>
      <w:hyperlink w:anchor="KI4PartnerReferrals" w:history="1">
        <w:r w:rsidRPr="008E14DF">
          <w:rPr>
            <w:rStyle w:val="Hyperlink"/>
            <w:lang w:eastAsia="en-GB"/>
          </w:rPr>
          <w:t>Partner Referrals</w:t>
        </w:r>
        <w:r w:rsidR="00EC324C" w:rsidRPr="008E14DF">
          <w:rPr>
            <w:rStyle w:val="Hyperlink"/>
            <w:lang w:eastAsia="en-GB"/>
          </w:rPr>
          <w:t xml:space="preserve"> from Police Custody</w:t>
        </w:r>
      </w:hyperlink>
    </w:p>
    <w:p w14:paraId="42FD2D5C" w14:textId="384069BD" w:rsidR="00297AFD" w:rsidRPr="004409EB" w:rsidRDefault="00296FEF" w:rsidP="008518F7">
      <w:pPr>
        <w:rPr>
          <w:lang w:eastAsia="en-GB"/>
        </w:rPr>
      </w:pPr>
      <w:bookmarkStart w:id="14" w:name="_Hlk189469819"/>
      <w:r w:rsidRPr="004409EB">
        <w:t>E</w:t>
      </w:r>
      <w:r w:rsidR="009C531E" w:rsidRPr="004409EB">
        <w:t>xamples of</w:t>
      </w:r>
      <w:r w:rsidR="00CF7546">
        <w:t xml:space="preserve"> </w:t>
      </w:r>
      <w:r w:rsidR="009C531E" w:rsidRPr="004409EB">
        <w:t>proactiv</w:t>
      </w:r>
      <w:r w:rsidR="00A7197A" w:rsidRPr="004409EB">
        <w:t>ity</w:t>
      </w:r>
      <w:r w:rsidR="00CF7546">
        <w:t xml:space="preserve"> and</w:t>
      </w:r>
      <w:r w:rsidR="009C531E" w:rsidRPr="004409EB">
        <w:t>/</w:t>
      </w:r>
      <w:r w:rsidR="00CF7546">
        <w:t xml:space="preserve">or </w:t>
      </w:r>
      <w:r w:rsidR="009C531E" w:rsidRPr="004409EB">
        <w:t>preventative policin</w:t>
      </w:r>
      <w:r w:rsidRPr="004409EB">
        <w:t xml:space="preserve">g </w:t>
      </w:r>
      <w:r w:rsidR="00D8614B" w:rsidRPr="004409EB">
        <w:t xml:space="preserve">activity </w:t>
      </w:r>
      <w:r w:rsidR="004409EB" w:rsidRPr="004409EB">
        <w:t>also continue</w:t>
      </w:r>
      <w:r w:rsidR="00CF7546">
        <w:t>s</w:t>
      </w:r>
      <w:r w:rsidR="004409EB" w:rsidRPr="004409EB">
        <w:t xml:space="preserve"> to be</w:t>
      </w:r>
      <w:r w:rsidR="00D8614B" w:rsidRPr="004409EB">
        <w:t xml:space="preserve"> highlighted</w:t>
      </w:r>
      <w:r w:rsidR="004409EB" w:rsidRPr="004409EB">
        <w:t>, with</w:t>
      </w:r>
      <w:r w:rsidR="00D8614B" w:rsidRPr="004409EB">
        <w:t xml:space="preserve"> the following </w:t>
      </w:r>
      <w:r w:rsidR="004409EB" w:rsidRPr="004409EB">
        <w:t xml:space="preserve">of note during Quarter </w:t>
      </w:r>
      <w:r w:rsidR="00BA74F2">
        <w:t>2</w:t>
      </w:r>
      <w:r w:rsidR="00D8614B" w:rsidRPr="004409EB">
        <w:t>:</w:t>
      </w:r>
    </w:p>
    <w:bookmarkEnd w:id="14"/>
    <w:p w14:paraId="1D44C8DA" w14:textId="4FE003B9" w:rsidR="00CF7546" w:rsidRDefault="008E14DF" w:rsidP="00CF7546">
      <w:pPr>
        <w:pStyle w:val="Bullets"/>
      </w:pPr>
      <w:r>
        <w:fldChar w:fldCharType="begin"/>
      </w:r>
      <w:r>
        <w:instrText>HYPERLINK  \l "PP1OpSpotlight"</w:instrText>
      </w:r>
      <w:r>
        <w:fldChar w:fldCharType="separate"/>
      </w:r>
      <w:r w:rsidR="00C233B0" w:rsidRPr="008E14DF">
        <w:rPr>
          <w:rStyle w:val="Hyperlink"/>
        </w:rPr>
        <w:t>Operation SPOTLIGHT</w:t>
      </w:r>
      <w:r>
        <w:fldChar w:fldCharType="end"/>
      </w:r>
    </w:p>
    <w:p w14:paraId="1CE3F55B" w14:textId="130014F5" w:rsidR="001930DE" w:rsidRDefault="001930DE" w:rsidP="001930DE">
      <w:pPr>
        <w:pStyle w:val="Bullets"/>
      </w:pPr>
      <w:hyperlink w:anchor="PP2ViolencePrevention" w:history="1">
        <w:r w:rsidRPr="008E14DF">
          <w:rPr>
            <w:rStyle w:val="Hyperlink"/>
          </w:rPr>
          <w:t>Violence Prevention</w:t>
        </w:r>
      </w:hyperlink>
    </w:p>
    <w:p w14:paraId="0B37323C" w14:textId="64BBAB93" w:rsidR="007446F3" w:rsidRPr="007446F3" w:rsidRDefault="007446F3" w:rsidP="007446F3">
      <w:pPr>
        <w:pStyle w:val="ListBullet"/>
        <w:rPr>
          <w:lang w:eastAsia="en-GB"/>
        </w:rPr>
      </w:pPr>
      <w:hyperlink w:anchor="PP3YouthEngagement" w:history="1">
        <w:r w:rsidRPr="008E14DF">
          <w:rPr>
            <w:rStyle w:val="Hyperlink"/>
            <w:lang w:eastAsia="en-GB"/>
          </w:rPr>
          <w:t>Engagement with Children and Young People</w:t>
        </w:r>
      </w:hyperlink>
    </w:p>
    <w:p w14:paraId="71B2D909" w14:textId="0DBD089C" w:rsidR="00CF0EB4" w:rsidRDefault="00C233B0" w:rsidP="001930DE">
      <w:pPr>
        <w:pStyle w:val="Bullets"/>
      </w:pPr>
      <w:hyperlink w:anchor="PP4RetailCrime" w:history="1">
        <w:r w:rsidRPr="008E14DF">
          <w:rPr>
            <w:rStyle w:val="Hyperlink"/>
          </w:rPr>
          <w:t>Retail Crime Taskforce (RCTF)</w:t>
        </w:r>
      </w:hyperlink>
    </w:p>
    <w:p w14:paraId="3E49167D" w14:textId="54DAF596" w:rsidR="00053F48" w:rsidRDefault="00053F48" w:rsidP="00053F48">
      <w:pPr>
        <w:pStyle w:val="Bullets"/>
      </w:pPr>
      <w:hyperlink w:anchor="PP5CannabisCultivation" w:history="1">
        <w:r w:rsidRPr="008E14DF">
          <w:rPr>
            <w:rStyle w:val="Hyperlink"/>
          </w:rPr>
          <w:t>Cannabis Cultivation</w:t>
        </w:r>
      </w:hyperlink>
    </w:p>
    <w:p w14:paraId="190B4DF4" w14:textId="63321561" w:rsidR="00053F48" w:rsidRPr="00053F48" w:rsidRDefault="00053F48" w:rsidP="00053F48">
      <w:pPr>
        <w:pStyle w:val="Bullets"/>
      </w:pPr>
      <w:hyperlink w:anchor="PP6CountyLines" w:history="1">
        <w:r w:rsidRPr="008E14DF">
          <w:rPr>
            <w:rStyle w:val="Hyperlink"/>
          </w:rPr>
          <w:t>County Lines Intensification Week</w:t>
        </w:r>
      </w:hyperlink>
    </w:p>
    <w:p w14:paraId="3010FBCB" w14:textId="010301EE" w:rsidR="00E379E5" w:rsidRDefault="009937B6" w:rsidP="00053F48">
      <w:pPr>
        <w:pStyle w:val="Bullets"/>
      </w:pPr>
      <w:hyperlink w:anchor="PP7ProceedsofCrime" w:history="1">
        <w:r w:rsidRPr="008E14DF">
          <w:rPr>
            <w:rStyle w:val="Hyperlink"/>
          </w:rPr>
          <w:t>Proceeds of Crime</w:t>
        </w:r>
      </w:hyperlink>
    </w:p>
    <w:p w14:paraId="59070504" w14:textId="4EEDFD21" w:rsidR="00476BE5" w:rsidRDefault="00476BE5" w:rsidP="00476BE5">
      <w:pPr>
        <w:pStyle w:val="Bullets"/>
      </w:pPr>
      <w:hyperlink w:anchor="PP8ProportionateResponse" w:history="1">
        <w:r w:rsidRPr="008E14DF">
          <w:rPr>
            <w:rStyle w:val="Hyperlink"/>
          </w:rPr>
          <w:t>Proportionate Response to Crime</w:t>
        </w:r>
      </w:hyperlink>
    </w:p>
    <w:p w14:paraId="271BE0E1" w14:textId="0A23B14B" w:rsidR="00530202" w:rsidRPr="00530202" w:rsidRDefault="00530202" w:rsidP="00530202">
      <w:pPr>
        <w:pStyle w:val="Bullets"/>
      </w:pPr>
      <w:hyperlink w:anchor="PP9PSDLearning" w:history="1">
        <w:r w:rsidRPr="008E14DF">
          <w:rPr>
            <w:rStyle w:val="Hyperlink"/>
          </w:rPr>
          <w:t>Professional Standards Disseminated Learning</w:t>
        </w:r>
      </w:hyperlink>
    </w:p>
    <w:p w14:paraId="329A3E16" w14:textId="6F3003A8" w:rsidR="00CF5068" w:rsidRPr="00612606" w:rsidRDefault="00CF5068" w:rsidP="00CF5068">
      <w:r>
        <w:rPr>
          <w:lang w:eastAsia="en-GB"/>
        </w:rPr>
        <w:t>Strong performance</w:t>
      </w:r>
      <w:r w:rsidR="00612606">
        <w:rPr>
          <w:lang w:eastAsia="en-GB"/>
        </w:rPr>
        <w:t xml:space="preserve"> will </w:t>
      </w:r>
      <w:r>
        <w:rPr>
          <w:lang w:eastAsia="en-GB"/>
        </w:rPr>
        <w:t>show the steps we are taking to achi</w:t>
      </w:r>
      <w:r w:rsidR="00612606">
        <w:rPr>
          <w:lang w:eastAsia="en-GB"/>
        </w:rPr>
        <w:t>ev</w:t>
      </w:r>
      <w:r>
        <w:rPr>
          <w:lang w:eastAsia="en-GB"/>
        </w:rPr>
        <w:t>e</w:t>
      </w:r>
      <w:r w:rsidR="00612606">
        <w:rPr>
          <w:lang w:eastAsia="en-GB"/>
        </w:rPr>
        <w:t xml:space="preserve"> the outcomes within the 2030 Vision.</w:t>
      </w:r>
      <w:r w:rsidR="00162F8E">
        <w:rPr>
          <w:lang w:eastAsia="en-GB"/>
        </w:rPr>
        <w:t xml:space="preserve"> </w:t>
      </w:r>
      <w:r>
        <w:rPr>
          <w:lang w:eastAsia="en-GB"/>
        </w:rPr>
        <w:t xml:space="preserve">The Quarter </w:t>
      </w:r>
      <w:r w:rsidR="00BA74F2">
        <w:rPr>
          <w:lang w:eastAsia="en-GB"/>
        </w:rPr>
        <w:t>2</w:t>
      </w:r>
      <w:r>
        <w:rPr>
          <w:lang w:eastAsia="en-GB"/>
        </w:rPr>
        <w:t xml:space="preserve"> Performance Report illustrates how we are striving towards these outcomes through quantitative data analysis and qualitative supporting evidence.</w:t>
      </w:r>
    </w:p>
    <w:p w14:paraId="76A79158" w14:textId="77777777" w:rsidR="00FF5CD1" w:rsidRPr="009E7CB6" w:rsidRDefault="00FF5CD1" w:rsidP="001C7024">
      <w:pPr>
        <w:rPr>
          <w:rFonts w:eastAsiaTheme="majorEastAsia" w:cstheme="majorBidi"/>
          <w:sz w:val="28"/>
          <w:lang w:eastAsia="en-GB"/>
        </w:rPr>
      </w:pPr>
      <w:r w:rsidRPr="009E7CB6">
        <w:rPr>
          <w:lang w:eastAsia="en-GB"/>
        </w:rPr>
        <w:br w:type="page"/>
      </w:r>
    </w:p>
    <w:p w14:paraId="55ECB939" w14:textId="77777777" w:rsidR="00AD7F4C" w:rsidRDefault="00AD7F4C" w:rsidP="00FF5CD1">
      <w:pPr>
        <w:pStyle w:val="Heading3"/>
        <w:rPr>
          <w:lang w:eastAsia="en-GB"/>
        </w:rPr>
      </w:pPr>
      <w:bookmarkStart w:id="15" w:name="_Toc215149606"/>
      <w:r>
        <w:rPr>
          <w:lang w:eastAsia="en-GB"/>
        </w:rPr>
        <w:lastRenderedPageBreak/>
        <w:t>Executive Summary</w:t>
      </w:r>
      <w:bookmarkEnd w:id="15"/>
    </w:p>
    <w:p w14:paraId="0C659CE1" w14:textId="6B70E8D5" w:rsidR="005878A5" w:rsidRPr="005878A5" w:rsidRDefault="005878A5" w:rsidP="00A95DFF">
      <w:pPr>
        <w:rPr>
          <w:lang w:eastAsia="en-GB"/>
        </w:rPr>
      </w:pPr>
      <w:r>
        <w:rPr>
          <w:lang w:eastAsia="en-GB"/>
        </w:rPr>
        <w:t>Figures in these tables are YTD (April to September 2025) unless otherwise stated. Comparisons in the second row are made against the same period last year.</w:t>
      </w:r>
    </w:p>
    <w:p w14:paraId="28857A2B" w14:textId="77777777" w:rsidR="005878A5" w:rsidRPr="005B0A0C" w:rsidRDefault="005878A5" w:rsidP="005878A5">
      <w:pPr>
        <w:pStyle w:val="ExecSummaryHeading"/>
      </w:pPr>
      <w:r>
        <w:t>Safer Communities</w: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5"/>
        <w:gridCol w:w="1984"/>
      </w:tblGrid>
      <w:tr w:rsidR="004816BE" w14:paraId="1D128980" w14:textId="77777777" w:rsidTr="00D37571">
        <w:tc>
          <w:tcPr>
            <w:tcW w:w="1984" w:type="dxa"/>
            <w:tcBorders>
              <w:bottom w:val="single" w:sz="4" w:space="0" w:color="FFFFFF" w:themeColor="background1"/>
              <w:right w:val="single" w:sz="12" w:space="0" w:color="FFFFFF" w:themeColor="background1"/>
            </w:tcBorders>
            <w:shd w:val="clear" w:color="auto" w:fill="196B24"/>
          </w:tcPr>
          <w:p w14:paraId="48C553F0" w14:textId="77777777" w:rsidR="004816BE" w:rsidRPr="00237E1D" w:rsidRDefault="004816BE" w:rsidP="003C4F04">
            <w:pPr>
              <w:jc w:val="center"/>
              <w:rPr>
                <w:b/>
                <w:bCs/>
                <w:color w:val="FFFFFF" w:themeColor="background1"/>
              </w:rPr>
            </w:pPr>
            <w:r>
              <w:rPr>
                <w:b/>
                <w:bCs/>
                <w:color w:val="FFFFFF" w:themeColor="background1"/>
              </w:rPr>
              <w:t>Suspected Drugs Related Deaths</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96B24"/>
          </w:tcPr>
          <w:p w14:paraId="5531F87A" w14:textId="77777777" w:rsidR="004816BE" w:rsidRPr="00237E1D" w:rsidRDefault="004816BE" w:rsidP="003C4F04">
            <w:pPr>
              <w:jc w:val="center"/>
              <w:rPr>
                <w:b/>
                <w:bCs/>
                <w:color w:val="FFFFFF" w:themeColor="background1"/>
              </w:rPr>
            </w:pPr>
            <w:r>
              <w:rPr>
                <w:b/>
                <w:bCs/>
                <w:color w:val="FFFFFF" w:themeColor="background1"/>
              </w:rPr>
              <w:t>Missing Persons Demand</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96B24"/>
          </w:tcPr>
          <w:p w14:paraId="79163570" w14:textId="77777777" w:rsidR="004816BE" w:rsidRPr="00237E1D" w:rsidRDefault="004816BE" w:rsidP="003C4F04">
            <w:pPr>
              <w:jc w:val="center"/>
              <w:rPr>
                <w:b/>
                <w:bCs/>
                <w:color w:val="FFFFFF" w:themeColor="background1"/>
              </w:rPr>
            </w:pPr>
            <w:r>
              <w:rPr>
                <w:b/>
                <w:bCs/>
                <w:color w:val="FFFFFF" w:themeColor="background1"/>
              </w:rPr>
              <w:t>Mental Health Related Incidents</w:t>
            </w:r>
          </w:p>
        </w:tc>
        <w:tc>
          <w:tcPr>
            <w:tcW w:w="1985"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640CF0B6" w14:textId="77777777" w:rsidR="004816BE" w:rsidRPr="00237E1D" w:rsidRDefault="004816BE" w:rsidP="003C4F04">
            <w:pPr>
              <w:jc w:val="center"/>
              <w:rPr>
                <w:b/>
                <w:bCs/>
                <w:color w:val="FFFFFF" w:themeColor="background1"/>
              </w:rPr>
            </w:pPr>
            <w:r>
              <w:rPr>
                <w:b/>
                <w:bCs/>
                <w:color w:val="FFFFFF" w:themeColor="background1"/>
              </w:rPr>
              <w:t xml:space="preserve">CJ Volume of Cases Submitted </w:t>
            </w:r>
          </w:p>
        </w:tc>
        <w:tc>
          <w:tcPr>
            <w:tcW w:w="1984" w:type="dxa"/>
            <w:tcBorders>
              <w:left w:val="single" w:sz="12" w:space="0" w:color="FFFFFF" w:themeColor="background1"/>
              <w:bottom w:val="single" w:sz="8" w:space="0" w:color="FFFFFF" w:themeColor="background1"/>
            </w:tcBorders>
            <w:shd w:val="clear" w:color="auto" w:fill="196B24"/>
          </w:tcPr>
          <w:p w14:paraId="5F7B6D07" w14:textId="77777777" w:rsidR="004816BE" w:rsidRPr="00237E1D" w:rsidRDefault="004816BE" w:rsidP="003C4F04">
            <w:pPr>
              <w:jc w:val="center"/>
              <w:rPr>
                <w:b/>
                <w:bCs/>
                <w:color w:val="FFFFFF" w:themeColor="background1"/>
              </w:rPr>
            </w:pPr>
            <w:r>
              <w:rPr>
                <w:b/>
                <w:bCs/>
                <w:color w:val="FFFFFF" w:themeColor="background1"/>
              </w:rPr>
              <w:t>Stop and Search Compliance</w:t>
            </w:r>
          </w:p>
        </w:tc>
      </w:tr>
      <w:tr w:rsidR="004816BE" w14:paraId="2C5C673B" w14:textId="77777777" w:rsidTr="00D3757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196B24"/>
          </w:tcPr>
          <w:p w14:paraId="6B31B2D0"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7" behindDoc="0" locked="0" layoutInCell="1" allowOverlap="1" wp14:anchorId="6FF114DA" wp14:editId="0EB9E7E8">
                      <wp:simplePos x="0" y="0"/>
                      <wp:positionH relativeFrom="column">
                        <wp:posOffset>20320</wp:posOffset>
                      </wp:positionH>
                      <wp:positionV relativeFrom="paragraph">
                        <wp:posOffset>283845</wp:posOffset>
                      </wp:positionV>
                      <wp:extent cx="314325" cy="219075"/>
                      <wp:effectExtent l="38100" t="19050" r="28575" b="28575"/>
                      <wp:wrapNone/>
                      <wp:docPr id="138653282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0F91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alt="Up" style="position:absolute;margin-left:1.6pt;margin-top:22.35pt;width:24.75pt;height:17.2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rPr>
                <w:color w:val="FFFFFF" w:themeColor="background1"/>
              </w:rPr>
              <w:t xml:space="preserve"> 596 DRDs</w:t>
            </w:r>
          </w:p>
          <w:p w14:paraId="6CA5C20E" w14:textId="77777777" w:rsidR="004816BE" w:rsidRPr="00237E1D" w:rsidRDefault="004816BE" w:rsidP="003C4F04">
            <w:pPr>
              <w:rPr>
                <w:color w:val="FFFFFF" w:themeColor="background1"/>
              </w:rPr>
            </w:pPr>
            <w:r w:rsidRPr="00237E1D">
              <w:rPr>
                <w:color w:val="FFFFFF" w:themeColor="background1"/>
              </w:rPr>
              <w:tab/>
            </w:r>
            <w:r>
              <w:rPr>
                <w:color w:val="FFFFFF" w:themeColor="background1"/>
              </w:rPr>
              <w:t>17.1</w:t>
            </w:r>
            <w:r w:rsidRPr="00237E1D">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2E1293E4"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8" behindDoc="0" locked="0" layoutInCell="1" allowOverlap="1" wp14:anchorId="0D027ABD" wp14:editId="332B54C4">
                      <wp:simplePos x="0" y="0"/>
                      <wp:positionH relativeFrom="column">
                        <wp:posOffset>-13970</wp:posOffset>
                      </wp:positionH>
                      <wp:positionV relativeFrom="paragraph">
                        <wp:posOffset>306070</wp:posOffset>
                      </wp:positionV>
                      <wp:extent cx="314325" cy="219075"/>
                      <wp:effectExtent l="38100" t="0" r="28575" b="47625"/>
                      <wp:wrapNone/>
                      <wp:docPr id="135815012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0580A" id="Arrow: Up 1" o:spid="_x0000_s1026" type="#_x0000_t68" alt="Up" style="position:absolute;margin-left:-1.1pt;margin-top:24.1pt;width:24.75pt;height:17.25pt;rotation:180;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6,907 mispers</w:t>
            </w:r>
          </w:p>
          <w:p w14:paraId="19C04E99" w14:textId="77777777" w:rsidR="004816BE" w:rsidRPr="00237E1D" w:rsidRDefault="004816BE" w:rsidP="003C4F04">
            <w:pPr>
              <w:jc w:val="center"/>
              <w:rPr>
                <w:color w:val="FFFFFF" w:themeColor="background1"/>
              </w:rPr>
            </w:pPr>
            <w:r>
              <w:rPr>
                <w:color w:val="FFFFFF" w:themeColor="background1"/>
              </w:rPr>
              <w:t>-13.3</w:t>
            </w:r>
            <w:r w:rsidRPr="00237E1D">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019402FA" w14:textId="2AF2BCB5"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9" behindDoc="0" locked="0" layoutInCell="1" allowOverlap="1" wp14:anchorId="205FAE35" wp14:editId="11AAFA47">
                      <wp:simplePos x="0" y="0"/>
                      <wp:positionH relativeFrom="column">
                        <wp:posOffset>-2540</wp:posOffset>
                      </wp:positionH>
                      <wp:positionV relativeFrom="paragraph">
                        <wp:posOffset>306070</wp:posOffset>
                      </wp:positionV>
                      <wp:extent cx="314325" cy="219075"/>
                      <wp:effectExtent l="38100" t="19050" r="28575" b="28575"/>
                      <wp:wrapNone/>
                      <wp:docPr id="880771458"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62387" id="Arrow: Up 1" o:spid="_x0000_s1026" type="#_x0000_t68" alt="Up" style="position:absolute;margin-left:-.2pt;margin-top:24.1pt;width:24.75pt;height:17.2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122,73</w:t>
            </w:r>
            <w:r w:rsidR="00F03BC2">
              <w:rPr>
                <w:color w:val="FFFFFF" w:themeColor="background1"/>
              </w:rPr>
              <w:t>5</w:t>
            </w:r>
            <w:r>
              <w:rPr>
                <w:color w:val="FFFFFF" w:themeColor="background1"/>
              </w:rPr>
              <w:t xml:space="preserve"> inc.</w:t>
            </w:r>
          </w:p>
          <w:p w14:paraId="2642D78F" w14:textId="77777777" w:rsidR="004816BE" w:rsidRPr="00237E1D" w:rsidRDefault="004816BE" w:rsidP="003C4F04">
            <w:pPr>
              <w:ind w:firstLine="720"/>
              <w:rPr>
                <w:color w:val="FFFFFF" w:themeColor="background1"/>
              </w:rPr>
            </w:pPr>
            <w:r>
              <w:rPr>
                <w:color w:val="FFFFFF" w:themeColor="background1"/>
              </w:rPr>
              <w:t>0.5</w:t>
            </w:r>
            <w:r w:rsidRPr="00237E1D">
              <w:rPr>
                <w:color w:val="FFFFFF" w:themeColor="background1"/>
              </w:rPr>
              <w:t>%</w:t>
            </w:r>
          </w:p>
        </w:tc>
        <w:tc>
          <w:tcPr>
            <w:tcW w:w="1985"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6D545F44"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86" behindDoc="0" locked="0" layoutInCell="1" allowOverlap="1" wp14:anchorId="67503328" wp14:editId="0AC77CAC">
                      <wp:simplePos x="0" y="0"/>
                      <wp:positionH relativeFrom="column">
                        <wp:posOffset>-10160</wp:posOffset>
                      </wp:positionH>
                      <wp:positionV relativeFrom="paragraph">
                        <wp:posOffset>315595</wp:posOffset>
                      </wp:positionV>
                      <wp:extent cx="314325" cy="219075"/>
                      <wp:effectExtent l="38100" t="19050" r="28575" b="28575"/>
                      <wp:wrapNone/>
                      <wp:docPr id="1082249813"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AD59DE" id="Arrow: Up 1" o:spid="_x0000_s1026" type="#_x0000_t68" alt="Down" style="position:absolute;margin-left:-.8pt;margin-top:24.85pt;width:24.75pt;height:17.2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81,253 cas</w:t>
            </w:r>
            <w:r w:rsidRPr="00237E1D">
              <w:rPr>
                <w:color w:val="FFFFFF" w:themeColor="background1"/>
              </w:rPr>
              <w:t>es</w:t>
            </w:r>
          </w:p>
          <w:p w14:paraId="58D7A2A2" w14:textId="77777777" w:rsidR="004816BE" w:rsidRPr="00237E1D" w:rsidRDefault="004816BE" w:rsidP="003C4F04">
            <w:pPr>
              <w:ind w:firstLine="720"/>
              <w:rPr>
                <w:color w:val="FFFFFF" w:themeColor="background1"/>
              </w:rPr>
            </w:pPr>
            <w:r>
              <w:rPr>
                <w:color w:val="FFFFFF" w:themeColor="background1"/>
              </w:rPr>
              <w:t>25.0</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96B24"/>
          </w:tcPr>
          <w:p w14:paraId="63870AE0" w14:textId="77777777" w:rsidR="004816BE" w:rsidRPr="00237E1D" w:rsidRDefault="004816BE" w:rsidP="003C4F04">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90" behindDoc="0" locked="0" layoutInCell="1" allowOverlap="1" wp14:anchorId="22067E9F" wp14:editId="6E344CB6">
                      <wp:simplePos x="0" y="0"/>
                      <wp:positionH relativeFrom="column">
                        <wp:posOffset>-8255</wp:posOffset>
                      </wp:positionH>
                      <wp:positionV relativeFrom="paragraph">
                        <wp:posOffset>315595</wp:posOffset>
                      </wp:positionV>
                      <wp:extent cx="314325" cy="219075"/>
                      <wp:effectExtent l="38100" t="19050" r="28575" b="28575"/>
                      <wp:wrapNone/>
                      <wp:docPr id="1336393069"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E998C" id="Arrow: Up 1" o:spid="_x0000_s1026" type="#_x0000_t68" alt="Up" style="position:absolute;margin-left:-.65pt;margin-top:24.85pt;width:24.75pt;height:17.2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rPr>
                <w:color w:val="FFFFFF" w:themeColor="background1"/>
              </w:rPr>
              <w:t>99.0%</w:t>
            </w:r>
          </w:p>
          <w:p w14:paraId="4EB90E0A" w14:textId="77777777" w:rsidR="004816BE" w:rsidRPr="00237E1D" w:rsidRDefault="004816BE" w:rsidP="003C4F04">
            <w:pPr>
              <w:rPr>
                <w:color w:val="FFFFFF" w:themeColor="background1"/>
              </w:rPr>
            </w:pPr>
            <w:r>
              <w:rPr>
                <w:color w:val="FFFFFF" w:themeColor="background1"/>
              </w:rPr>
              <w:t xml:space="preserve">         0.1</w:t>
            </w:r>
            <w:r w:rsidRPr="00237E1D">
              <w:rPr>
                <w:color w:val="FFFFFF" w:themeColor="background1"/>
              </w:rPr>
              <w:t>%</w:t>
            </w:r>
            <w:r>
              <w:rPr>
                <w:color w:val="FFFFFF" w:themeColor="background1"/>
              </w:rPr>
              <w:t xml:space="preserve"> pts</w:t>
            </w:r>
          </w:p>
        </w:tc>
      </w:tr>
    </w:tbl>
    <w:p w14:paraId="03D2F2F5" w14:textId="77777777" w:rsidR="005878A5" w:rsidRDefault="005878A5" w:rsidP="005878A5">
      <w:pPr>
        <w:spacing w:before="0" w:after="0"/>
      </w:pP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28"/>
        <w:gridCol w:w="2041"/>
        <w:gridCol w:w="1984"/>
      </w:tblGrid>
      <w:tr w:rsidR="00AD7F4C" w14:paraId="225C301F" w14:textId="77777777" w:rsidTr="00517601">
        <w:tc>
          <w:tcPr>
            <w:tcW w:w="1984" w:type="dxa"/>
            <w:tcBorders>
              <w:bottom w:val="single" w:sz="8" w:space="0" w:color="FFFFFF" w:themeColor="background1"/>
              <w:right w:val="single" w:sz="12" w:space="0" w:color="FFFFFF" w:themeColor="background1"/>
            </w:tcBorders>
            <w:shd w:val="clear" w:color="auto" w:fill="196B24"/>
          </w:tcPr>
          <w:p w14:paraId="2E814FA0" w14:textId="77777777" w:rsidR="00AD7F4C" w:rsidRPr="00237E1D" w:rsidRDefault="00AD7F4C" w:rsidP="00517601">
            <w:pPr>
              <w:spacing w:after="0"/>
              <w:jc w:val="center"/>
              <w:rPr>
                <w:b/>
                <w:bCs/>
                <w:noProof/>
                <w:color w:val="FFFFFF" w:themeColor="background1"/>
              </w:rPr>
            </w:pPr>
            <w:r>
              <w:rPr>
                <w:b/>
                <w:bCs/>
                <w:noProof/>
                <w:color w:val="FFFFFF" w:themeColor="background1"/>
              </w:rPr>
              <w:t>Group 6 Antisocial Offences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31D87D60" w14:textId="77777777" w:rsidR="00AD7F4C" w:rsidRPr="00237E1D" w:rsidRDefault="00AD7F4C" w:rsidP="00517601">
            <w:pPr>
              <w:spacing w:after="0"/>
              <w:jc w:val="center"/>
              <w:rPr>
                <w:b/>
                <w:bCs/>
                <w:noProof/>
                <w:color w:val="FFFFFF" w:themeColor="background1"/>
              </w:rPr>
            </w:pPr>
            <w:r>
              <w:rPr>
                <w:b/>
                <w:bCs/>
                <w:noProof/>
                <w:color w:val="FFFFFF" w:themeColor="background1"/>
              </w:rPr>
              <w:t>Antisocial Behaviour &amp; Disorder</w:t>
            </w:r>
          </w:p>
        </w:tc>
        <w:tc>
          <w:tcPr>
            <w:tcW w:w="1928"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594E93F4" w14:textId="77777777" w:rsidR="00AD7F4C" w:rsidRPr="00237E1D" w:rsidRDefault="00AD7F4C" w:rsidP="00517601">
            <w:pPr>
              <w:spacing w:after="0"/>
              <w:jc w:val="center"/>
              <w:rPr>
                <w:b/>
                <w:bCs/>
                <w:noProof/>
                <w:color w:val="FFFFFF" w:themeColor="background1"/>
              </w:rPr>
            </w:pPr>
            <w:r>
              <w:rPr>
                <w:b/>
                <w:bCs/>
                <w:noProof/>
                <w:color w:val="FFFFFF" w:themeColor="background1"/>
              </w:rPr>
              <w:t>Road Safety Fatalities on our roads</w:t>
            </w:r>
          </w:p>
        </w:tc>
        <w:tc>
          <w:tcPr>
            <w:tcW w:w="2041" w:type="dxa"/>
            <w:tcBorders>
              <w:left w:val="single" w:sz="12" w:space="0" w:color="FFFFFF" w:themeColor="background1"/>
              <w:bottom w:val="single" w:sz="8" w:space="0" w:color="FFFFFF" w:themeColor="background1"/>
              <w:right w:val="single" w:sz="12" w:space="0" w:color="FFFFFF" w:themeColor="background1"/>
            </w:tcBorders>
            <w:shd w:val="clear" w:color="auto" w:fill="196B24"/>
          </w:tcPr>
          <w:p w14:paraId="368EEDCE" w14:textId="77777777" w:rsidR="00AD7F4C" w:rsidRPr="00237E1D" w:rsidRDefault="00AD7F4C" w:rsidP="00517601">
            <w:pPr>
              <w:spacing w:after="0"/>
              <w:jc w:val="center"/>
              <w:rPr>
                <w:b/>
                <w:bCs/>
                <w:noProof/>
                <w:color w:val="FFFFFF" w:themeColor="background1"/>
              </w:rPr>
            </w:pPr>
            <w:r>
              <w:rPr>
                <w:b/>
                <w:bCs/>
                <w:noProof/>
                <w:color w:val="FFFFFF" w:themeColor="background1"/>
              </w:rPr>
              <w:t>Group 8</w:t>
            </w:r>
            <w:r>
              <w:rPr>
                <w:b/>
                <w:bCs/>
                <w:noProof/>
                <w:color w:val="FFFFFF" w:themeColor="background1"/>
              </w:rPr>
              <w:br/>
              <w:t>Road Traffic Offences</w:t>
            </w:r>
          </w:p>
        </w:tc>
        <w:tc>
          <w:tcPr>
            <w:tcW w:w="1984" w:type="dxa"/>
            <w:tcBorders>
              <w:left w:val="single" w:sz="12" w:space="0" w:color="FFFFFF" w:themeColor="background1"/>
              <w:bottom w:val="single" w:sz="8" w:space="0" w:color="FFFFFF" w:themeColor="background1"/>
            </w:tcBorders>
            <w:shd w:val="clear" w:color="auto" w:fill="196B24"/>
          </w:tcPr>
          <w:p w14:paraId="2445BC79" w14:textId="77777777" w:rsidR="00AD7F4C" w:rsidRPr="00237E1D" w:rsidRDefault="00AD7F4C" w:rsidP="00517601">
            <w:pPr>
              <w:jc w:val="center"/>
              <w:rPr>
                <w:b/>
                <w:bCs/>
                <w:noProof/>
                <w:color w:val="FFFFFF" w:themeColor="background1"/>
              </w:rPr>
            </w:pPr>
            <w:r>
              <w:rPr>
                <w:b/>
                <w:bCs/>
                <w:noProof/>
                <w:color w:val="FFFFFF" w:themeColor="background1"/>
              </w:rPr>
              <w:t>Positive Drug Wipes &amp; Safety Camera Dets</w:t>
            </w:r>
          </w:p>
        </w:tc>
      </w:tr>
      <w:tr w:rsidR="00AD7F4C" w14:paraId="1E06F752" w14:textId="77777777" w:rsidTr="00517601">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196B24"/>
          </w:tcPr>
          <w:p w14:paraId="45AED7A6"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1" behindDoc="0" locked="0" layoutInCell="1" allowOverlap="1" wp14:anchorId="2078A0FD" wp14:editId="4EC4D8BC">
                      <wp:simplePos x="0" y="0"/>
                      <wp:positionH relativeFrom="column">
                        <wp:posOffset>52070</wp:posOffset>
                      </wp:positionH>
                      <wp:positionV relativeFrom="paragraph">
                        <wp:posOffset>296545</wp:posOffset>
                      </wp:positionV>
                      <wp:extent cx="314325" cy="219075"/>
                      <wp:effectExtent l="38100" t="19050" r="28575" b="28575"/>
                      <wp:wrapNone/>
                      <wp:docPr id="1937768278"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01AB8" id="Arrow: Up 1" o:spid="_x0000_s1026" type="#_x0000_t68" alt="Down" style="position:absolute;margin-left:4.1pt;margin-top:23.35pt;width:24.75pt;height:1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" adj="10800" fillcolor="window" strokecolor="#223f59" strokeweight="1pt"/>
                  </w:pict>
                </mc:Fallback>
              </mc:AlternateContent>
            </w:r>
            <w:r>
              <w:rPr>
                <w:color w:val="FFFFFF" w:themeColor="background1"/>
              </w:rPr>
              <w:t>28,229 offences</w:t>
            </w:r>
          </w:p>
          <w:p w14:paraId="5F93D298" w14:textId="77777777" w:rsidR="00AD7F4C" w:rsidRPr="00237E1D" w:rsidRDefault="00AD7F4C" w:rsidP="00517601">
            <w:pPr>
              <w:rPr>
                <w:noProof/>
                <w:color w:val="FFFFFF" w:themeColor="background1"/>
              </w:rPr>
            </w:pPr>
            <w:r w:rsidRPr="00237E1D">
              <w:rPr>
                <w:color w:val="FFFFFF" w:themeColor="background1"/>
              </w:rPr>
              <w:tab/>
            </w:r>
            <w:r>
              <w:rPr>
                <w:color w:val="FFFFFF" w:themeColor="background1"/>
              </w:rPr>
              <w:t>10.7</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45030283"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2" behindDoc="0" locked="0" layoutInCell="1" allowOverlap="1" wp14:anchorId="70BB816E" wp14:editId="646150B2">
                      <wp:simplePos x="0" y="0"/>
                      <wp:positionH relativeFrom="column">
                        <wp:posOffset>-13970</wp:posOffset>
                      </wp:positionH>
                      <wp:positionV relativeFrom="paragraph">
                        <wp:posOffset>306070</wp:posOffset>
                      </wp:positionV>
                      <wp:extent cx="314325" cy="219075"/>
                      <wp:effectExtent l="38100" t="0" r="28575" b="47625"/>
                      <wp:wrapNone/>
                      <wp:docPr id="196236234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FDA85" id="Arrow: Up 1" o:spid="_x0000_s1026" type="#_x0000_t68" alt="Up" style="position:absolute;margin-left:-1.1pt;margin-top:24.1pt;width:24.75pt;height:17.25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 xml:space="preserve"> 138,470 ASB</w:t>
            </w:r>
          </w:p>
          <w:p w14:paraId="1F8427A5" w14:textId="77777777" w:rsidR="00AD7F4C" w:rsidRPr="00237E1D" w:rsidRDefault="00AD7F4C" w:rsidP="00517601">
            <w:pPr>
              <w:jc w:val="center"/>
              <w:rPr>
                <w:noProof/>
                <w:color w:val="FFFFFF" w:themeColor="background1"/>
              </w:rPr>
            </w:pPr>
            <w:r>
              <w:rPr>
                <w:color w:val="FFFFFF" w:themeColor="background1"/>
              </w:rPr>
              <w:t>-0.6</w:t>
            </w:r>
            <w:r w:rsidRPr="00237E1D">
              <w:rPr>
                <w:color w:val="FFFFFF" w:themeColor="background1"/>
              </w:rPr>
              <w:t>%</w:t>
            </w:r>
          </w:p>
        </w:tc>
        <w:tc>
          <w:tcPr>
            <w:tcW w:w="1928"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2BF1A66E"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3" behindDoc="0" locked="0" layoutInCell="1" allowOverlap="1" wp14:anchorId="0461A0B3" wp14:editId="305E92F3">
                      <wp:simplePos x="0" y="0"/>
                      <wp:positionH relativeFrom="column">
                        <wp:posOffset>-2540</wp:posOffset>
                      </wp:positionH>
                      <wp:positionV relativeFrom="paragraph">
                        <wp:posOffset>306070</wp:posOffset>
                      </wp:positionV>
                      <wp:extent cx="314325" cy="219075"/>
                      <wp:effectExtent l="38100" t="19050" r="28575" b="28575"/>
                      <wp:wrapNone/>
                      <wp:docPr id="135896861"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1307D" id="Arrow: Up 1" o:spid="_x0000_s1026" type="#_x0000_t68" alt="Up" style="position:absolute;margin-left:-.2pt;margin-top:24.1pt;width:24.75pt;height:17.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 xml:space="preserve"> 92 people</w:t>
            </w:r>
          </w:p>
          <w:p w14:paraId="708A9A5B" w14:textId="77777777" w:rsidR="00AD7F4C" w:rsidRPr="00237E1D" w:rsidRDefault="00AD7F4C" w:rsidP="00517601">
            <w:pPr>
              <w:rPr>
                <w:noProof/>
                <w:color w:val="FFFFFF" w:themeColor="background1"/>
              </w:rPr>
            </w:pPr>
            <w:r>
              <w:rPr>
                <w:color w:val="FFFFFF" w:themeColor="background1"/>
              </w:rPr>
              <w:t xml:space="preserve">          10.8</w:t>
            </w:r>
            <w:r w:rsidRPr="00237E1D">
              <w:rPr>
                <w:color w:val="FFFFFF" w:themeColor="background1"/>
              </w:rPr>
              <w:t>%</w:t>
            </w:r>
          </w:p>
        </w:tc>
        <w:tc>
          <w:tcPr>
            <w:tcW w:w="2041"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96B24"/>
          </w:tcPr>
          <w:p w14:paraId="10509171"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4" behindDoc="0" locked="0" layoutInCell="1" allowOverlap="1" wp14:anchorId="3738364A" wp14:editId="02878FB3">
                      <wp:simplePos x="0" y="0"/>
                      <wp:positionH relativeFrom="column">
                        <wp:posOffset>-10160</wp:posOffset>
                      </wp:positionH>
                      <wp:positionV relativeFrom="paragraph">
                        <wp:posOffset>315595</wp:posOffset>
                      </wp:positionV>
                      <wp:extent cx="314325" cy="219075"/>
                      <wp:effectExtent l="38100" t="19050" r="28575" b="28575"/>
                      <wp:wrapNone/>
                      <wp:docPr id="776013589"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A85B0" id="Arrow: Up 1" o:spid="_x0000_s1026" type="#_x0000_t68" alt="Down" style="position:absolute;margin-left:-.8pt;margin-top:24.85pt;width:24.75pt;height:17.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 xml:space="preserve"> 65,878 offences</w:t>
            </w:r>
          </w:p>
          <w:p w14:paraId="7DE8639B" w14:textId="77777777" w:rsidR="00AD7F4C" w:rsidRPr="00237E1D" w:rsidRDefault="00AD7F4C" w:rsidP="00517601">
            <w:pPr>
              <w:ind w:firstLine="720"/>
              <w:rPr>
                <w:noProof/>
                <w:color w:val="FFFFFF" w:themeColor="background1"/>
              </w:rPr>
            </w:pPr>
            <w:r>
              <w:rPr>
                <w:color w:val="FFFFFF" w:themeColor="background1"/>
              </w:rPr>
              <w:t>19.1</w:t>
            </w:r>
            <w:r w:rsidRPr="00237E1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96B24"/>
          </w:tcPr>
          <w:p w14:paraId="57421D0E"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9" behindDoc="0" locked="0" layoutInCell="1" allowOverlap="1" wp14:anchorId="25A07F33" wp14:editId="193C91B6">
                      <wp:simplePos x="0" y="0"/>
                      <wp:positionH relativeFrom="column">
                        <wp:posOffset>-10160</wp:posOffset>
                      </wp:positionH>
                      <wp:positionV relativeFrom="paragraph">
                        <wp:posOffset>315595</wp:posOffset>
                      </wp:positionV>
                      <wp:extent cx="314325" cy="219075"/>
                      <wp:effectExtent l="38100" t="19050" r="28575" b="28575"/>
                      <wp:wrapNone/>
                      <wp:docPr id="925356493"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8F59F" id="Arrow: Up 1" o:spid="_x0000_s1026" type="#_x0000_t68" alt="Down" style="position:absolute;margin-left:-.8pt;margin-top:24.85pt;width:24.75pt;height:17.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 xml:space="preserve"> 1,894 positive</w:t>
            </w:r>
          </w:p>
          <w:p w14:paraId="1E6183B8" w14:textId="77777777" w:rsidR="00AD7F4C" w:rsidRPr="00237E1D" w:rsidRDefault="00AD7F4C" w:rsidP="00517601">
            <w:pPr>
              <w:ind w:firstLine="720"/>
              <w:rPr>
                <w:noProof/>
                <w:color w:val="FFFFFF" w:themeColor="background1"/>
              </w:rPr>
            </w:pPr>
            <w:r>
              <w:rPr>
                <w:color w:val="FFFFFF" w:themeColor="background1"/>
              </w:rPr>
              <w:t>26.6</w:t>
            </w:r>
            <w:r w:rsidRPr="00237E1D">
              <w:rPr>
                <w:color w:val="FFFFFF" w:themeColor="background1"/>
              </w:rPr>
              <w:t>%</w:t>
            </w:r>
          </w:p>
        </w:tc>
      </w:tr>
      <w:tr w:rsidR="00AD7F4C" w14:paraId="36F59E8A" w14:textId="77777777" w:rsidTr="00517601">
        <w:tc>
          <w:tcPr>
            <w:tcW w:w="1984" w:type="dxa"/>
            <w:tcBorders>
              <w:top w:val="single" w:sz="8" w:space="0" w:color="FFFFFF" w:themeColor="background1"/>
              <w:right w:val="single" w:sz="12" w:space="0" w:color="FFFFFF" w:themeColor="background1"/>
            </w:tcBorders>
            <w:shd w:val="clear" w:color="auto" w:fill="196B24"/>
          </w:tcPr>
          <w:p w14:paraId="0C4AD797"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8" behindDoc="0" locked="0" layoutInCell="1" allowOverlap="1" wp14:anchorId="43AEB6DA" wp14:editId="20A9AAD4">
                      <wp:simplePos x="0" y="0"/>
                      <wp:positionH relativeFrom="column">
                        <wp:posOffset>52070</wp:posOffset>
                      </wp:positionH>
                      <wp:positionV relativeFrom="paragraph">
                        <wp:posOffset>296545</wp:posOffset>
                      </wp:positionV>
                      <wp:extent cx="314325" cy="219075"/>
                      <wp:effectExtent l="38100" t="0" r="28575" b="47625"/>
                      <wp:wrapNone/>
                      <wp:docPr id="2093101574"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394D8" id="Arrow: Up 1" o:spid="_x0000_s1026" type="#_x0000_t68" alt="Down" style="position:absolute;margin-left:4.1pt;margin-top:23.35pt;width:24.75pt;height:17.25pt;rotation:180;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rPr>
                <w:noProof/>
                <w:color w:val="FFFFFF" w:themeColor="background1"/>
              </w:rPr>
              <w:t>78.5% det rate</w:t>
            </w:r>
          </w:p>
          <w:p w14:paraId="2E3D6451" w14:textId="77777777" w:rsidR="00AD7F4C" w:rsidRPr="00237E1D" w:rsidRDefault="00AD7F4C" w:rsidP="00517601">
            <w:pPr>
              <w:rPr>
                <w:noProof/>
                <w:color w:val="FFFFFF" w:themeColor="background1"/>
              </w:rPr>
            </w:pPr>
            <w:r w:rsidRPr="00237E1D">
              <w:rPr>
                <w:color w:val="FFFFFF" w:themeColor="background1"/>
              </w:rPr>
              <w:tab/>
            </w:r>
            <w:r>
              <w:rPr>
                <w:color w:val="FFFFFF" w:themeColor="background1"/>
              </w:rPr>
              <w:t>-0.6</w:t>
            </w:r>
            <w:r w:rsidRPr="00237E1D">
              <w:rPr>
                <w:noProof/>
                <w:color w:val="FFFFFF" w:themeColor="background1"/>
              </w:rPr>
              <w:t>%</w:t>
            </w:r>
            <w:r>
              <w:rPr>
                <w:noProof/>
                <w:color w:val="FFFFFF" w:themeColor="background1"/>
              </w:rPr>
              <w:t xml:space="preserve">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043E5491"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5" behindDoc="0" locked="0" layoutInCell="1" allowOverlap="1" wp14:anchorId="280B547E" wp14:editId="55B53891">
                      <wp:simplePos x="0" y="0"/>
                      <wp:positionH relativeFrom="column">
                        <wp:posOffset>-23495</wp:posOffset>
                      </wp:positionH>
                      <wp:positionV relativeFrom="paragraph">
                        <wp:posOffset>308610</wp:posOffset>
                      </wp:positionV>
                      <wp:extent cx="314325" cy="219075"/>
                      <wp:effectExtent l="38100" t="0" r="28575" b="47625"/>
                      <wp:wrapNone/>
                      <wp:docPr id="1740250530"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4047A" id="Arrow: Up 1" o:spid="_x0000_s1026" type="#_x0000_t68" alt="Down" style="position:absolute;margin-left:-1.85pt;margin-top:24.3pt;width:24.75pt;height:17.25pt;rotation:180;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" adj="10800" fillcolor="window" strokecolor="#223f59" strokeweight="1pt"/>
                  </w:pict>
                </mc:Fallback>
              </mc:AlternateContent>
            </w:r>
            <w:r>
              <w:rPr>
                <w:color w:val="FFFFFF" w:themeColor="background1"/>
              </w:rPr>
              <w:t xml:space="preserve"> 96,628 disorder</w:t>
            </w:r>
          </w:p>
          <w:p w14:paraId="663EE9AF" w14:textId="77777777" w:rsidR="00AD7F4C" w:rsidRPr="00237E1D" w:rsidRDefault="00AD7F4C" w:rsidP="00517601">
            <w:pPr>
              <w:jc w:val="center"/>
              <w:rPr>
                <w:noProof/>
                <w:color w:val="FFFFFF" w:themeColor="background1"/>
              </w:rPr>
            </w:pPr>
            <w:r>
              <w:rPr>
                <w:color w:val="FFFFFF" w:themeColor="background1"/>
              </w:rPr>
              <w:t>-0.6</w:t>
            </w:r>
            <w:r w:rsidRPr="00237E1D">
              <w:rPr>
                <w:color w:val="FFFFFF" w:themeColor="background1"/>
              </w:rPr>
              <w:t>%</w:t>
            </w:r>
          </w:p>
        </w:tc>
        <w:tc>
          <w:tcPr>
            <w:tcW w:w="1928"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1697C275"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6" behindDoc="0" locked="0" layoutInCell="1" allowOverlap="1" wp14:anchorId="244807DE" wp14:editId="7A62866B">
                      <wp:simplePos x="0" y="0"/>
                      <wp:positionH relativeFrom="column">
                        <wp:posOffset>-12065</wp:posOffset>
                      </wp:positionH>
                      <wp:positionV relativeFrom="paragraph">
                        <wp:posOffset>308610</wp:posOffset>
                      </wp:positionV>
                      <wp:extent cx="314325" cy="219075"/>
                      <wp:effectExtent l="38100" t="0" r="28575" b="47625"/>
                      <wp:wrapNone/>
                      <wp:docPr id="79781467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FE4DD1" id="Arrow: Up 1" o:spid="_x0000_s1026" type="#_x0000_t68" alt="Up" style="position:absolute;margin-left:-.95pt;margin-top:24.3pt;width:24.75pt;height:17.25pt;rotation:180;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" adj="10800" fillcolor="window" strokecolor="#223f59" strokeweight="1pt"/>
                  </w:pict>
                </mc:Fallback>
              </mc:AlternateContent>
            </w:r>
            <w:r>
              <w:rPr>
                <w:color w:val="FFFFFF" w:themeColor="background1"/>
              </w:rPr>
              <w:t>1 child</w:t>
            </w:r>
          </w:p>
          <w:p w14:paraId="570BBAD9" w14:textId="77777777" w:rsidR="00AD7F4C" w:rsidRPr="00237E1D" w:rsidRDefault="00AD7F4C" w:rsidP="00517601">
            <w:pPr>
              <w:rPr>
                <w:noProof/>
                <w:color w:val="FFFFFF" w:themeColor="background1"/>
              </w:rPr>
            </w:pPr>
            <w:r>
              <w:rPr>
                <w:color w:val="FFFFFF" w:themeColor="background1"/>
              </w:rPr>
              <w:t xml:space="preserve">         -50.0</w:t>
            </w:r>
            <w:r w:rsidRPr="00237E1D">
              <w:rPr>
                <w:color w:val="FFFFFF" w:themeColor="background1"/>
              </w:rPr>
              <w:t>%</w:t>
            </w:r>
          </w:p>
        </w:tc>
        <w:tc>
          <w:tcPr>
            <w:tcW w:w="2041" w:type="dxa"/>
            <w:tcBorders>
              <w:top w:val="single" w:sz="8" w:space="0" w:color="FFFFFF" w:themeColor="background1"/>
              <w:left w:val="single" w:sz="12" w:space="0" w:color="FFFFFF" w:themeColor="background1"/>
              <w:right w:val="single" w:sz="12" w:space="0" w:color="FFFFFF" w:themeColor="background1"/>
            </w:tcBorders>
            <w:shd w:val="clear" w:color="auto" w:fill="196B24"/>
          </w:tcPr>
          <w:p w14:paraId="780C0772"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47" behindDoc="0" locked="0" layoutInCell="1" allowOverlap="1" wp14:anchorId="30CBAE9C" wp14:editId="10F65457">
                      <wp:simplePos x="0" y="0"/>
                      <wp:positionH relativeFrom="column">
                        <wp:posOffset>-635</wp:posOffset>
                      </wp:positionH>
                      <wp:positionV relativeFrom="paragraph">
                        <wp:posOffset>311150</wp:posOffset>
                      </wp:positionV>
                      <wp:extent cx="314325" cy="219075"/>
                      <wp:effectExtent l="0" t="47625" r="38100" b="57150"/>
                      <wp:wrapNone/>
                      <wp:docPr id="366235187" name="Arrow: Up 1" descr="Up"/>
                      <wp:cNvGraphicFramePr/>
                      <a:graphic xmlns:a="http://schemas.openxmlformats.org/drawingml/2006/main">
                        <a:graphicData uri="http://schemas.microsoft.com/office/word/2010/wordprocessingShape">
                          <wps:wsp>
                            <wps:cNvSpPr/>
                            <wps:spPr>
                              <a:xfrm rot="54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EFDBB" id="Arrow: Up 1" o:spid="_x0000_s1026" type="#_x0000_t68" alt="Up" style="position:absolute;margin-left:-.05pt;margin-top:24.5pt;width:24.75pt;height:17.25pt;rotation:90;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" adj="10800" fillcolor="window" strokecolor="#223f59" strokeweight="1pt"/>
                  </w:pict>
                </mc:Fallback>
              </mc:AlternateContent>
            </w:r>
            <w:r>
              <w:rPr>
                <w:color w:val="FFFFFF" w:themeColor="background1"/>
              </w:rPr>
              <w:t>87.3</w:t>
            </w:r>
            <w:r w:rsidRPr="00237E1D">
              <w:rPr>
                <w:color w:val="FFFFFF" w:themeColor="background1"/>
              </w:rPr>
              <w:t>% det rate</w:t>
            </w:r>
          </w:p>
          <w:p w14:paraId="0086A0D8" w14:textId="77777777" w:rsidR="00AD7F4C" w:rsidRPr="00237E1D" w:rsidRDefault="00AD7F4C" w:rsidP="00517601">
            <w:pPr>
              <w:rPr>
                <w:noProof/>
                <w:color w:val="FFFFFF" w:themeColor="background1"/>
              </w:rPr>
            </w:pPr>
            <w:r>
              <w:rPr>
                <w:color w:val="FFFFFF" w:themeColor="background1"/>
              </w:rPr>
              <w:t xml:space="preserve">         no change</w:t>
            </w:r>
          </w:p>
        </w:tc>
        <w:tc>
          <w:tcPr>
            <w:tcW w:w="1984" w:type="dxa"/>
            <w:tcBorders>
              <w:top w:val="single" w:sz="8" w:space="0" w:color="FFFFFF" w:themeColor="background1"/>
              <w:left w:val="single" w:sz="12" w:space="0" w:color="FFFFFF" w:themeColor="background1"/>
            </w:tcBorders>
            <w:shd w:val="clear" w:color="auto" w:fill="196B24"/>
          </w:tcPr>
          <w:p w14:paraId="47D53ED5" w14:textId="77777777" w:rsidR="00AD7F4C" w:rsidRPr="00237E1D" w:rsidRDefault="00AD7F4C" w:rsidP="00517601">
            <w:pPr>
              <w:jc w:val="center"/>
              <w:rPr>
                <w:color w:val="FFFFFF" w:themeColor="background1"/>
              </w:rPr>
            </w:pPr>
            <w:r w:rsidRPr="00237E1D">
              <w:rPr>
                <w:noProof/>
                <w:color w:val="FFFFFF" w:themeColor="background1"/>
              </w:rPr>
              <mc:AlternateContent>
                <mc:Choice Requires="wps">
                  <w:drawing>
                    <wp:anchor distT="0" distB="0" distL="114300" distR="114300" simplePos="0" relativeHeight="251658250" behindDoc="0" locked="0" layoutInCell="1" allowOverlap="1" wp14:anchorId="550E53E3" wp14:editId="21B513D8">
                      <wp:simplePos x="0" y="0"/>
                      <wp:positionH relativeFrom="column">
                        <wp:posOffset>-635</wp:posOffset>
                      </wp:positionH>
                      <wp:positionV relativeFrom="paragraph">
                        <wp:posOffset>311150</wp:posOffset>
                      </wp:positionV>
                      <wp:extent cx="314325" cy="219075"/>
                      <wp:effectExtent l="38100" t="19050" r="28575" b="28575"/>
                      <wp:wrapNone/>
                      <wp:docPr id="873146358"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14D5C" id="Arrow: Up 1" o:spid="_x0000_s1026" type="#_x0000_t68" alt="Up" style="position:absolute;margin-left:-.05pt;margin-top:24.5pt;width:24.75pt;height:17.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" adj="10800" fillcolor="window" strokecolor="#223f59" strokeweight="1pt"/>
                  </w:pict>
                </mc:Fallback>
              </mc:AlternateContent>
            </w:r>
            <w:r>
              <w:rPr>
                <w:color w:val="FFFFFF" w:themeColor="background1"/>
              </w:rPr>
              <w:t xml:space="preserve">47,381 </w:t>
            </w:r>
            <w:r w:rsidRPr="008C59DF">
              <w:rPr>
                <w:color w:val="FFFFFF" w:themeColor="background1"/>
              </w:rPr>
              <w:t>dets</w:t>
            </w:r>
          </w:p>
          <w:p w14:paraId="5AD84C57" w14:textId="77777777" w:rsidR="00AD7F4C" w:rsidRPr="00237E1D" w:rsidRDefault="00AD7F4C" w:rsidP="00517601">
            <w:pPr>
              <w:tabs>
                <w:tab w:val="center" w:pos="866"/>
              </w:tabs>
              <w:jc w:val="center"/>
              <w:rPr>
                <w:noProof/>
                <w:color w:val="FFFFFF" w:themeColor="background1"/>
              </w:rPr>
            </w:pPr>
            <w:r>
              <w:rPr>
                <w:color w:val="FFFFFF" w:themeColor="background1"/>
              </w:rPr>
              <w:t xml:space="preserve"> 7.0</w:t>
            </w:r>
            <w:r w:rsidRPr="00237E1D">
              <w:rPr>
                <w:color w:val="FFFFFF" w:themeColor="background1"/>
              </w:rPr>
              <w:t>%</w:t>
            </w:r>
          </w:p>
        </w:tc>
      </w:tr>
    </w:tbl>
    <w:p w14:paraId="07CFF46B" w14:textId="2A469EB8" w:rsidR="00AD7F4C" w:rsidRPr="005B0A0C" w:rsidRDefault="00AD7F4C" w:rsidP="00AD7F4C">
      <w:pPr>
        <w:pStyle w:val="ExecSummaryHeading"/>
      </w:pPr>
      <w:r>
        <w:t>Less Crime</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245DF6C7" w14:textId="77777777" w:rsidTr="00517601">
        <w:tc>
          <w:tcPr>
            <w:tcW w:w="1984" w:type="dxa"/>
            <w:tcBorders>
              <w:bottom w:val="single" w:sz="4" w:space="0" w:color="FFFFFF" w:themeColor="background1"/>
              <w:right w:val="single" w:sz="12" w:space="0" w:color="FFFFFF" w:themeColor="background1"/>
            </w:tcBorders>
            <w:shd w:val="clear" w:color="auto" w:fill="1F3864" w:themeFill="accent5" w:themeFillShade="80"/>
          </w:tcPr>
          <w:p w14:paraId="4FE07002" w14:textId="77777777" w:rsidR="00AD7F4C" w:rsidRPr="00580AFF" w:rsidRDefault="00AD7F4C" w:rsidP="00517601">
            <w:pPr>
              <w:jc w:val="center"/>
              <w:rPr>
                <w:b/>
                <w:bCs/>
                <w:color w:val="FFFFFF" w:themeColor="background1"/>
              </w:rPr>
            </w:pPr>
            <w:r w:rsidRPr="00580AFF">
              <w:rPr>
                <w:b/>
                <w:bCs/>
                <w:color w:val="FFFFFF" w:themeColor="background1"/>
              </w:rPr>
              <w:t>Group 1</w:t>
            </w:r>
            <w:r>
              <w:rPr>
                <w:b/>
                <w:bCs/>
                <w:color w:val="FFFFFF" w:themeColor="background1"/>
              </w:rPr>
              <w:t xml:space="preserve"> Non sexual crimes of violence</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7035CCF9" w14:textId="77777777" w:rsidR="00AD7F4C" w:rsidRPr="00580AFF" w:rsidRDefault="00AD7F4C" w:rsidP="00517601">
            <w:pPr>
              <w:jc w:val="center"/>
              <w:rPr>
                <w:b/>
                <w:bCs/>
                <w:color w:val="FFFFFF" w:themeColor="background1"/>
              </w:rPr>
            </w:pPr>
            <w:r w:rsidRPr="00580AFF">
              <w:rPr>
                <w:b/>
                <w:bCs/>
                <w:color w:val="FFFFFF" w:themeColor="background1"/>
              </w:rPr>
              <w:t>Group 2</w:t>
            </w:r>
            <w:r>
              <w:rPr>
                <w:b/>
                <w:bCs/>
                <w:color w:val="FFFFFF" w:themeColor="background1"/>
              </w:rPr>
              <w:br/>
              <w:t>Sexual</w:t>
            </w:r>
            <w:r>
              <w:rPr>
                <w:b/>
                <w:bCs/>
                <w:color w:val="FFFFFF" w:themeColor="background1"/>
              </w:rPr>
              <w:br/>
              <w:t>Crimes</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1F3864" w:themeFill="accent5" w:themeFillShade="80"/>
          </w:tcPr>
          <w:p w14:paraId="5B055AE6" w14:textId="77777777" w:rsidR="00AD7F4C" w:rsidRPr="00580AFF" w:rsidRDefault="00AD7F4C" w:rsidP="00517601">
            <w:pPr>
              <w:jc w:val="center"/>
              <w:rPr>
                <w:b/>
                <w:bCs/>
                <w:color w:val="FFFFFF" w:themeColor="background1"/>
              </w:rPr>
            </w:pPr>
            <w:r w:rsidRPr="00580AFF">
              <w:rPr>
                <w:b/>
                <w:bCs/>
                <w:color w:val="FFFFFF" w:themeColor="background1"/>
              </w:rPr>
              <w:t>Group 3</w:t>
            </w:r>
            <w:r>
              <w:rPr>
                <w:b/>
                <w:bCs/>
                <w:color w:val="FFFFFF" w:themeColor="background1"/>
              </w:rPr>
              <w:br/>
              <w:t>Crimes of dishonesty</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777D1FDD" w14:textId="77777777" w:rsidR="00AD7F4C" w:rsidRPr="00580AFF" w:rsidRDefault="00AD7F4C" w:rsidP="00517601">
            <w:pPr>
              <w:jc w:val="center"/>
              <w:rPr>
                <w:b/>
                <w:bCs/>
                <w:color w:val="FFFFFF" w:themeColor="background1"/>
              </w:rPr>
            </w:pPr>
            <w:r w:rsidRPr="00580AFF">
              <w:rPr>
                <w:b/>
                <w:bCs/>
                <w:color w:val="FFFFFF" w:themeColor="background1"/>
              </w:rPr>
              <w:t>Group 4</w:t>
            </w:r>
            <w:r>
              <w:rPr>
                <w:b/>
                <w:bCs/>
                <w:color w:val="FFFFFF" w:themeColor="background1"/>
              </w:rPr>
              <w:br/>
              <w:t xml:space="preserve">Damage &amp; reckless beh. </w:t>
            </w: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163C5A39" w14:textId="77777777" w:rsidR="00AD7F4C" w:rsidRPr="00580AFF" w:rsidRDefault="00AD7F4C" w:rsidP="00517601">
            <w:pPr>
              <w:jc w:val="center"/>
              <w:rPr>
                <w:b/>
                <w:bCs/>
                <w:color w:val="FFFFFF" w:themeColor="background1"/>
              </w:rPr>
            </w:pPr>
            <w:r w:rsidRPr="00580AFF">
              <w:rPr>
                <w:b/>
                <w:bCs/>
                <w:color w:val="FFFFFF" w:themeColor="background1"/>
              </w:rPr>
              <w:t>Group 5</w:t>
            </w:r>
            <w:r>
              <w:rPr>
                <w:b/>
                <w:bCs/>
                <w:color w:val="FFFFFF" w:themeColor="background1"/>
              </w:rPr>
              <w:br/>
              <w:t>Crimes against society</w:t>
            </w:r>
          </w:p>
        </w:tc>
      </w:tr>
      <w:tr w:rsidR="00AD7F4C" w14:paraId="01B70B24" w14:textId="77777777" w:rsidTr="0051760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3D1015E" w14:textId="219C3904" w:rsidR="00AD7F4C" w:rsidRDefault="00AD7F4C" w:rsidP="00517601">
            <w:pPr>
              <w:jc w:val="center"/>
            </w:pPr>
            <w:r>
              <w:rPr>
                <w:noProof/>
              </w:rPr>
              <mc:AlternateContent>
                <mc:Choice Requires="wps">
                  <w:drawing>
                    <wp:anchor distT="0" distB="0" distL="114300" distR="114300" simplePos="0" relativeHeight="251658257" behindDoc="0" locked="0" layoutInCell="1" allowOverlap="1" wp14:anchorId="3AC6F9EB" wp14:editId="7E6E8BE7">
                      <wp:simplePos x="0" y="0"/>
                      <wp:positionH relativeFrom="column">
                        <wp:posOffset>20320</wp:posOffset>
                      </wp:positionH>
                      <wp:positionV relativeFrom="paragraph">
                        <wp:posOffset>283845</wp:posOffset>
                      </wp:positionV>
                      <wp:extent cx="314325" cy="219075"/>
                      <wp:effectExtent l="38100" t="19050" r="28575" b="28575"/>
                      <wp:wrapNone/>
                      <wp:docPr id="85558545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C7913" id="Arrow: Up 1" o:spid="_x0000_s1026" type="#_x0000_t68" alt="Up" style="position:absolute;margin-left:1.6pt;margin-top:22.35pt;width:24.75pt;height:17.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t xml:space="preserve"> 38,970 crimes</w:t>
            </w:r>
          </w:p>
          <w:p w14:paraId="442E3B28" w14:textId="77777777" w:rsidR="00AD7F4C" w:rsidRDefault="00AD7F4C" w:rsidP="00517601">
            <w:r>
              <w:tab/>
              <w:t>5.0%</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CA0365D" w14:textId="77777777" w:rsidR="00AD7F4C" w:rsidRDefault="00AD7F4C" w:rsidP="00517601">
            <w:pPr>
              <w:jc w:val="center"/>
            </w:pPr>
            <w:r>
              <w:rPr>
                <w:noProof/>
              </w:rPr>
              <mc:AlternateContent>
                <mc:Choice Requires="wps">
                  <w:drawing>
                    <wp:anchor distT="0" distB="0" distL="114300" distR="114300" simplePos="0" relativeHeight="251658258" behindDoc="0" locked="0" layoutInCell="1" allowOverlap="1" wp14:anchorId="71FA0D75" wp14:editId="20E33B1D">
                      <wp:simplePos x="0" y="0"/>
                      <wp:positionH relativeFrom="column">
                        <wp:posOffset>-13970</wp:posOffset>
                      </wp:positionH>
                      <wp:positionV relativeFrom="paragraph">
                        <wp:posOffset>306070</wp:posOffset>
                      </wp:positionV>
                      <wp:extent cx="314325" cy="219075"/>
                      <wp:effectExtent l="38100" t="19050" r="28575" b="28575"/>
                      <wp:wrapNone/>
                      <wp:docPr id="74034555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6487B" id="Arrow: Up 1" o:spid="_x0000_s1026" type="#_x0000_t68" alt="Up" style="position:absolute;margin-left:-1.1pt;margin-top:24.1pt;width:24.75pt;height:17.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t>8,378 crimes</w:t>
            </w:r>
          </w:p>
          <w:p w14:paraId="6952568A" w14:textId="77777777" w:rsidR="00AD7F4C" w:rsidRDefault="00AD7F4C" w:rsidP="00517601">
            <w:pPr>
              <w:jc w:val="center"/>
            </w:pPr>
            <w:r>
              <w:t>10.5%</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6CED449" w14:textId="77777777" w:rsidR="00AD7F4C" w:rsidRDefault="00AD7F4C" w:rsidP="00517601">
            <w:pPr>
              <w:jc w:val="center"/>
            </w:pPr>
            <w:r>
              <w:rPr>
                <w:noProof/>
              </w:rPr>
              <mc:AlternateContent>
                <mc:Choice Requires="wps">
                  <w:drawing>
                    <wp:anchor distT="0" distB="0" distL="114300" distR="114300" simplePos="0" relativeHeight="251658259" behindDoc="0" locked="0" layoutInCell="1" allowOverlap="1" wp14:anchorId="485F99E2" wp14:editId="169F3E7B">
                      <wp:simplePos x="0" y="0"/>
                      <wp:positionH relativeFrom="column">
                        <wp:posOffset>-2540</wp:posOffset>
                      </wp:positionH>
                      <wp:positionV relativeFrom="paragraph">
                        <wp:posOffset>306070</wp:posOffset>
                      </wp:positionV>
                      <wp:extent cx="314325" cy="219075"/>
                      <wp:effectExtent l="38100" t="19050" r="28575" b="28575"/>
                      <wp:wrapNone/>
                      <wp:docPr id="52042592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6549B" id="Arrow: Up 1" o:spid="_x0000_s1026" type="#_x0000_t68" alt="Up" style="position:absolute;margin-left:-.2pt;margin-top:24.1pt;width:24.75pt;height:17.2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t>59,572 crimes</w:t>
            </w:r>
          </w:p>
          <w:p w14:paraId="17B2BA6E" w14:textId="77777777" w:rsidR="00AD7F4C" w:rsidRDefault="00AD7F4C" w:rsidP="00517601">
            <w:pPr>
              <w:ind w:firstLine="720"/>
            </w:pPr>
            <w:r>
              <w:t>4.3%</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EA6D37F" w14:textId="77777777" w:rsidR="00AD7F4C" w:rsidRDefault="00AD7F4C" w:rsidP="00517601">
            <w:pPr>
              <w:jc w:val="center"/>
            </w:pPr>
            <w:r>
              <w:rPr>
                <w:noProof/>
              </w:rPr>
              <mc:AlternateContent>
                <mc:Choice Requires="wps">
                  <w:drawing>
                    <wp:anchor distT="0" distB="0" distL="114300" distR="114300" simplePos="0" relativeHeight="251658251" behindDoc="0" locked="0" layoutInCell="1" allowOverlap="1" wp14:anchorId="762CC42E" wp14:editId="2E6F0E33">
                      <wp:simplePos x="0" y="0"/>
                      <wp:positionH relativeFrom="column">
                        <wp:posOffset>-10160</wp:posOffset>
                      </wp:positionH>
                      <wp:positionV relativeFrom="paragraph">
                        <wp:posOffset>315595</wp:posOffset>
                      </wp:positionV>
                      <wp:extent cx="314325" cy="219075"/>
                      <wp:effectExtent l="38100" t="0" r="28575" b="47625"/>
                      <wp:wrapNone/>
                      <wp:docPr id="561764630"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B33B9" id="Arrow: Up 1" o:spid="_x0000_s1026" type="#_x0000_t68" alt="Down" style="position:absolute;margin-left:-.8pt;margin-top:24.85pt;width:24.75pt;height:17.25pt;rotation:180;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t>20,256 crimes</w:t>
            </w:r>
          </w:p>
          <w:p w14:paraId="210C7832" w14:textId="77777777" w:rsidR="00AD7F4C" w:rsidRDefault="00AD7F4C" w:rsidP="00517601">
            <w:r>
              <w:t xml:space="preserve">         -0.8%</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766BCD75" w14:textId="77777777" w:rsidR="00AD7F4C" w:rsidRDefault="00AD7F4C" w:rsidP="00517601">
            <w:pPr>
              <w:jc w:val="center"/>
            </w:pPr>
            <w:r>
              <w:rPr>
                <w:noProof/>
              </w:rPr>
              <mc:AlternateContent>
                <mc:Choice Requires="wps">
                  <w:drawing>
                    <wp:anchor distT="0" distB="0" distL="114300" distR="114300" simplePos="0" relativeHeight="251658260" behindDoc="0" locked="0" layoutInCell="1" allowOverlap="1" wp14:anchorId="75808D2C" wp14:editId="5FB4B83C">
                      <wp:simplePos x="0" y="0"/>
                      <wp:positionH relativeFrom="column">
                        <wp:posOffset>-8255</wp:posOffset>
                      </wp:positionH>
                      <wp:positionV relativeFrom="paragraph">
                        <wp:posOffset>315595</wp:posOffset>
                      </wp:positionV>
                      <wp:extent cx="314325" cy="219075"/>
                      <wp:effectExtent l="38100" t="19050" r="28575" b="28575"/>
                      <wp:wrapNone/>
                      <wp:docPr id="140474124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CF2CF" id="Arrow: Up 1" o:spid="_x0000_s1026" type="#_x0000_t68" alt="Up" style="position:absolute;margin-left:-.65pt;margin-top:24.85pt;width:24.75pt;height:17.2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t>34,945 crimes</w:t>
            </w:r>
          </w:p>
          <w:p w14:paraId="20B603A8" w14:textId="77777777" w:rsidR="00AD7F4C" w:rsidRDefault="00AD7F4C" w:rsidP="00517601">
            <w:r>
              <w:t xml:space="preserve">         9.4%</w:t>
            </w:r>
          </w:p>
        </w:tc>
      </w:tr>
      <w:tr w:rsidR="00AD7F4C" w14:paraId="0A644C12" w14:textId="77777777" w:rsidTr="00517601">
        <w:tc>
          <w:tcPr>
            <w:tcW w:w="1984" w:type="dxa"/>
            <w:tcBorders>
              <w:top w:val="single" w:sz="8"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66332603" w14:textId="77777777" w:rsidR="00AD7F4C" w:rsidRDefault="00AD7F4C" w:rsidP="00517601">
            <w:pPr>
              <w:jc w:val="center"/>
            </w:pPr>
            <w:r>
              <w:rPr>
                <w:noProof/>
              </w:rPr>
              <mc:AlternateContent>
                <mc:Choice Requires="wps">
                  <w:drawing>
                    <wp:anchor distT="0" distB="0" distL="114300" distR="114300" simplePos="0" relativeHeight="251658252" behindDoc="0" locked="0" layoutInCell="1" allowOverlap="1" wp14:anchorId="330CBB53" wp14:editId="0A7B3DB7">
                      <wp:simplePos x="0" y="0"/>
                      <wp:positionH relativeFrom="column">
                        <wp:posOffset>3175</wp:posOffset>
                      </wp:positionH>
                      <wp:positionV relativeFrom="paragraph">
                        <wp:posOffset>320675</wp:posOffset>
                      </wp:positionV>
                      <wp:extent cx="314325" cy="219075"/>
                      <wp:effectExtent l="38100" t="0" r="28575" b="47625"/>
                      <wp:wrapNone/>
                      <wp:docPr id="96983155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4103F" id="Arrow: Up 1" o:spid="_x0000_s1026" type="#_x0000_t68" alt="Up" style="position:absolute;margin-left:.25pt;margin-top:25.25pt;width:24.75pt;height:17.25pt;rotation:180;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" adj="10800" fillcolor="window" strokecolor="#223f59" strokeweight="1pt"/>
                  </w:pict>
                </mc:Fallback>
              </mc:AlternateContent>
            </w:r>
            <w:r>
              <w:t>67.7% det rate</w:t>
            </w:r>
          </w:p>
          <w:p w14:paraId="53463B4D" w14:textId="77777777" w:rsidR="00AD7F4C" w:rsidRDefault="00AD7F4C" w:rsidP="00517601">
            <w:pPr>
              <w:jc w:val="center"/>
            </w:pPr>
            <w:r>
              <w:t xml:space="preserve">     -1.2%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485DCD44" w14:textId="77777777" w:rsidR="00AD7F4C" w:rsidRDefault="00AD7F4C" w:rsidP="00517601">
            <w:pPr>
              <w:jc w:val="center"/>
            </w:pPr>
            <w:r>
              <w:rPr>
                <w:noProof/>
              </w:rPr>
              <mc:AlternateContent>
                <mc:Choice Requires="wps">
                  <w:drawing>
                    <wp:anchor distT="0" distB="0" distL="114300" distR="114300" simplePos="0" relativeHeight="251658253" behindDoc="0" locked="0" layoutInCell="1" allowOverlap="1" wp14:anchorId="34FB51CC" wp14:editId="287DE16B">
                      <wp:simplePos x="0" y="0"/>
                      <wp:positionH relativeFrom="column">
                        <wp:posOffset>-4445</wp:posOffset>
                      </wp:positionH>
                      <wp:positionV relativeFrom="paragraph">
                        <wp:posOffset>299085</wp:posOffset>
                      </wp:positionV>
                      <wp:extent cx="314325" cy="219075"/>
                      <wp:effectExtent l="38100" t="19050" r="28575" b="28575"/>
                      <wp:wrapNone/>
                      <wp:docPr id="731808835"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043EE3" id="Arrow: Up 1" o:spid="_x0000_s1026" type="#_x0000_t68" alt="Down" style="position:absolute;margin-left:-.35pt;margin-top:23.55pt;width:24.75pt;height:17.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" adj="10800" fillcolor="window" strokecolor="#223f59" strokeweight="1pt"/>
                  </w:pict>
                </mc:Fallback>
              </mc:AlternateContent>
            </w:r>
            <w:r>
              <w:t>60.1% det rate</w:t>
            </w:r>
          </w:p>
          <w:p w14:paraId="519890CE" w14:textId="77777777" w:rsidR="00AD7F4C" w:rsidRDefault="00AD7F4C" w:rsidP="00517601">
            <w:r>
              <w:t xml:space="preserve">         2.4%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64F80646" w14:textId="77777777" w:rsidR="00AD7F4C" w:rsidRDefault="00AD7F4C" w:rsidP="00517601">
            <w:pPr>
              <w:jc w:val="center"/>
            </w:pPr>
            <w:r>
              <w:rPr>
                <w:noProof/>
              </w:rPr>
              <mc:AlternateContent>
                <mc:Choice Requires="wps">
                  <w:drawing>
                    <wp:anchor distT="0" distB="0" distL="114300" distR="114300" simplePos="0" relativeHeight="251658254" behindDoc="0" locked="0" layoutInCell="1" allowOverlap="1" wp14:anchorId="003D8557" wp14:editId="53310850">
                      <wp:simplePos x="0" y="0"/>
                      <wp:positionH relativeFrom="column">
                        <wp:posOffset>6985</wp:posOffset>
                      </wp:positionH>
                      <wp:positionV relativeFrom="paragraph">
                        <wp:posOffset>318135</wp:posOffset>
                      </wp:positionV>
                      <wp:extent cx="314325" cy="219075"/>
                      <wp:effectExtent l="38100" t="19050" r="28575" b="28575"/>
                      <wp:wrapNone/>
                      <wp:docPr id="67248910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2DAD" id="Arrow: Up 1" o:spid="_x0000_s1026" type="#_x0000_t68" alt="Up" style="position:absolute;margin-left:.55pt;margin-top:25.05pt;width:24.75pt;height:17.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" adj="10800" fillcolor="window" strokecolor="#223f59" strokeweight="1pt"/>
                  </w:pict>
                </mc:Fallback>
              </mc:AlternateContent>
            </w:r>
            <w:r>
              <w:t>35.1% det rate</w:t>
            </w:r>
          </w:p>
          <w:p w14:paraId="1A15AAA9" w14:textId="77777777" w:rsidR="00AD7F4C" w:rsidRDefault="00AD7F4C" w:rsidP="00517601">
            <w:pPr>
              <w:ind w:firstLine="720"/>
            </w:pPr>
            <w:r>
              <w:rPr>
                <w:sz w:val="22"/>
                <w:szCs w:val="22"/>
              </w:rPr>
              <w:t>0.3%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F3864" w:themeFill="accent5" w:themeFillShade="80"/>
          </w:tcPr>
          <w:p w14:paraId="4C40D934" w14:textId="77777777" w:rsidR="00AD7F4C" w:rsidRDefault="00AD7F4C" w:rsidP="00517601">
            <w:pPr>
              <w:jc w:val="center"/>
            </w:pPr>
            <w:r>
              <w:rPr>
                <w:noProof/>
              </w:rPr>
              <mc:AlternateContent>
                <mc:Choice Requires="wps">
                  <w:drawing>
                    <wp:anchor distT="0" distB="0" distL="114300" distR="114300" simplePos="0" relativeHeight="251658255" behindDoc="0" locked="0" layoutInCell="1" allowOverlap="1" wp14:anchorId="1B18B743" wp14:editId="1E3B512B">
                      <wp:simplePos x="0" y="0"/>
                      <wp:positionH relativeFrom="column">
                        <wp:posOffset>-635</wp:posOffset>
                      </wp:positionH>
                      <wp:positionV relativeFrom="paragraph">
                        <wp:posOffset>311150</wp:posOffset>
                      </wp:positionV>
                      <wp:extent cx="314325" cy="219075"/>
                      <wp:effectExtent l="38100" t="19050" r="28575" b="28575"/>
                      <wp:wrapNone/>
                      <wp:docPr id="132998463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AD6D5" id="Arrow: Up 1" o:spid="_x0000_s1026" type="#_x0000_t68" alt="Up" style="position:absolute;margin-left:-.05pt;margin-top:24.5pt;width:24.75pt;height:17.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" adj="10800" fillcolor="window" strokecolor="#223f59" strokeweight="1pt"/>
                  </w:pict>
                </mc:Fallback>
              </mc:AlternateContent>
            </w:r>
            <w:r>
              <w:t>32.3% det rate</w:t>
            </w:r>
          </w:p>
          <w:p w14:paraId="6ED9887D" w14:textId="77777777" w:rsidR="00AD7F4C" w:rsidRDefault="00AD7F4C" w:rsidP="00517601">
            <w:pPr>
              <w:jc w:val="center"/>
            </w:pPr>
            <w:r>
              <w:t xml:space="preserve">   1.2% pts</w:t>
            </w:r>
          </w:p>
        </w:tc>
        <w:tc>
          <w:tcPr>
            <w:tcW w:w="1984" w:type="dxa"/>
            <w:tcBorders>
              <w:top w:val="single" w:sz="8" w:space="0" w:color="FFFFFF" w:themeColor="background1"/>
              <w:left w:val="single" w:sz="12" w:space="0" w:color="FFFFFF" w:themeColor="background1"/>
              <w:bottom w:val="single" w:sz="12" w:space="0" w:color="FFFFFF" w:themeColor="background1"/>
            </w:tcBorders>
            <w:shd w:val="clear" w:color="auto" w:fill="1F3864" w:themeFill="accent5" w:themeFillShade="80"/>
          </w:tcPr>
          <w:p w14:paraId="2A561321" w14:textId="77777777" w:rsidR="00AD7F4C" w:rsidRDefault="00AD7F4C" w:rsidP="00517601">
            <w:pPr>
              <w:jc w:val="center"/>
            </w:pPr>
            <w:r>
              <w:rPr>
                <w:noProof/>
              </w:rPr>
              <mc:AlternateContent>
                <mc:Choice Requires="wps">
                  <w:drawing>
                    <wp:anchor distT="0" distB="0" distL="114300" distR="114300" simplePos="0" relativeHeight="251658256" behindDoc="0" locked="0" layoutInCell="1" allowOverlap="1" wp14:anchorId="64A5B191" wp14:editId="4399E470">
                      <wp:simplePos x="0" y="0"/>
                      <wp:positionH relativeFrom="column">
                        <wp:posOffset>-8255</wp:posOffset>
                      </wp:positionH>
                      <wp:positionV relativeFrom="paragraph">
                        <wp:posOffset>311150</wp:posOffset>
                      </wp:positionV>
                      <wp:extent cx="314325" cy="219075"/>
                      <wp:effectExtent l="38100" t="0" r="28575" b="47625"/>
                      <wp:wrapNone/>
                      <wp:docPr id="1301593954"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B69A5" id="Arrow: Up 1" o:spid="_x0000_s1026" type="#_x0000_t68" alt="Up" style="position:absolute;margin-left:-.65pt;margin-top:24.5pt;width:24.75pt;height:17.25pt;rotation:18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" adj="10800" fillcolor="window" strokecolor="#223f59" strokeweight="1pt"/>
                  </w:pict>
                </mc:Fallback>
              </mc:AlternateContent>
            </w:r>
            <w:r>
              <w:t>90.3% det rate</w:t>
            </w:r>
          </w:p>
          <w:p w14:paraId="4328AC3C" w14:textId="1C9564B3" w:rsidR="00AD7F4C" w:rsidRDefault="00AD7F4C" w:rsidP="00517601">
            <w:r>
              <w:t xml:space="preserve">         </w:t>
            </w:r>
            <w:r w:rsidR="00336665">
              <w:t>-</w:t>
            </w:r>
            <w:r>
              <w:t>4.0% pts</w:t>
            </w:r>
          </w:p>
        </w:tc>
      </w:tr>
    </w:tbl>
    <w:p w14:paraId="245B9E95" w14:textId="77777777" w:rsidR="005878A5" w:rsidRDefault="005878A5">
      <w:pPr>
        <w:spacing w:before="0" w:after="160" w:line="259" w:lineRule="auto"/>
      </w:pPr>
      <w:r>
        <w:br w:type="page"/>
      </w:r>
    </w:p>
    <w:p w14:paraId="07A93CCD" w14:textId="77777777" w:rsidR="005878A5" w:rsidRDefault="005878A5"/>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51B93C6E" w14:textId="77777777" w:rsidTr="00517601">
        <w:tc>
          <w:tcPr>
            <w:tcW w:w="1984" w:type="dxa"/>
            <w:tcBorders>
              <w:bottom w:val="single" w:sz="8" w:space="0" w:color="FFFFFF" w:themeColor="background1"/>
              <w:right w:val="single" w:sz="12" w:space="0" w:color="FFFFFF" w:themeColor="background1"/>
            </w:tcBorders>
            <w:shd w:val="clear" w:color="auto" w:fill="1F3864" w:themeFill="accent5" w:themeFillShade="80"/>
          </w:tcPr>
          <w:p w14:paraId="242EC7E6" w14:textId="133C4418" w:rsidR="00AD7F4C" w:rsidRPr="00C614E3" w:rsidRDefault="00AD7F4C" w:rsidP="00517601">
            <w:pPr>
              <w:spacing w:after="0"/>
              <w:jc w:val="center"/>
              <w:rPr>
                <w:b/>
                <w:bCs/>
                <w:noProof/>
              </w:rPr>
            </w:pPr>
            <w:r>
              <w:rPr>
                <w:b/>
                <w:bCs/>
                <w:noProof/>
              </w:rPr>
              <w:t xml:space="preserve">Children </w:t>
            </w:r>
            <w:r w:rsidR="00B54508">
              <w:rPr>
                <w:b/>
                <w:bCs/>
                <w:noProof/>
              </w:rPr>
              <w:t xml:space="preserve">and Young People </w:t>
            </w:r>
            <w:r w:rsidRPr="00C614E3">
              <w:rPr>
                <w:b/>
                <w:bCs/>
                <w:noProof/>
              </w:rPr>
              <w:t>Crime</w:t>
            </w:r>
            <w:r w:rsidR="00B54508">
              <w:rPr>
                <w:b/>
                <w:bCs/>
                <w:noProof/>
              </w:rPr>
              <w:t>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1B7914E" w14:textId="77777777" w:rsidR="00AD7F4C" w:rsidRPr="00C614E3" w:rsidRDefault="00AD7F4C" w:rsidP="00517601">
            <w:pPr>
              <w:spacing w:after="0"/>
              <w:jc w:val="center"/>
              <w:rPr>
                <w:b/>
                <w:bCs/>
                <w:noProof/>
              </w:rPr>
            </w:pPr>
            <w:r w:rsidRPr="00C614E3">
              <w:rPr>
                <w:b/>
                <w:bCs/>
                <w:noProof/>
              </w:rPr>
              <w:t>V</w:t>
            </w:r>
            <w:r>
              <w:rPr>
                <w:b/>
                <w:bCs/>
                <w:noProof/>
              </w:rPr>
              <w:t xml:space="preserve">iolence </w:t>
            </w:r>
            <w:r w:rsidRPr="00C614E3">
              <w:rPr>
                <w:b/>
                <w:bCs/>
                <w:noProof/>
              </w:rPr>
              <w:t>A</w:t>
            </w:r>
            <w:r>
              <w:rPr>
                <w:b/>
                <w:bCs/>
                <w:noProof/>
              </w:rPr>
              <w:t xml:space="preserve">gainst </w:t>
            </w:r>
            <w:r w:rsidRPr="00C614E3">
              <w:rPr>
                <w:b/>
                <w:bCs/>
                <w:noProof/>
              </w:rPr>
              <w:t>W</w:t>
            </w:r>
            <w:r>
              <w:rPr>
                <w:b/>
                <w:bCs/>
                <w:noProof/>
              </w:rPr>
              <w:t xml:space="preserve">omen &amp; </w:t>
            </w:r>
            <w:r w:rsidRPr="00C614E3">
              <w:rPr>
                <w:b/>
                <w:bCs/>
                <w:noProof/>
              </w:rPr>
              <w:t>G</w:t>
            </w:r>
            <w:r>
              <w:rPr>
                <w:b/>
                <w:bCs/>
                <w:noProof/>
              </w:rPr>
              <w:t>irls</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6A4E3380" w14:textId="77777777" w:rsidR="00AD7F4C" w:rsidRPr="00C614E3" w:rsidRDefault="00AD7F4C" w:rsidP="00517601">
            <w:pPr>
              <w:spacing w:after="0"/>
              <w:jc w:val="center"/>
              <w:rPr>
                <w:b/>
                <w:bCs/>
                <w:noProof/>
              </w:rPr>
            </w:pPr>
            <w:r>
              <w:rPr>
                <w:b/>
                <w:bCs/>
                <w:noProof/>
              </w:rPr>
              <w:t>Theft by Shoplifting</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551AB15B" w14:textId="77777777" w:rsidR="00AD7F4C" w:rsidRDefault="00AD7F4C" w:rsidP="00517601">
            <w:pPr>
              <w:spacing w:after="0"/>
              <w:jc w:val="center"/>
              <w:rPr>
                <w:b/>
                <w:bCs/>
                <w:noProof/>
              </w:rPr>
            </w:pPr>
            <w:r>
              <w:rPr>
                <w:b/>
                <w:bCs/>
                <w:noProof/>
              </w:rPr>
              <w:t>Hate</w:t>
            </w:r>
            <w:r>
              <w:rPr>
                <w:b/>
                <w:bCs/>
                <w:noProof/>
              </w:rPr>
              <w:br/>
              <w:t>Crime</w:t>
            </w:r>
          </w:p>
          <w:p w14:paraId="7C12D38F" w14:textId="77777777" w:rsidR="00AD7F4C" w:rsidRPr="00C614E3" w:rsidRDefault="00AD7F4C" w:rsidP="00517601">
            <w:pPr>
              <w:spacing w:after="0"/>
              <w:jc w:val="center"/>
              <w:rPr>
                <w:b/>
                <w:bCs/>
                <w:noProof/>
              </w:rPr>
            </w:pPr>
          </w:p>
        </w:tc>
        <w:tc>
          <w:tcPr>
            <w:tcW w:w="1984" w:type="dxa"/>
            <w:tcBorders>
              <w:left w:val="single" w:sz="12" w:space="0" w:color="FFFFFF" w:themeColor="background1"/>
              <w:bottom w:val="single" w:sz="8" w:space="0" w:color="FFFFFF" w:themeColor="background1"/>
            </w:tcBorders>
            <w:shd w:val="clear" w:color="auto" w:fill="1F3864" w:themeFill="accent5" w:themeFillShade="80"/>
          </w:tcPr>
          <w:p w14:paraId="794B1D8A" w14:textId="77777777" w:rsidR="00AD7F4C" w:rsidRPr="00C614E3" w:rsidRDefault="00AD7F4C" w:rsidP="00517601">
            <w:pPr>
              <w:jc w:val="center"/>
              <w:rPr>
                <w:b/>
                <w:bCs/>
                <w:noProof/>
              </w:rPr>
            </w:pPr>
            <w:r>
              <w:rPr>
                <w:b/>
                <w:bCs/>
                <w:noProof/>
              </w:rPr>
              <w:t>Supply of</w:t>
            </w:r>
            <w:r>
              <w:rPr>
                <w:b/>
                <w:bCs/>
                <w:noProof/>
              </w:rPr>
              <w:br/>
              <w:t>drugs</w:t>
            </w:r>
          </w:p>
        </w:tc>
      </w:tr>
      <w:tr w:rsidR="00AD7F4C" w14:paraId="55CF745C" w14:textId="77777777" w:rsidTr="00517601">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4A502732" w14:textId="77777777" w:rsidR="00AD7F4C" w:rsidRDefault="00AD7F4C" w:rsidP="00517601">
            <w:pPr>
              <w:jc w:val="center"/>
            </w:pPr>
            <w:r>
              <w:rPr>
                <w:noProof/>
              </w:rPr>
              <mc:AlternateContent>
                <mc:Choice Requires="wps">
                  <w:drawing>
                    <wp:anchor distT="0" distB="0" distL="114300" distR="114300" simplePos="0" relativeHeight="251658261" behindDoc="0" locked="0" layoutInCell="1" allowOverlap="1" wp14:anchorId="01DD7196" wp14:editId="275B3341">
                      <wp:simplePos x="0" y="0"/>
                      <wp:positionH relativeFrom="column">
                        <wp:posOffset>52070</wp:posOffset>
                      </wp:positionH>
                      <wp:positionV relativeFrom="paragraph">
                        <wp:posOffset>296545</wp:posOffset>
                      </wp:positionV>
                      <wp:extent cx="314325" cy="219075"/>
                      <wp:effectExtent l="38100" t="0" r="28575" b="47625"/>
                      <wp:wrapNone/>
                      <wp:docPr id="194498931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AD687" id="Arrow: Up 1" o:spid="_x0000_s1026" type="#_x0000_t68" alt="Down" style="position:absolute;margin-left:4.1pt;margin-top:23.35pt;width:24.75pt;height:17.25pt;rotation:180;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t>14,872 crimes</w:t>
            </w:r>
          </w:p>
          <w:p w14:paraId="7FFC7DD4" w14:textId="77777777" w:rsidR="00AD7F4C" w:rsidRDefault="00AD7F4C" w:rsidP="00517601">
            <w:pPr>
              <w:rPr>
                <w:noProof/>
              </w:rPr>
            </w:pPr>
            <w:r>
              <w:tab/>
              <w:t>-6.6%</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47437F6" w14:textId="0A0D14A7" w:rsidR="00AD7F4C" w:rsidRDefault="00AD7F4C" w:rsidP="00517601">
            <w:pPr>
              <w:jc w:val="center"/>
            </w:pPr>
            <w:r>
              <w:rPr>
                <w:noProof/>
              </w:rPr>
              <mc:AlternateContent>
                <mc:Choice Requires="wps">
                  <w:drawing>
                    <wp:anchor distT="0" distB="0" distL="114300" distR="114300" simplePos="0" relativeHeight="251658262" behindDoc="0" locked="0" layoutInCell="1" allowOverlap="1" wp14:anchorId="70C9FB16" wp14:editId="0FB26DDC">
                      <wp:simplePos x="0" y="0"/>
                      <wp:positionH relativeFrom="column">
                        <wp:posOffset>-13970</wp:posOffset>
                      </wp:positionH>
                      <wp:positionV relativeFrom="paragraph">
                        <wp:posOffset>306070</wp:posOffset>
                      </wp:positionV>
                      <wp:extent cx="314325" cy="219075"/>
                      <wp:effectExtent l="38100" t="19050" r="28575" b="28575"/>
                      <wp:wrapNone/>
                      <wp:docPr id="24517215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C66FD" id="Arrow: Up 1" o:spid="_x0000_s1026" type="#_x0000_t68" alt="Up" style="position:absolute;margin-left:-1.1pt;margin-top:24.1pt;width:24.75pt;height:17.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t>38,345 crimes</w:t>
            </w:r>
          </w:p>
          <w:p w14:paraId="49939B47" w14:textId="77777777" w:rsidR="00AD7F4C" w:rsidRDefault="00AD7F4C" w:rsidP="00517601">
            <w:pPr>
              <w:jc w:val="center"/>
              <w:rPr>
                <w:noProof/>
              </w:rPr>
            </w:pPr>
            <w:r>
              <w:t>3.6%</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3EB8D480" w14:textId="77777777" w:rsidR="00AD7F4C" w:rsidRDefault="00AD7F4C" w:rsidP="00517601">
            <w:pPr>
              <w:jc w:val="center"/>
            </w:pPr>
            <w:r>
              <w:rPr>
                <w:noProof/>
              </w:rPr>
              <mc:AlternateContent>
                <mc:Choice Requires="wps">
                  <w:drawing>
                    <wp:anchor distT="0" distB="0" distL="114300" distR="114300" simplePos="0" relativeHeight="251658263" behindDoc="0" locked="0" layoutInCell="1" allowOverlap="1" wp14:anchorId="4B2D55EE" wp14:editId="25467077">
                      <wp:simplePos x="0" y="0"/>
                      <wp:positionH relativeFrom="column">
                        <wp:posOffset>-2540</wp:posOffset>
                      </wp:positionH>
                      <wp:positionV relativeFrom="paragraph">
                        <wp:posOffset>306070</wp:posOffset>
                      </wp:positionV>
                      <wp:extent cx="314325" cy="219075"/>
                      <wp:effectExtent l="38100" t="19050" r="28575" b="28575"/>
                      <wp:wrapNone/>
                      <wp:docPr id="126424944"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B6E9AE" id="Arrow: Up 1" o:spid="_x0000_s1026" type="#_x0000_t68" alt="Up" style="position:absolute;margin-left:-.2pt;margin-top:24.1pt;width:24.75pt;height:17.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t>26,556 crimes</w:t>
            </w:r>
          </w:p>
          <w:p w14:paraId="53BD06F1" w14:textId="77777777" w:rsidR="00AD7F4C" w:rsidRDefault="00AD7F4C" w:rsidP="00517601">
            <w:pPr>
              <w:rPr>
                <w:noProof/>
              </w:rPr>
            </w:pPr>
            <w:r>
              <w:t xml:space="preserve">         16.5%</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1F3864" w:themeFill="accent5" w:themeFillShade="80"/>
          </w:tcPr>
          <w:p w14:paraId="15C04097" w14:textId="77777777" w:rsidR="00AD7F4C" w:rsidRDefault="00AD7F4C" w:rsidP="00517601">
            <w:pPr>
              <w:jc w:val="center"/>
            </w:pPr>
            <w:r>
              <w:rPr>
                <w:noProof/>
              </w:rPr>
              <mc:AlternateContent>
                <mc:Choice Requires="wps">
                  <w:drawing>
                    <wp:anchor distT="0" distB="0" distL="114300" distR="114300" simplePos="0" relativeHeight="251658264" behindDoc="0" locked="0" layoutInCell="1" allowOverlap="1" wp14:anchorId="1A555961" wp14:editId="5752910A">
                      <wp:simplePos x="0" y="0"/>
                      <wp:positionH relativeFrom="column">
                        <wp:posOffset>-10160</wp:posOffset>
                      </wp:positionH>
                      <wp:positionV relativeFrom="paragraph">
                        <wp:posOffset>315595</wp:posOffset>
                      </wp:positionV>
                      <wp:extent cx="314325" cy="219075"/>
                      <wp:effectExtent l="38100" t="19050" r="28575" b="28575"/>
                      <wp:wrapNone/>
                      <wp:docPr id="1842341557"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B83ECA" id="Arrow: Up 1" o:spid="_x0000_s1026" type="#_x0000_t68" alt="Down" style="position:absolute;margin-left:-.8pt;margin-top:24.85pt;width:24.75pt;height:17.2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t>5,206 crimes</w:t>
            </w:r>
          </w:p>
          <w:p w14:paraId="0B7AB00F" w14:textId="77777777" w:rsidR="00AD7F4C" w:rsidRDefault="00AD7F4C" w:rsidP="00517601">
            <w:pPr>
              <w:ind w:firstLine="720"/>
              <w:rPr>
                <w:noProof/>
              </w:rPr>
            </w:pPr>
            <w:r>
              <w:t>6.5%</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1F3864" w:themeFill="accent5" w:themeFillShade="80"/>
          </w:tcPr>
          <w:p w14:paraId="7CC0E2B2" w14:textId="77777777" w:rsidR="00AD7F4C" w:rsidRDefault="00AD7F4C" w:rsidP="00517601">
            <w:pPr>
              <w:jc w:val="center"/>
            </w:pPr>
            <w:r>
              <w:rPr>
                <w:noProof/>
              </w:rPr>
              <mc:AlternateContent>
                <mc:Choice Requires="wps">
                  <w:drawing>
                    <wp:anchor distT="0" distB="0" distL="114300" distR="114300" simplePos="0" relativeHeight="251658269" behindDoc="0" locked="0" layoutInCell="1" allowOverlap="1" wp14:anchorId="15930C52" wp14:editId="454C578B">
                      <wp:simplePos x="0" y="0"/>
                      <wp:positionH relativeFrom="column">
                        <wp:posOffset>-10160</wp:posOffset>
                      </wp:positionH>
                      <wp:positionV relativeFrom="paragraph">
                        <wp:posOffset>315595</wp:posOffset>
                      </wp:positionV>
                      <wp:extent cx="314325" cy="219075"/>
                      <wp:effectExtent l="38100" t="19050" r="28575" b="28575"/>
                      <wp:wrapNone/>
                      <wp:docPr id="1690404664"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3C646D" id="Arrow: Up 1" o:spid="_x0000_s1026" type="#_x0000_t68" alt="Down" style="position:absolute;margin-left:-.8pt;margin-top:24.85pt;width:24.75pt;height:17.2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t>2,186 crimes</w:t>
            </w:r>
          </w:p>
          <w:p w14:paraId="0EC5D029" w14:textId="77777777" w:rsidR="00AD7F4C" w:rsidRPr="0019377C" w:rsidRDefault="00AD7F4C" w:rsidP="00517601">
            <w:pPr>
              <w:ind w:firstLine="720"/>
              <w:rPr>
                <w:noProof/>
              </w:rPr>
            </w:pPr>
            <w:r>
              <w:t>20.2%</w:t>
            </w:r>
          </w:p>
        </w:tc>
      </w:tr>
      <w:tr w:rsidR="00AD7F4C" w14:paraId="5524007D" w14:textId="77777777" w:rsidTr="00517601">
        <w:tc>
          <w:tcPr>
            <w:tcW w:w="1984" w:type="dxa"/>
            <w:tcBorders>
              <w:top w:val="single" w:sz="8" w:space="0" w:color="FFFFFF" w:themeColor="background1"/>
              <w:right w:val="single" w:sz="12" w:space="0" w:color="FFFFFF" w:themeColor="background1"/>
            </w:tcBorders>
            <w:shd w:val="clear" w:color="auto" w:fill="1F3864" w:themeFill="accent5" w:themeFillShade="80"/>
          </w:tcPr>
          <w:p w14:paraId="12AFC17F" w14:textId="08239518" w:rsidR="00AD7F4C" w:rsidRDefault="00AD7F4C" w:rsidP="00517601">
            <w:pPr>
              <w:jc w:val="center"/>
            </w:pPr>
            <w:r>
              <w:rPr>
                <w:noProof/>
              </w:rPr>
              <mc:AlternateContent>
                <mc:Choice Requires="wps">
                  <w:drawing>
                    <wp:anchor distT="0" distB="0" distL="114300" distR="114300" simplePos="0" relativeHeight="251658268" behindDoc="0" locked="0" layoutInCell="1" allowOverlap="1" wp14:anchorId="1CC73A5A" wp14:editId="221653C8">
                      <wp:simplePos x="0" y="0"/>
                      <wp:positionH relativeFrom="column">
                        <wp:posOffset>52070</wp:posOffset>
                      </wp:positionH>
                      <wp:positionV relativeFrom="paragraph">
                        <wp:posOffset>296545</wp:posOffset>
                      </wp:positionV>
                      <wp:extent cx="314325" cy="219075"/>
                      <wp:effectExtent l="38100" t="0" r="28575" b="47625"/>
                      <wp:wrapNone/>
                      <wp:docPr id="79401063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BDDD2" id="Arrow: Up 1" o:spid="_x0000_s1026" type="#_x0000_t68" alt="Down" style="position:absolute;margin-left:4.1pt;margin-top:23.35pt;width:24.75pt;height:17.25pt;rotation:180;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KzFuJTe&#10;AAAABgEAAA8AAAAAAAAAAAAAAAAA2AQAAGRycy9kb3ducmV2LnhtbFBLBQYAAAAABAAEAPMAAADj&#10;BQAAAAA=&#10;" adj="10800" fillcolor="window" strokecolor="#223f59" strokeweight="1pt"/>
                  </w:pict>
                </mc:Fallback>
              </mc:AlternateContent>
            </w:r>
            <w:r>
              <w:rPr>
                <w:noProof/>
              </w:rPr>
              <w:t xml:space="preserve">9.1% </w:t>
            </w:r>
            <w:r w:rsidR="00551777">
              <w:rPr>
                <w:noProof/>
              </w:rPr>
              <w:t>of crimes</w:t>
            </w:r>
          </w:p>
          <w:p w14:paraId="7B9ED0F7" w14:textId="294BEFF4" w:rsidR="00AD7F4C" w:rsidRDefault="00AD7F4C" w:rsidP="00517601">
            <w:pPr>
              <w:rPr>
                <w:noProof/>
              </w:rPr>
            </w:pPr>
            <w:r>
              <w:t xml:space="preserve">         -1.6</w:t>
            </w:r>
            <w:r>
              <w:rPr>
                <w:noProof/>
              </w:rPr>
              <w:t>%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16C39DE7" w14:textId="77777777" w:rsidR="00AD7F4C" w:rsidRDefault="00AD7F4C" w:rsidP="00517601">
            <w:pPr>
              <w:jc w:val="center"/>
            </w:pPr>
            <w:r>
              <w:rPr>
                <w:noProof/>
              </w:rPr>
              <mc:AlternateContent>
                <mc:Choice Requires="wps">
                  <w:drawing>
                    <wp:anchor distT="0" distB="0" distL="114300" distR="114300" simplePos="0" relativeHeight="251658265" behindDoc="0" locked="0" layoutInCell="1" allowOverlap="1" wp14:anchorId="4D98E544" wp14:editId="7DA031B9">
                      <wp:simplePos x="0" y="0"/>
                      <wp:positionH relativeFrom="column">
                        <wp:posOffset>-23495</wp:posOffset>
                      </wp:positionH>
                      <wp:positionV relativeFrom="paragraph">
                        <wp:posOffset>308610</wp:posOffset>
                      </wp:positionV>
                      <wp:extent cx="314325" cy="219075"/>
                      <wp:effectExtent l="38100" t="19050" r="28575" b="28575"/>
                      <wp:wrapNone/>
                      <wp:docPr id="2042675682"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AB398" id="Arrow: Up 1" o:spid="_x0000_s1026" type="#_x0000_t68" alt="Down" style="position:absolute;margin-left:-1.85pt;margin-top:24.3pt;width:24.75pt;height:17.2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" adj="10800" fillcolor="window" strokecolor="#223f59" strokeweight="1pt"/>
                  </w:pict>
                </mc:Fallback>
              </mc:AlternateContent>
            </w:r>
            <w:r>
              <w:t>17,571 domestic</w:t>
            </w:r>
          </w:p>
          <w:p w14:paraId="698D584B" w14:textId="77777777" w:rsidR="00AD7F4C" w:rsidRDefault="00AD7F4C" w:rsidP="00517601">
            <w:pPr>
              <w:jc w:val="center"/>
              <w:rPr>
                <w:noProof/>
              </w:rPr>
            </w:pPr>
            <w:r>
              <w:t>7.0%</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6E8129FB" w14:textId="77777777" w:rsidR="00AD7F4C" w:rsidRDefault="00AD7F4C" w:rsidP="00517601">
            <w:pPr>
              <w:jc w:val="center"/>
            </w:pPr>
            <w:r>
              <w:rPr>
                <w:noProof/>
              </w:rPr>
              <mc:AlternateContent>
                <mc:Choice Requires="wps">
                  <w:drawing>
                    <wp:anchor distT="0" distB="0" distL="114300" distR="114300" simplePos="0" relativeHeight="251658266" behindDoc="0" locked="0" layoutInCell="1" allowOverlap="1" wp14:anchorId="05A0861D" wp14:editId="46DC0410">
                      <wp:simplePos x="0" y="0"/>
                      <wp:positionH relativeFrom="column">
                        <wp:posOffset>-12065</wp:posOffset>
                      </wp:positionH>
                      <wp:positionV relativeFrom="paragraph">
                        <wp:posOffset>308610</wp:posOffset>
                      </wp:positionV>
                      <wp:extent cx="314325" cy="219075"/>
                      <wp:effectExtent l="38100" t="19050" r="28575" b="28575"/>
                      <wp:wrapNone/>
                      <wp:docPr id="34186153"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C8A5A" id="Arrow: Up 1" o:spid="_x0000_s1026" type="#_x0000_t68" alt="Up" style="position:absolute;margin-left:-.95pt;margin-top:24.3pt;width:24.75pt;height:17.2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" adj="10800" fillcolor="window" strokecolor="#223f59" strokeweight="1pt"/>
                  </w:pict>
                </mc:Fallback>
              </mc:AlternateContent>
            </w:r>
            <w:r>
              <w:t>48.5% det rate</w:t>
            </w:r>
          </w:p>
          <w:p w14:paraId="6C34823C" w14:textId="61412DBE" w:rsidR="00AD7F4C" w:rsidRDefault="00AD7F4C" w:rsidP="00517601">
            <w:pPr>
              <w:rPr>
                <w:noProof/>
              </w:rPr>
            </w:pPr>
            <w:r>
              <w:t xml:space="preserve">         0.2% pts</w:t>
            </w:r>
          </w:p>
        </w:tc>
        <w:tc>
          <w:tcPr>
            <w:tcW w:w="1984" w:type="dxa"/>
            <w:tcBorders>
              <w:top w:val="single" w:sz="8" w:space="0" w:color="FFFFFF" w:themeColor="background1"/>
              <w:left w:val="single" w:sz="12" w:space="0" w:color="FFFFFF" w:themeColor="background1"/>
              <w:right w:val="single" w:sz="12" w:space="0" w:color="FFFFFF" w:themeColor="background1"/>
            </w:tcBorders>
            <w:shd w:val="clear" w:color="auto" w:fill="1F3864" w:themeFill="accent5" w:themeFillShade="80"/>
          </w:tcPr>
          <w:p w14:paraId="357521F9" w14:textId="77777777" w:rsidR="00AD7F4C" w:rsidRDefault="00AD7F4C" w:rsidP="00517601">
            <w:pPr>
              <w:jc w:val="center"/>
            </w:pPr>
            <w:r>
              <w:rPr>
                <w:noProof/>
              </w:rPr>
              <mc:AlternateContent>
                <mc:Choice Requires="wps">
                  <w:drawing>
                    <wp:anchor distT="0" distB="0" distL="114300" distR="114300" simplePos="0" relativeHeight="251658267" behindDoc="0" locked="0" layoutInCell="1" allowOverlap="1" wp14:anchorId="6059D29F" wp14:editId="70F20CE1">
                      <wp:simplePos x="0" y="0"/>
                      <wp:positionH relativeFrom="column">
                        <wp:posOffset>-635</wp:posOffset>
                      </wp:positionH>
                      <wp:positionV relativeFrom="paragraph">
                        <wp:posOffset>311150</wp:posOffset>
                      </wp:positionV>
                      <wp:extent cx="314325" cy="219075"/>
                      <wp:effectExtent l="38100" t="0" r="28575" b="47625"/>
                      <wp:wrapNone/>
                      <wp:docPr id="479628714"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E74B0" id="Arrow: Up 1" o:spid="_x0000_s1026" type="#_x0000_t68" alt="Up" style="position:absolute;margin-left:-.05pt;margin-top:24.5pt;width:24.75pt;height:17.25pt;rotation:180;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t>63.3% det rate</w:t>
            </w:r>
          </w:p>
          <w:p w14:paraId="69A50FC4" w14:textId="77777777" w:rsidR="00AD7F4C" w:rsidRDefault="00AD7F4C" w:rsidP="00517601">
            <w:pPr>
              <w:rPr>
                <w:noProof/>
              </w:rPr>
            </w:pPr>
            <w:r>
              <w:t xml:space="preserve">         -2.8% pts</w:t>
            </w:r>
          </w:p>
        </w:tc>
        <w:tc>
          <w:tcPr>
            <w:tcW w:w="1984" w:type="dxa"/>
            <w:tcBorders>
              <w:top w:val="single" w:sz="8" w:space="0" w:color="FFFFFF" w:themeColor="background1"/>
              <w:left w:val="single" w:sz="12" w:space="0" w:color="FFFFFF" w:themeColor="background1"/>
            </w:tcBorders>
            <w:shd w:val="clear" w:color="auto" w:fill="1F3864" w:themeFill="accent5" w:themeFillShade="80"/>
          </w:tcPr>
          <w:p w14:paraId="7C5AC8E3" w14:textId="77777777" w:rsidR="00AD7F4C" w:rsidRDefault="00AD7F4C" w:rsidP="00517601">
            <w:pPr>
              <w:jc w:val="center"/>
            </w:pPr>
            <w:r>
              <w:rPr>
                <w:noProof/>
              </w:rPr>
              <mc:AlternateContent>
                <mc:Choice Requires="wps">
                  <w:drawing>
                    <wp:anchor distT="0" distB="0" distL="114300" distR="114300" simplePos="0" relativeHeight="251658270" behindDoc="0" locked="0" layoutInCell="1" allowOverlap="1" wp14:anchorId="10E4FBE4" wp14:editId="3BA01FE3">
                      <wp:simplePos x="0" y="0"/>
                      <wp:positionH relativeFrom="column">
                        <wp:posOffset>-635</wp:posOffset>
                      </wp:positionH>
                      <wp:positionV relativeFrom="paragraph">
                        <wp:posOffset>311150</wp:posOffset>
                      </wp:positionV>
                      <wp:extent cx="314325" cy="219075"/>
                      <wp:effectExtent l="38100" t="0" r="28575" b="47625"/>
                      <wp:wrapNone/>
                      <wp:docPr id="190415872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FFAB1" id="Arrow: Up 1" o:spid="_x0000_s1026" type="#_x0000_t68" alt="Up" style="position:absolute;margin-left:-.05pt;margin-top:24.5pt;width:24.75pt;height:17.25pt;rotation:180;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t>91.3% det rate</w:t>
            </w:r>
          </w:p>
          <w:p w14:paraId="41D9A1E1" w14:textId="77777777" w:rsidR="00AD7F4C" w:rsidRPr="00747370" w:rsidRDefault="00AD7F4C" w:rsidP="00517601">
            <w:pPr>
              <w:tabs>
                <w:tab w:val="center" w:pos="866"/>
              </w:tabs>
              <w:jc w:val="center"/>
              <w:rPr>
                <w:noProof/>
              </w:rPr>
            </w:pPr>
            <w:r>
              <w:t xml:space="preserve">     -3.7% pts</w:t>
            </w:r>
          </w:p>
        </w:tc>
      </w:tr>
    </w:tbl>
    <w:p w14:paraId="6133ADC0" w14:textId="543333D4" w:rsidR="00AD7F4C" w:rsidRPr="005B0A0C" w:rsidRDefault="00AD7F4C" w:rsidP="00AD7F4C">
      <w:pPr>
        <w:pStyle w:val="ExecSummaryHeading"/>
      </w:pPr>
      <w:r>
        <w:t>Supported Victims</w:t>
      </w: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AD7F4C" w14:paraId="54E20E14" w14:textId="77777777" w:rsidTr="00517601">
        <w:tc>
          <w:tcPr>
            <w:tcW w:w="1984" w:type="dxa"/>
            <w:tcBorders>
              <w:bottom w:val="single" w:sz="4" w:space="0" w:color="FFFFFF" w:themeColor="background1"/>
              <w:right w:val="single" w:sz="12" w:space="0" w:color="FFFFFF" w:themeColor="background1"/>
            </w:tcBorders>
            <w:shd w:val="clear" w:color="auto" w:fill="7030A0"/>
          </w:tcPr>
          <w:p w14:paraId="169D7FA3" w14:textId="77777777" w:rsidR="00AD7F4C" w:rsidRPr="00944DDD" w:rsidRDefault="00AD7F4C" w:rsidP="00517601">
            <w:pPr>
              <w:jc w:val="center"/>
              <w:rPr>
                <w:b/>
                <w:bCs/>
                <w:color w:val="FFFFFF" w:themeColor="background1"/>
              </w:rPr>
            </w:pPr>
            <w:r>
              <w:rPr>
                <w:b/>
                <w:bCs/>
                <w:color w:val="FFFFFF" w:themeColor="background1"/>
              </w:rPr>
              <w:t>User Experience Satisfaction</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7030A0"/>
          </w:tcPr>
          <w:p w14:paraId="33363E5F" w14:textId="77777777" w:rsidR="00AD7F4C" w:rsidRPr="00944DDD" w:rsidRDefault="00AD7F4C" w:rsidP="00517601">
            <w:pPr>
              <w:jc w:val="center"/>
              <w:rPr>
                <w:b/>
                <w:bCs/>
                <w:color w:val="FFFFFF" w:themeColor="background1"/>
              </w:rPr>
            </w:pPr>
            <w:r>
              <w:rPr>
                <w:b/>
                <w:bCs/>
                <w:color w:val="FFFFFF" w:themeColor="background1"/>
              </w:rPr>
              <w:t>Your Police confidence in local policing</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7030A0"/>
          </w:tcPr>
          <w:p w14:paraId="43039828" w14:textId="77777777" w:rsidR="00AD7F4C" w:rsidRPr="00944DDD" w:rsidRDefault="00AD7F4C" w:rsidP="00517601">
            <w:pPr>
              <w:jc w:val="center"/>
              <w:rPr>
                <w:b/>
                <w:bCs/>
                <w:color w:val="FFFFFF" w:themeColor="background1"/>
              </w:rPr>
            </w:pPr>
            <w:r>
              <w:rPr>
                <w:b/>
                <w:bCs/>
                <w:color w:val="FFFFFF" w:themeColor="background1"/>
              </w:rPr>
              <w:t xml:space="preserve">Your Police safety in </w:t>
            </w:r>
            <w:r>
              <w:rPr>
                <w:b/>
                <w:bCs/>
                <w:color w:val="FFFFFF" w:themeColor="background1"/>
              </w:rPr>
              <w:br/>
              <w:t>local area</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7BF1019B" w14:textId="77777777" w:rsidR="00AD7F4C" w:rsidRPr="00944DDD" w:rsidRDefault="00AD7F4C" w:rsidP="00517601">
            <w:pPr>
              <w:jc w:val="center"/>
              <w:rPr>
                <w:b/>
                <w:bCs/>
                <w:color w:val="FFFFFF" w:themeColor="background1"/>
              </w:rPr>
            </w:pPr>
            <w:r>
              <w:rPr>
                <w:b/>
                <w:bCs/>
                <w:color w:val="FFFFFF" w:themeColor="background1"/>
              </w:rPr>
              <w:t>Your Care Cards (YCC) issued</w:t>
            </w:r>
          </w:p>
        </w:tc>
        <w:tc>
          <w:tcPr>
            <w:tcW w:w="1984" w:type="dxa"/>
            <w:tcBorders>
              <w:left w:val="single" w:sz="12" w:space="0" w:color="FFFFFF" w:themeColor="background1"/>
              <w:bottom w:val="single" w:sz="8" w:space="0" w:color="FFFFFF" w:themeColor="background1"/>
            </w:tcBorders>
            <w:shd w:val="clear" w:color="auto" w:fill="7030A0"/>
          </w:tcPr>
          <w:p w14:paraId="67D797A9" w14:textId="77777777" w:rsidR="00AD7F4C" w:rsidRPr="00944DDD" w:rsidRDefault="00AD7F4C" w:rsidP="00517601">
            <w:pPr>
              <w:jc w:val="center"/>
              <w:rPr>
                <w:b/>
                <w:bCs/>
                <w:color w:val="FFFFFF" w:themeColor="background1"/>
              </w:rPr>
            </w:pPr>
            <w:r>
              <w:rPr>
                <w:b/>
                <w:bCs/>
                <w:color w:val="FFFFFF" w:themeColor="background1"/>
              </w:rPr>
              <w:t>Victim Support Scotland (VSS) Referrals</w:t>
            </w:r>
          </w:p>
        </w:tc>
      </w:tr>
      <w:tr w:rsidR="00AD7F4C" w14:paraId="6FD5E491" w14:textId="77777777" w:rsidTr="00517601">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7030A0"/>
          </w:tcPr>
          <w:p w14:paraId="7F42ED61"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2" behindDoc="0" locked="0" layoutInCell="1" allowOverlap="1" wp14:anchorId="08F41AF0" wp14:editId="17BA2A01">
                      <wp:simplePos x="0" y="0"/>
                      <wp:positionH relativeFrom="column">
                        <wp:posOffset>20320</wp:posOffset>
                      </wp:positionH>
                      <wp:positionV relativeFrom="paragraph">
                        <wp:posOffset>283845</wp:posOffset>
                      </wp:positionV>
                      <wp:extent cx="314325" cy="219075"/>
                      <wp:effectExtent l="38100" t="0" r="28575" b="47625"/>
                      <wp:wrapNone/>
                      <wp:docPr id="73874328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EBD20E" id="Arrow: Up 1" o:spid="_x0000_s1026" type="#_x0000_t68" alt="Up" style="position:absolute;margin-left:1.6pt;margin-top:22.35pt;width:24.75pt;height:17.25pt;rotation:180;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" adj="10800" fillcolor="window" strokecolor="#223f59" strokeweight="1pt"/>
                  </w:pict>
                </mc:Fallback>
              </mc:AlternateContent>
            </w:r>
            <w:r>
              <w:rPr>
                <w:color w:val="FFFFFF" w:themeColor="background1"/>
              </w:rPr>
              <w:t>67% (Q2)</w:t>
            </w:r>
          </w:p>
          <w:p w14:paraId="45999374" w14:textId="77777777" w:rsidR="00AD7F4C" w:rsidRPr="00944DDD" w:rsidRDefault="00AD7F4C" w:rsidP="00517601">
            <w:pPr>
              <w:rPr>
                <w:color w:val="FFFFFF" w:themeColor="background1"/>
              </w:rPr>
            </w:pPr>
            <w:r>
              <w:rPr>
                <w:color w:val="FFFFFF" w:themeColor="background1"/>
              </w:rPr>
              <w:t xml:space="preserve">         -4</w:t>
            </w:r>
            <w:r w:rsidRPr="00944DDD">
              <w:rPr>
                <w:color w:val="FFFFFF" w:themeColor="background1"/>
              </w:rPr>
              <w:t>%</w:t>
            </w:r>
            <w:r>
              <w:rPr>
                <w:color w:val="FFFFFF" w:themeColor="background1"/>
              </w:rPr>
              <w:t xml:space="preserve"> pts</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2FBAB4AA"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3" behindDoc="0" locked="0" layoutInCell="1" allowOverlap="1" wp14:anchorId="5BEA2069" wp14:editId="3FEA30E4">
                      <wp:simplePos x="0" y="0"/>
                      <wp:positionH relativeFrom="column">
                        <wp:posOffset>-13970</wp:posOffset>
                      </wp:positionH>
                      <wp:positionV relativeFrom="paragraph">
                        <wp:posOffset>306070</wp:posOffset>
                      </wp:positionV>
                      <wp:extent cx="314325" cy="219075"/>
                      <wp:effectExtent l="38100" t="0" r="28575" b="47625"/>
                      <wp:wrapNone/>
                      <wp:docPr id="196321799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C1242" id="Arrow: Up 1" o:spid="_x0000_s1026" type="#_x0000_t68" alt="Up" style="position:absolute;margin-left:-1.1pt;margin-top:24.1pt;width:24.75pt;height:17.25pt;rotation:180;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" adj="10800" fillcolor="window" strokecolor="#223f59" strokeweight="1pt"/>
                  </w:pict>
                </mc:Fallback>
              </mc:AlternateContent>
            </w:r>
            <w:r>
              <w:rPr>
                <w:color w:val="FFFFFF" w:themeColor="background1"/>
              </w:rPr>
              <w:t>50% (Q2)</w:t>
            </w:r>
          </w:p>
          <w:p w14:paraId="28B1AA56" w14:textId="77777777" w:rsidR="00AD7F4C" w:rsidRPr="00944DDD" w:rsidRDefault="00AD7F4C" w:rsidP="00517601">
            <w:pPr>
              <w:jc w:val="center"/>
              <w:rPr>
                <w:color w:val="FFFFFF" w:themeColor="background1"/>
              </w:rPr>
            </w:pPr>
            <w:r>
              <w:rPr>
                <w:color w:val="FFFFFF" w:themeColor="background1"/>
              </w:rPr>
              <w:t xml:space="preserve">    -4</w:t>
            </w:r>
            <w:r w:rsidRPr="00944DDD">
              <w:rPr>
                <w:color w:val="FFFFFF" w:themeColor="background1"/>
              </w:rPr>
              <w:t>%</w:t>
            </w:r>
            <w:r>
              <w:rPr>
                <w:color w:val="FFFFFF" w:themeColor="background1"/>
              </w:rPr>
              <w:t xml:space="preserve"> pts</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42E07125" w14:textId="7777777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4" behindDoc="0" locked="0" layoutInCell="1" allowOverlap="1" wp14:anchorId="16625F04" wp14:editId="56E3DB2B">
                      <wp:simplePos x="0" y="0"/>
                      <wp:positionH relativeFrom="column">
                        <wp:posOffset>-2540</wp:posOffset>
                      </wp:positionH>
                      <wp:positionV relativeFrom="paragraph">
                        <wp:posOffset>306070</wp:posOffset>
                      </wp:positionV>
                      <wp:extent cx="314325" cy="219075"/>
                      <wp:effectExtent l="38100" t="19050" r="28575" b="28575"/>
                      <wp:wrapNone/>
                      <wp:docPr id="1700332562"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5B1F8" id="Arrow: Up 1" o:spid="_x0000_s1026" type="#_x0000_t68" alt="Up" style="position:absolute;margin-left:-.2pt;margin-top:24.1pt;width:24.75pt;height:17.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62% (Q2)</w:t>
            </w:r>
          </w:p>
          <w:p w14:paraId="3761725B" w14:textId="77777777" w:rsidR="00AD7F4C" w:rsidRPr="00944DDD" w:rsidRDefault="00AD7F4C" w:rsidP="00517601">
            <w:pPr>
              <w:rPr>
                <w:color w:val="FFFFFF" w:themeColor="background1"/>
              </w:rPr>
            </w:pPr>
            <w:r>
              <w:rPr>
                <w:color w:val="FFFFFF" w:themeColor="background1"/>
              </w:rPr>
              <w:t xml:space="preserve">        no change</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306CE5B3" w14:textId="5BA7284D"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1" behindDoc="0" locked="0" layoutInCell="1" allowOverlap="1" wp14:anchorId="7E5BDBBB" wp14:editId="25099058">
                      <wp:simplePos x="0" y="0"/>
                      <wp:positionH relativeFrom="column">
                        <wp:posOffset>-10160</wp:posOffset>
                      </wp:positionH>
                      <wp:positionV relativeFrom="paragraph">
                        <wp:posOffset>315595</wp:posOffset>
                      </wp:positionV>
                      <wp:extent cx="314325" cy="219075"/>
                      <wp:effectExtent l="38100" t="0" r="28575" b="47625"/>
                      <wp:wrapNone/>
                      <wp:docPr id="13870353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C46CB" id="Arrow: Up 1" o:spid="_x0000_s1026" type="#_x0000_t68" alt="Down" style="position:absolute;margin-left:-.8pt;margin-top:24.85pt;width:24.75pt;height:17.25pt;rotation:180;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sidR="00401032">
              <w:rPr>
                <w:color w:val="FFFFFF" w:themeColor="background1"/>
              </w:rPr>
              <w:t xml:space="preserve">40,589 </w:t>
            </w:r>
            <w:r>
              <w:rPr>
                <w:color w:val="FFFFFF" w:themeColor="background1"/>
              </w:rPr>
              <w:t>issued</w:t>
            </w:r>
          </w:p>
          <w:p w14:paraId="5CB4D94B" w14:textId="0ABAB98F" w:rsidR="00AD7F4C" w:rsidRPr="00944DDD" w:rsidRDefault="00AD7F4C" w:rsidP="00517601">
            <w:pPr>
              <w:ind w:firstLine="720"/>
              <w:rPr>
                <w:color w:val="FFFFFF" w:themeColor="background1"/>
              </w:rPr>
            </w:pPr>
            <w:r>
              <w:rPr>
                <w:color w:val="FFFFFF" w:themeColor="background1"/>
              </w:rPr>
              <w:t>-</w:t>
            </w:r>
            <w:r w:rsidR="00401032">
              <w:rPr>
                <w:color w:val="FFFFFF" w:themeColor="background1"/>
              </w:rPr>
              <w:t>2.5</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7030A0"/>
          </w:tcPr>
          <w:p w14:paraId="21010736" w14:textId="4993C4A7" w:rsidR="00AD7F4C" w:rsidRPr="00944DDD" w:rsidRDefault="00AD7F4C" w:rsidP="00517601">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58275" behindDoc="0" locked="0" layoutInCell="1" allowOverlap="1" wp14:anchorId="7AF339BC" wp14:editId="5FFAE339">
                      <wp:simplePos x="0" y="0"/>
                      <wp:positionH relativeFrom="column">
                        <wp:posOffset>-8255</wp:posOffset>
                      </wp:positionH>
                      <wp:positionV relativeFrom="paragraph">
                        <wp:posOffset>315595</wp:posOffset>
                      </wp:positionV>
                      <wp:extent cx="314325" cy="219075"/>
                      <wp:effectExtent l="38100" t="19050" r="28575" b="28575"/>
                      <wp:wrapNone/>
                      <wp:docPr id="1691653029"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51BF0" id="Arrow: Up 1" o:spid="_x0000_s1026" type="#_x0000_t68" alt="Up" style="position:absolute;margin-left:-.65pt;margin-top:24.85pt;width:24.75pt;height:17.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" adj="10800" fillcolor="window" strokecolor="#223f59" strokeweight="1pt"/>
                  </w:pict>
                </mc:Fallback>
              </mc:AlternateContent>
            </w:r>
            <w:r w:rsidR="00401032">
              <w:rPr>
                <w:color w:val="FFFFFF" w:themeColor="background1"/>
              </w:rPr>
              <w:t>5,036</w:t>
            </w:r>
            <w:r>
              <w:rPr>
                <w:color w:val="FFFFFF" w:themeColor="background1"/>
              </w:rPr>
              <w:t xml:space="preserve"> referrals</w:t>
            </w:r>
          </w:p>
          <w:p w14:paraId="3F7E6AD9" w14:textId="5E63750B" w:rsidR="00AD7F4C" w:rsidRPr="00944DDD" w:rsidRDefault="00401032" w:rsidP="00517601">
            <w:pPr>
              <w:ind w:firstLine="720"/>
              <w:rPr>
                <w:color w:val="FFFFFF" w:themeColor="background1"/>
              </w:rPr>
            </w:pPr>
            <w:r>
              <w:rPr>
                <w:color w:val="FFFFFF" w:themeColor="background1"/>
              </w:rPr>
              <w:t>9.8</w:t>
            </w:r>
            <w:r w:rsidR="00AD7F4C" w:rsidRPr="00944DDD">
              <w:rPr>
                <w:color w:val="FFFFFF" w:themeColor="background1"/>
              </w:rPr>
              <w:t>%</w:t>
            </w:r>
          </w:p>
        </w:tc>
      </w:tr>
    </w:tbl>
    <w:p w14:paraId="7BAE716E" w14:textId="77777777" w:rsidR="00AD7F4C" w:rsidRDefault="00AD7F4C" w:rsidP="00AD7F4C">
      <w:pPr>
        <w:spacing w:before="0" w:after="0" w:line="240" w:lineRule="auto"/>
      </w:pPr>
    </w:p>
    <w:tbl>
      <w:tblPr>
        <w:tblStyle w:val="TableGrid"/>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gridCol w:w="1984"/>
      </w:tblGrid>
      <w:tr w:rsidR="0065557E" w14:paraId="78AFD2F1" w14:textId="77777777" w:rsidTr="00B56C53">
        <w:tc>
          <w:tcPr>
            <w:tcW w:w="1984" w:type="dxa"/>
            <w:tcBorders>
              <w:bottom w:val="single" w:sz="8" w:space="0" w:color="FFFFFF" w:themeColor="background1"/>
              <w:right w:val="single" w:sz="12" w:space="0" w:color="FFFFFF" w:themeColor="background1"/>
            </w:tcBorders>
            <w:shd w:val="clear" w:color="auto" w:fill="7030A0"/>
          </w:tcPr>
          <w:p w14:paraId="0CD5AA20" w14:textId="77777777" w:rsidR="0065557E" w:rsidRPr="00944DDD" w:rsidRDefault="0065557E" w:rsidP="00B56C53">
            <w:pPr>
              <w:spacing w:after="0"/>
              <w:jc w:val="center"/>
              <w:rPr>
                <w:b/>
                <w:bCs/>
                <w:noProof/>
                <w:color w:val="FFFFFF" w:themeColor="background1"/>
              </w:rPr>
            </w:pPr>
            <w:r>
              <w:rPr>
                <w:b/>
                <w:bCs/>
                <w:noProof/>
                <w:color w:val="FFFFFF" w:themeColor="background1"/>
              </w:rPr>
              <w:t>Volume of</w:t>
            </w:r>
            <w:r>
              <w:rPr>
                <w:b/>
                <w:bCs/>
                <w:noProof/>
                <w:color w:val="FFFFFF" w:themeColor="background1"/>
              </w:rPr>
              <w:br/>
              <w:t>999 calls received</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7BEC442B" w14:textId="77777777" w:rsidR="0065557E" w:rsidRPr="00944DDD" w:rsidRDefault="0065557E" w:rsidP="00B56C53">
            <w:pPr>
              <w:spacing w:after="0"/>
              <w:jc w:val="center"/>
              <w:rPr>
                <w:b/>
                <w:bCs/>
                <w:noProof/>
                <w:color w:val="FFFFFF" w:themeColor="background1"/>
              </w:rPr>
            </w:pPr>
            <w:r>
              <w:rPr>
                <w:b/>
                <w:bCs/>
                <w:noProof/>
                <w:color w:val="FFFFFF" w:themeColor="background1"/>
              </w:rPr>
              <w:t>999 calls average speed of answer</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32002ED1" w14:textId="77777777" w:rsidR="0065557E" w:rsidRPr="00944DDD" w:rsidRDefault="0065557E" w:rsidP="00B56C53">
            <w:pPr>
              <w:spacing w:after="0"/>
              <w:jc w:val="center"/>
              <w:rPr>
                <w:b/>
                <w:bCs/>
                <w:noProof/>
                <w:color w:val="FFFFFF" w:themeColor="background1"/>
              </w:rPr>
            </w:pPr>
            <w:r>
              <w:rPr>
                <w:b/>
                <w:bCs/>
                <w:noProof/>
                <w:color w:val="FFFFFF" w:themeColor="background1"/>
              </w:rPr>
              <w:t xml:space="preserve">Volume of </w:t>
            </w:r>
            <w:r>
              <w:rPr>
                <w:b/>
                <w:bCs/>
                <w:noProof/>
                <w:color w:val="FFFFFF" w:themeColor="background1"/>
              </w:rPr>
              <w:br/>
              <w:t>101 calls received</w:t>
            </w:r>
          </w:p>
        </w:tc>
        <w:tc>
          <w:tcPr>
            <w:tcW w:w="1984" w:type="dxa"/>
            <w:tcBorders>
              <w:left w:val="single" w:sz="12" w:space="0" w:color="FFFFFF" w:themeColor="background1"/>
              <w:bottom w:val="single" w:sz="8" w:space="0" w:color="FFFFFF" w:themeColor="background1"/>
              <w:right w:val="single" w:sz="12" w:space="0" w:color="FFFFFF" w:themeColor="background1"/>
            </w:tcBorders>
            <w:shd w:val="clear" w:color="auto" w:fill="7030A0"/>
          </w:tcPr>
          <w:p w14:paraId="4C10D1E1" w14:textId="77777777" w:rsidR="0065557E" w:rsidRPr="00944DDD" w:rsidRDefault="0065557E" w:rsidP="00B56C53">
            <w:pPr>
              <w:spacing w:after="0"/>
              <w:jc w:val="center"/>
              <w:rPr>
                <w:b/>
                <w:bCs/>
                <w:noProof/>
                <w:color w:val="FFFFFF" w:themeColor="background1"/>
              </w:rPr>
            </w:pPr>
            <w:r>
              <w:rPr>
                <w:b/>
                <w:bCs/>
                <w:noProof/>
                <w:color w:val="FFFFFF" w:themeColor="background1"/>
              </w:rPr>
              <w:t>Digital online enquires received</w:t>
            </w:r>
          </w:p>
        </w:tc>
        <w:tc>
          <w:tcPr>
            <w:tcW w:w="1984" w:type="dxa"/>
            <w:tcBorders>
              <w:left w:val="single" w:sz="12" w:space="0" w:color="FFFFFF" w:themeColor="background1"/>
              <w:bottom w:val="single" w:sz="8" w:space="0" w:color="FFFFFF" w:themeColor="background1"/>
            </w:tcBorders>
            <w:shd w:val="clear" w:color="auto" w:fill="7030A0"/>
          </w:tcPr>
          <w:p w14:paraId="3C50894B" w14:textId="77777777" w:rsidR="0065557E" w:rsidRPr="00944DDD" w:rsidRDefault="0065557E" w:rsidP="00B56C53">
            <w:pPr>
              <w:jc w:val="center"/>
              <w:rPr>
                <w:b/>
                <w:bCs/>
                <w:noProof/>
                <w:color w:val="FFFFFF" w:themeColor="background1"/>
              </w:rPr>
            </w:pPr>
            <w:r>
              <w:rPr>
                <w:b/>
                <w:bCs/>
                <w:noProof/>
                <w:color w:val="FFFFFF" w:themeColor="background1"/>
              </w:rPr>
              <w:t>Complaints received relative to C3</w:t>
            </w:r>
          </w:p>
        </w:tc>
      </w:tr>
      <w:tr w:rsidR="0065557E" w14:paraId="2411133E" w14:textId="77777777" w:rsidTr="00B56C53">
        <w:tc>
          <w:tcPr>
            <w:tcW w:w="1984" w:type="dxa"/>
            <w:tcBorders>
              <w:top w:val="single" w:sz="8" w:space="0" w:color="FFFFFF" w:themeColor="background1"/>
              <w:bottom w:val="single" w:sz="8" w:space="0" w:color="FFFFFF" w:themeColor="background1"/>
              <w:right w:val="single" w:sz="12" w:space="0" w:color="FFFFFF" w:themeColor="background1"/>
            </w:tcBorders>
            <w:shd w:val="clear" w:color="auto" w:fill="7030A0"/>
          </w:tcPr>
          <w:p w14:paraId="0C3C5972"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1607" behindDoc="0" locked="0" layoutInCell="1" allowOverlap="1" wp14:anchorId="3E1C090A" wp14:editId="5493A477">
                      <wp:simplePos x="0" y="0"/>
                      <wp:positionH relativeFrom="column">
                        <wp:posOffset>52070</wp:posOffset>
                      </wp:positionH>
                      <wp:positionV relativeFrom="paragraph">
                        <wp:posOffset>296545</wp:posOffset>
                      </wp:positionV>
                      <wp:extent cx="314325" cy="219075"/>
                      <wp:effectExtent l="38100" t="19050" r="28575" b="28575"/>
                      <wp:wrapNone/>
                      <wp:docPr id="977949866"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92715" id="Arrow: Up 1" o:spid="_x0000_s1026" type="#_x0000_t68" alt="Down" style="position:absolute;margin-left:4.1pt;margin-top:23.35pt;width:24.75pt;height:17.25pt;z-index:251671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" adj="10800" fillcolor="window" strokecolor="#223f59" strokeweight="1pt"/>
                  </w:pict>
                </mc:Fallback>
              </mc:AlternateContent>
            </w:r>
            <w:r>
              <w:rPr>
                <w:color w:val="FFFFFF" w:themeColor="background1"/>
              </w:rPr>
              <w:t>422,725 calls</w:t>
            </w:r>
          </w:p>
          <w:p w14:paraId="0240217E" w14:textId="77777777" w:rsidR="0065557E" w:rsidRPr="00944DDD" w:rsidRDefault="0065557E" w:rsidP="00B56C53">
            <w:pPr>
              <w:rPr>
                <w:noProof/>
                <w:color w:val="FFFFFF" w:themeColor="background1"/>
              </w:rPr>
            </w:pPr>
            <w:r w:rsidRPr="00944DDD">
              <w:rPr>
                <w:color w:val="FFFFFF" w:themeColor="background1"/>
              </w:rPr>
              <w:tab/>
            </w:r>
            <w:r>
              <w:rPr>
                <w:color w:val="FFFFFF" w:themeColor="background1"/>
              </w:rPr>
              <w:t>6.5</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71517F4A"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2631" behindDoc="0" locked="0" layoutInCell="1" allowOverlap="1" wp14:anchorId="3F194F48" wp14:editId="49036621">
                      <wp:simplePos x="0" y="0"/>
                      <wp:positionH relativeFrom="column">
                        <wp:posOffset>-13970</wp:posOffset>
                      </wp:positionH>
                      <wp:positionV relativeFrom="paragraph">
                        <wp:posOffset>306070</wp:posOffset>
                      </wp:positionV>
                      <wp:extent cx="314325" cy="219075"/>
                      <wp:effectExtent l="0" t="47625" r="38100" b="57150"/>
                      <wp:wrapNone/>
                      <wp:docPr id="1801181971" name="Arrow: Up 1" descr="Up"/>
                      <wp:cNvGraphicFramePr/>
                      <a:graphic xmlns:a="http://schemas.openxmlformats.org/drawingml/2006/main">
                        <a:graphicData uri="http://schemas.microsoft.com/office/word/2010/wordprocessingShape">
                          <wps:wsp>
                            <wps:cNvSpPr/>
                            <wps:spPr>
                              <a:xfrm rot="54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E8B63" id="Arrow: Up 1" o:spid="_x0000_s1026" type="#_x0000_t68" alt="Up" style="position:absolute;margin-left:-1.1pt;margin-top:24.1pt;width:24.75pt;height:17.25pt;rotation:90;z-index:251672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" adj="10800" fillcolor="window" strokecolor="#223f59" strokeweight="1pt"/>
                  </w:pict>
                </mc:Fallback>
              </mc:AlternateContent>
            </w:r>
            <w:r>
              <w:rPr>
                <w:color w:val="FFFFFF" w:themeColor="background1"/>
              </w:rPr>
              <w:t>9 seconds</w:t>
            </w:r>
          </w:p>
          <w:p w14:paraId="5E8D33A4" w14:textId="77777777" w:rsidR="0065557E" w:rsidRPr="004D057A" w:rsidRDefault="0065557E" w:rsidP="00B56C53">
            <w:pPr>
              <w:rPr>
                <w:rFonts w:cs="Arial"/>
                <w:noProof/>
                <w:color w:val="FFFFFF" w:themeColor="background1"/>
              </w:rPr>
            </w:pPr>
            <w:r>
              <w:rPr>
                <w:rFonts w:cs="Arial"/>
                <w:color w:val="FFFFFF" w:themeColor="background1"/>
                <w:szCs w:val="28"/>
              </w:rPr>
              <w:t xml:space="preserve">        no change</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6A0311C9"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3655" behindDoc="0" locked="0" layoutInCell="1" allowOverlap="1" wp14:anchorId="2271EC30" wp14:editId="077EAC02">
                      <wp:simplePos x="0" y="0"/>
                      <wp:positionH relativeFrom="column">
                        <wp:posOffset>-2540</wp:posOffset>
                      </wp:positionH>
                      <wp:positionV relativeFrom="paragraph">
                        <wp:posOffset>306070</wp:posOffset>
                      </wp:positionV>
                      <wp:extent cx="314325" cy="219075"/>
                      <wp:effectExtent l="38100" t="0" r="28575" b="47625"/>
                      <wp:wrapNone/>
                      <wp:docPr id="464629389"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135FD" id="Arrow: Up 1" o:spid="_x0000_s1026" type="#_x0000_t68" alt="Up" style="position:absolute;margin-left:-.2pt;margin-top:24.1pt;width:24.75pt;height:17.25pt;rotation:180;z-index:251673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" adj="10800" fillcolor="window" strokecolor="#223f59" strokeweight="1pt"/>
                  </w:pict>
                </mc:Fallback>
              </mc:AlternateContent>
            </w:r>
            <w:r>
              <w:rPr>
                <w:color w:val="FFFFFF" w:themeColor="background1"/>
              </w:rPr>
              <w:t xml:space="preserve">850,491 </w:t>
            </w:r>
            <w:r w:rsidRPr="00944DDD">
              <w:rPr>
                <w:color w:val="FFFFFF" w:themeColor="background1"/>
              </w:rPr>
              <w:t>c</w:t>
            </w:r>
            <w:r>
              <w:rPr>
                <w:color w:val="FFFFFF" w:themeColor="background1"/>
              </w:rPr>
              <w:t>alls</w:t>
            </w:r>
          </w:p>
          <w:p w14:paraId="12CE4BDA" w14:textId="77777777" w:rsidR="0065557E" w:rsidRPr="00944DDD" w:rsidRDefault="0065557E" w:rsidP="00B56C53">
            <w:pPr>
              <w:ind w:firstLine="720"/>
              <w:rPr>
                <w:noProof/>
                <w:color w:val="FFFFFF" w:themeColor="background1"/>
              </w:rPr>
            </w:pPr>
            <w:r>
              <w:rPr>
                <w:color w:val="FFFFFF" w:themeColor="background1"/>
              </w:rPr>
              <w:t>-2.9</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7030A0"/>
          </w:tcPr>
          <w:p w14:paraId="0F409907"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4679" behindDoc="0" locked="0" layoutInCell="1" allowOverlap="1" wp14:anchorId="21996F8B" wp14:editId="1658DE6C">
                      <wp:simplePos x="0" y="0"/>
                      <wp:positionH relativeFrom="column">
                        <wp:posOffset>-10160</wp:posOffset>
                      </wp:positionH>
                      <wp:positionV relativeFrom="paragraph">
                        <wp:posOffset>315595</wp:posOffset>
                      </wp:positionV>
                      <wp:extent cx="314325" cy="219075"/>
                      <wp:effectExtent l="38100" t="19050" r="28575" b="28575"/>
                      <wp:wrapNone/>
                      <wp:docPr id="1961708270"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970A06" id="Arrow: Up 1" o:spid="_x0000_s1026" type="#_x0000_t68" alt="Down" style="position:absolute;margin-left:-.8pt;margin-top:24.85pt;width:24.75pt;height:17.25pt;z-index:251674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" adj="10800" fillcolor="window" strokecolor="#223f59" strokeweight="1pt"/>
                  </w:pict>
                </mc:Fallback>
              </mc:AlternateContent>
            </w:r>
            <w:r>
              <w:rPr>
                <w:color w:val="FFFFFF" w:themeColor="background1"/>
              </w:rPr>
              <w:t>123,015 online</w:t>
            </w:r>
          </w:p>
          <w:p w14:paraId="3C3B692D" w14:textId="77777777" w:rsidR="0065557E" w:rsidRPr="00944DDD" w:rsidRDefault="0065557E" w:rsidP="00B56C53">
            <w:pPr>
              <w:ind w:firstLine="720"/>
              <w:rPr>
                <w:noProof/>
                <w:color w:val="FFFFFF" w:themeColor="background1"/>
              </w:rPr>
            </w:pPr>
            <w:r>
              <w:rPr>
                <w:color w:val="FFFFFF" w:themeColor="background1"/>
              </w:rPr>
              <w:t>2.6</w:t>
            </w:r>
            <w:r w:rsidRPr="00944DDD">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7030A0"/>
          </w:tcPr>
          <w:p w14:paraId="4E3EAFB3" w14:textId="77777777" w:rsidR="0065557E" w:rsidRPr="00944DDD" w:rsidRDefault="0065557E" w:rsidP="00B56C53">
            <w:pPr>
              <w:jc w:val="center"/>
              <w:rPr>
                <w:color w:val="FFFFFF" w:themeColor="background1"/>
              </w:rPr>
            </w:pPr>
            <w:r w:rsidRPr="00944DDD">
              <w:rPr>
                <w:noProof/>
                <w:color w:val="FFFFFF" w:themeColor="background1"/>
              </w:rPr>
              <mc:AlternateContent>
                <mc:Choice Requires="wps">
                  <w:drawing>
                    <wp:anchor distT="0" distB="0" distL="114300" distR="114300" simplePos="0" relativeHeight="251675703" behindDoc="0" locked="0" layoutInCell="1" allowOverlap="1" wp14:anchorId="6A598E2D" wp14:editId="08B0565A">
                      <wp:simplePos x="0" y="0"/>
                      <wp:positionH relativeFrom="column">
                        <wp:posOffset>-10160</wp:posOffset>
                      </wp:positionH>
                      <wp:positionV relativeFrom="paragraph">
                        <wp:posOffset>315595</wp:posOffset>
                      </wp:positionV>
                      <wp:extent cx="314325" cy="219075"/>
                      <wp:effectExtent l="38100" t="0" r="28575" b="47625"/>
                      <wp:wrapNone/>
                      <wp:docPr id="697012406"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23CF5E" id="Arrow: Up 1" o:spid="_x0000_s1026" type="#_x0000_t68" alt="Down" style="position:absolute;margin-left:-.8pt;margin-top:24.85pt;width:24.75pt;height:17.25pt;rotation:180;z-index:251675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Pr>
                <w:color w:val="FFFFFF" w:themeColor="background1"/>
              </w:rPr>
              <w:t xml:space="preserve"> 151 complaints</w:t>
            </w:r>
          </w:p>
          <w:p w14:paraId="55E74363" w14:textId="77777777" w:rsidR="0065557E" w:rsidRPr="00944DDD" w:rsidRDefault="0065557E" w:rsidP="00B56C53">
            <w:pPr>
              <w:rPr>
                <w:noProof/>
                <w:color w:val="FFFFFF" w:themeColor="background1"/>
              </w:rPr>
            </w:pPr>
            <w:r>
              <w:rPr>
                <w:color w:val="FFFFFF" w:themeColor="background1"/>
              </w:rPr>
              <w:t xml:space="preserve">          -1.3</w:t>
            </w:r>
            <w:r w:rsidRPr="00944DDD">
              <w:rPr>
                <w:color w:val="FFFFFF" w:themeColor="background1"/>
              </w:rPr>
              <w:t>%</w:t>
            </w:r>
          </w:p>
        </w:tc>
      </w:tr>
    </w:tbl>
    <w:p w14:paraId="069765D7" w14:textId="27B5F727" w:rsidR="00AD7F4C" w:rsidRPr="005B0A0C" w:rsidRDefault="00AD7F4C" w:rsidP="00AD7F4C">
      <w:pPr>
        <w:pStyle w:val="ExecSummaryHeading"/>
      </w:pPr>
      <w:r>
        <w:t>Thriving Workforce</w:t>
      </w:r>
    </w:p>
    <w:tbl>
      <w:tblPr>
        <w:tblStyle w:val="TableGrid"/>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28"/>
        <w:gridCol w:w="2041"/>
        <w:gridCol w:w="1984"/>
      </w:tblGrid>
      <w:tr w:rsidR="0065557E" w14:paraId="3ACBDE92" w14:textId="77777777" w:rsidTr="00B56C53">
        <w:tc>
          <w:tcPr>
            <w:tcW w:w="1984" w:type="dxa"/>
            <w:tcBorders>
              <w:bottom w:val="single" w:sz="4" w:space="0" w:color="FFFFFF" w:themeColor="background1"/>
              <w:right w:val="single" w:sz="12" w:space="0" w:color="FFFFFF" w:themeColor="background1"/>
            </w:tcBorders>
            <w:shd w:val="clear" w:color="auto" w:fill="C74D00"/>
          </w:tcPr>
          <w:p w14:paraId="73659E30" w14:textId="77777777" w:rsidR="0065557E" w:rsidRPr="00B47B92" w:rsidRDefault="0065557E" w:rsidP="00B56C53">
            <w:pPr>
              <w:jc w:val="center"/>
              <w:rPr>
                <w:b/>
                <w:bCs/>
                <w:color w:val="FFFFFF" w:themeColor="background1"/>
              </w:rPr>
            </w:pPr>
            <w:r>
              <w:rPr>
                <w:b/>
                <w:bCs/>
                <w:color w:val="FFFFFF" w:themeColor="background1"/>
              </w:rPr>
              <w:t>Assaults &amp; Injuries officers/staff</w:t>
            </w:r>
          </w:p>
        </w:tc>
        <w:tc>
          <w:tcPr>
            <w:tcW w:w="1984" w:type="dxa"/>
            <w:tcBorders>
              <w:left w:val="single" w:sz="12" w:space="0" w:color="FFFFFF" w:themeColor="background1"/>
              <w:bottom w:val="single" w:sz="4" w:space="0" w:color="FFFFFF" w:themeColor="background1"/>
              <w:right w:val="single" w:sz="12" w:space="0" w:color="FFFFFF" w:themeColor="background1"/>
            </w:tcBorders>
            <w:shd w:val="clear" w:color="auto" w:fill="C74D00"/>
          </w:tcPr>
          <w:p w14:paraId="1C7286A2" w14:textId="77777777" w:rsidR="0065557E" w:rsidRPr="00B47B92" w:rsidRDefault="0065557E" w:rsidP="00B56C53">
            <w:pPr>
              <w:jc w:val="center"/>
              <w:rPr>
                <w:b/>
                <w:bCs/>
                <w:color w:val="FFFFFF" w:themeColor="background1"/>
              </w:rPr>
            </w:pPr>
            <w:r>
              <w:rPr>
                <w:b/>
                <w:bCs/>
                <w:color w:val="FFFFFF" w:themeColor="background1"/>
              </w:rPr>
              <w:t>Percentage of Working Days Lost (WDL)</w:t>
            </w:r>
          </w:p>
        </w:tc>
        <w:tc>
          <w:tcPr>
            <w:tcW w:w="1928" w:type="dxa"/>
            <w:tcBorders>
              <w:left w:val="single" w:sz="12" w:space="0" w:color="FFFFFF" w:themeColor="background1"/>
              <w:bottom w:val="single" w:sz="4" w:space="0" w:color="FFFFFF" w:themeColor="background1"/>
              <w:right w:val="single" w:sz="12" w:space="0" w:color="FFFFFF" w:themeColor="background1"/>
            </w:tcBorders>
            <w:shd w:val="clear" w:color="auto" w:fill="C74D00"/>
          </w:tcPr>
          <w:p w14:paraId="70A3BD9B" w14:textId="77777777" w:rsidR="0065557E" w:rsidRPr="00B47B92" w:rsidRDefault="0065557E" w:rsidP="00B56C53">
            <w:pPr>
              <w:jc w:val="center"/>
              <w:rPr>
                <w:b/>
                <w:bCs/>
                <w:color w:val="FFFFFF" w:themeColor="background1"/>
              </w:rPr>
            </w:pPr>
            <w:r>
              <w:rPr>
                <w:b/>
                <w:bCs/>
                <w:color w:val="FFFFFF" w:themeColor="background1"/>
              </w:rPr>
              <w:t>Percentage turnover of officers/staff</w:t>
            </w:r>
          </w:p>
        </w:tc>
        <w:tc>
          <w:tcPr>
            <w:tcW w:w="2041" w:type="dxa"/>
            <w:tcBorders>
              <w:left w:val="single" w:sz="12" w:space="0" w:color="FFFFFF" w:themeColor="background1"/>
              <w:bottom w:val="single" w:sz="8" w:space="0" w:color="FFFFFF" w:themeColor="background1"/>
              <w:right w:val="single" w:sz="12" w:space="0" w:color="FFFFFF" w:themeColor="background1"/>
            </w:tcBorders>
            <w:shd w:val="clear" w:color="auto" w:fill="C74D00"/>
          </w:tcPr>
          <w:p w14:paraId="54ADCB75" w14:textId="77777777" w:rsidR="0065557E" w:rsidRPr="00B47B92" w:rsidRDefault="0065557E" w:rsidP="00B56C53">
            <w:pPr>
              <w:jc w:val="center"/>
              <w:rPr>
                <w:b/>
                <w:bCs/>
                <w:color w:val="FFFFFF" w:themeColor="background1"/>
              </w:rPr>
            </w:pPr>
            <w:r>
              <w:rPr>
                <w:b/>
                <w:bCs/>
                <w:color w:val="FFFFFF" w:themeColor="background1"/>
              </w:rPr>
              <w:t>PSD Complaints &amp; Allegations</w:t>
            </w:r>
          </w:p>
        </w:tc>
        <w:tc>
          <w:tcPr>
            <w:tcW w:w="1984" w:type="dxa"/>
            <w:tcBorders>
              <w:left w:val="single" w:sz="12" w:space="0" w:color="FFFFFF" w:themeColor="background1"/>
              <w:bottom w:val="single" w:sz="8" w:space="0" w:color="FFFFFF" w:themeColor="background1"/>
            </w:tcBorders>
            <w:shd w:val="clear" w:color="auto" w:fill="C74D00"/>
          </w:tcPr>
          <w:p w14:paraId="2A6333ED" w14:textId="77777777" w:rsidR="0065557E" w:rsidRPr="00B47B92" w:rsidRDefault="0065557E" w:rsidP="00B56C53">
            <w:pPr>
              <w:jc w:val="center"/>
              <w:rPr>
                <w:b/>
                <w:bCs/>
                <w:color w:val="FFFFFF" w:themeColor="background1"/>
              </w:rPr>
            </w:pPr>
            <w:r>
              <w:rPr>
                <w:b/>
                <w:bCs/>
                <w:color w:val="FFFFFF" w:themeColor="background1"/>
              </w:rPr>
              <w:t>Financial Sustainability Underspends</w:t>
            </w:r>
          </w:p>
        </w:tc>
      </w:tr>
      <w:tr w:rsidR="0065557E" w14:paraId="5BF09110" w14:textId="77777777" w:rsidTr="00B56C53">
        <w:tc>
          <w:tcPr>
            <w:tcW w:w="1984" w:type="dxa"/>
            <w:tcBorders>
              <w:top w:val="single" w:sz="4" w:space="0" w:color="FFFFFF" w:themeColor="background1"/>
              <w:bottom w:val="single" w:sz="8" w:space="0" w:color="FFFFFF" w:themeColor="background1"/>
              <w:right w:val="single" w:sz="12" w:space="0" w:color="FFFFFF" w:themeColor="background1"/>
            </w:tcBorders>
            <w:shd w:val="clear" w:color="auto" w:fill="C74D00"/>
          </w:tcPr>
          <w:p w14:paraId="3A2647DA"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2391" behindDoc="0" locked="0" layoutInCell="1" allowOverlap="1" wp14:anchorId="15C2160B" wp14:editId="51D46A6E">
                      <wp:simplePos x="0" y="0"/>
                      <wp:positionH relativeFrom="column">
                        <wp:posOffset>20320</wp:posOffset>
                      </wp:positionH>
                      <wp:positionV relativeFrom="paragraph">
                        <wp:posOffset>283845</wp:posOffset>
                      </wp:positionV>
                      <wp:extent cx="314325" cy="219075"/>
                      <wp:effectExtent l="38100" t="19050" r="28575" b="28575"/>
                      <wp:wrapNone/>
                      <wp:docPr id="1829309115"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F6171" id="Arrow: Up 1" o:spid="_x0000_s1026" type="#_x0000_t68" alt="Up" style="position:absolute;margin-left:1.6pt;margin-top:22.35pt;width:24.75pt;height:17.25pt;z-index:251662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" adj="10800" fillcolor="window" strokecolor="#223f59" strokeweight="1pt"/>
                  </w:pict>
                </mc:Fallback>
              </mc:AlternateContent>
            </w:r>
            <w:r>
              <w:rPr>
                <w:color w:val="FFFFFF" w:themeColor="background1"/>
              </w:rPr>
              <w:t>4,088 assaults</w:t>
            </w:r>
          </w:p>
          <w:p w14:paraId="699F549A" w14:textId="77777777" w:rsidR="0065557E" w:rsidRPr="00B47B92" w:rsidRDefault="0065557E" w:rsidP="00B56C53">
            <w:pPr>
              <w:rPr>
                <w:color w:val="FFFFFF" w:themeColor="background1"/>
              </w:rPr>
            </w:pPr>
            <w:r>
              <w:rPr>
                <w:color w:val="FFFFFF" w:themeColor="background1"/>
              </w:rPr>
              <w:t xml:space="preserve">         7.0</w:t>
            </w:r>
            <w:r w:rsidRPr="00B47B92">
              <w:rPr>
                <w:color w:val="FFFFFF" w:themeColor="background1"/>
              </w:rPr>
              <w:t>%</w:t>
            </w:r>
          </w:p>
        </w:tc>
        <w:tc>
          <w:tcPr>
            <w:tcW w:w="1984"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207D930E"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6487" behindDoc="0" locked="0" layoutInCell="1" allowOverlap="1" wp14:anchorId="5D03CDE8" wp14:editId="75FF3636">
                      <wp:simplePos x="0" y="0"/>
                      <wp:positionH relativeFrom="column">
                        <wp:posOffset>-13970</wp:posOffset>
                      </wp:positionH>
                      <wp:positionV relativeFrom="paragraph">
                        <wp:posOffset>306070</wp:posOffset>
                      </wp:positionV>
                      <wp:extent cx="314325" cy="219075"/>
                      <wp:effectExtent l="38100" t="19050" r="28575" b="28575"/>
                      <wp:wrapNone/>
                      <wp:docPr id="1214455974"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6C2E4" id="Arrow: Up 1" o:spid="_x0000_s1026" type="#_x0000_t68" alt="Up" style="position:absolute;margin-left:-1.1pt;margin-top:24.1pt;width:24.75pt;height:17.25pt;z-index:251666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" adj="10800" fillcolor="window" strokecolor="#223f59" strokeweight="1pt"/>
                  </w:pict>
                </mc:Fallback>
              </mc:AlternateContent>
            </w:r>
            <w:r>
              <w:rPr>
                <w:color w:val="FFFFFF" w:themeColor="background1"/>
              </w:rPr>
              <w:t>7.2% officers</w:t>
            </w:r>
          </w:p>
          <w:p w14:paraId="0C7F4446" w14:textId="77777777" w:rsidR="0065557E" w:rsidRPr="00B47B92" w:rsidRDefault="0065557E" w:rsidP="00B56C53">
            <w:pPr>
              <w:jc w:val="center"/>
              <w:rPr>
                <w:color w:val="FFFFFF" w:themeColor="background1"/>
              </w:rPr>
            </w:pPr>
            <w:r>
              <w:rPr>
                <w:color w:val="FFFFFF" w:themeColor="background1"/>
              </w:rPr>
              <w:t xml:space="preserve">    0.7</w:t>
            </w:r>
            <w:r w:rsidRPr="00B47B92">
              <w:rPr>
                <w:color w:val="FFFFFF" w:themeColor="background1"/>
              </w:rPr>
              <w:t>%</w:t>
            </w:r>
            <w:r>
              <w:rPr>
                <w:color w:val="FFFFFF" w:themeColor="background1"/>
              </w:rPr>
              <w:t xml:space="preserve"> pts</w:t>
            </w:r>
          </w:p>
        </w:tc>
        <w:tc>
          <w:tcPr>
            <w:tcW w:w="1928" w:type="dxa"/>
            <w:tcBorders>
              <w:top w:val="single" w:sz="4"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096AF026"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8535" behindDoc="0" locked="0" layoutInCell="1" allowOverlap="1" wp14:anchorId="5ACFBC43" wp14:editId="6E763FE9">
                      <wp:simplePos x="0" y="0"/>
                      <wp:positionH relativeFrom="column">
                        <wp:posOffset>-2540</wp:posOffset>
                      </wp:positionH>
                      <wp:positionV relativeFrom="paragraph">
                        <wp:posOffset>306070</wp:posOffset>
                      </wp:positionV>
                      <wp:extent cx="314325" cy="219075"/>
                      <wp:effectExtent l="38100" t="19050" r="28575" b="28575"/>
                      <wp:wrapNone/>
                      <wp:docPr id="815133470"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7FB42" id="Arrow: Up 1" o:spid="_x0000_s1026" type="#_x0000_t68" alt="Up" style="position:absolute;margin-left:-.2pt;margin-top:24.1pt;width:24.75pt;height:17.25pt;z-index:251668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" adj="10800" fillcolor="window" strokecolor="#223f59" strokeweight="1pt"/>
                  </w:pict>
                </mc:Fallback>
              </mc:AlternateContent>
            </w:r>
            <w:r>
              <w:rPr>
                <w:color w:val="FFFFFF" w:themeColor="background1"/>
              </w:rPr>
              <w:t>0.42% officers</w:t>
            </w:r>
          </w:p>
          <w:p w14:paraId="668B968D" w14:textId="77777777" w:rsidR="0065557E" w:rsidRPr="00B47B92" w:rsidRDefault="0065557E" w:rsidP="00B56C53">
            <w:pPr>
              <w:rPr>
                <w:color w:val="FFFFFF" w:themeColor="background1"/>
              </w:rPr>
            </w:pPr>
            <w:r>
              <w:rPr>
                <w:color w:val="FFFFFF" w:themeColor="background1"/>
              </w:rPr>
              <w:t xml:space="preserve">        0.02</w:t>
            </w:r>
            <w:r w:rsidRPr="00B47B92">
              <w:rPr>
                <w:color w:val="FFFFFF" w:themeColor="background1"/>
              </w:rPr>
              <w:t>%</w:t>
            </w:r>
            <w:r>
              <w:rPr>
                <w:color w:val="FFFFFF" w:themeColor="background1"/>
              </w:rPr>
              <w:t xml:space="preserve"> pts</w:t>
            </w:r>
          </w:p>
        </w:tc>
        <w:tc>
          <w:tcPr>
            <w:tcW w:w="2041"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C74D00"/>
          </w:tcPr>
          <w:p w14:paraId="141B9AA2"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4439" behindDoc="0" locked="0" layoutInCell="1" allowOverlap="1" wp14:anchorId="497ECB39" wp14:editId="20473408">
                      <wp:simplePos x="0" y="0"/>
                      <wp:positionH relativeFrom="column">
                        <wp:posOffset>-10160</wp:posOffset>
                      </wp:positionH>
                      <wp:positionV relativeFrom="paragraph">
                        <wp:posOffset>315595</wp:posOffset>
                      </wp:positionV>
                      <wp:extent cx="314325" cy="219075"/>
                      <wp:effectExtent l="38100" t="0" r="28575" b="47625"/>
                      <wp:wrapNone/>
                      <wp:docPr id="725766955" name="Arrow: Up 1" descr="Down"/>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06E49" id="Arrow: Up 1" o:spid="_x0000_s1026" type="#_x0000_t68" alt="Down" style="position:absolute;margin-left:-.8pt;margin-top:24.85pt;width:24.75pt;height:17.25pt;rotation:180;z-index:25166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" adj="10800" fillcolor="window" strokecolor="#223f59" strokeweight="1pt"/>
                  </w:pict>
                </mc:Fallback>
              </mc:AlternateContent>
            </w:r>
            <w:r>
              <w:rPr>
                <w:color w:val="FFFFFF" w:themeColor="background1"/>
              </w:rPr>
              <w:t>2,806 complaints</w:t>
            </w:r>
          </w:p>
          <w:p w14:paraId="0207F28D" w14:textId="77777777" w:rsidR="0065557E" w:rsidRPr="00B47B92" w:rsidRDefault="0065557E" w:rsidP="00B56C53">
            <w:pPr>
              <w:rPr>
                <w:color w:val="FFFFFF" w:themeColor="background1"/>
              </w:rPr>
            </w:pPr>
            <w:r>
              <w:rPr>
                <w:color w:val="FFFFFF" w:themeColor="background1"/>
              </w:rPr>
              <w:t xml:space="preserve">         -26.4</w:t>
            </w:r>
            <w:r w:rsidRPr="00B47B92">
              <w:rPr>
                <w:color w:val="FFFFFF" w:themeColor="background1"/>
              </w:rPr>
              <w:t>%</w:t>
            </w:r>
          </w:p>
        </w:tc>
        <w:tc>
          <w:tcPr>
            <w:tcW w:w="1984" w:type="dxa"/>
            <w:tcBorders>
              <w:top w:val="single" w:sz="8" w:space="0" w:color="FFFFFF" w:themeColor="background1"/>
              <w:left w:val="single" w:sz="12" w:space="0" w:color="FFFFFF" w:themeColor="background1"/>
              <w:bottom w:val="single" w:sz="8" w:space="0" w:color="FFFFFF" w:themeColor="background1"/>
            </w:tcBorders>
            <w:shd w:val="clear" w:color="auto" w:fill="C74D00"/>
          </w:tcPr>
          <w:p w14:paraId="05F0B975"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3415" behindDoc="0" locked="0" layoutInCell="1" allowOverlap="1" wp14:anchorId="66A3E714" wp14:editId="38E4D1BE">
                      <wp:simplePos x="0" y="0"/>
                      <wp:positionH relativeFrom="column">
                        <wp:posOffset>-8255</wp:posOffset>
                      </wp:positionH>
                      <wp:positionV relativeFrom="paragraph">
                        <wp:posOffset>315595</wp:posOffset>
                      </wp:positionV>
                      <wp:extent cx="314325" cy="219075"/>
                      <wp:effectExtent l="38100" t="0" r="28575" b="47625"/>
                      <wp:wrapNone/>
                      <wp:docPr id="65632355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21F61" id="Arrow: Up 1" o:spid="_x0000_s1026" type="#_x0000_t68" alt="Up" style="position:absolute;margin-left:-.65pt;margin-top:24.85pt;width:24.75pt;height:17.25pt;rotation:180;z-index:251663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" adj="10800" fillcolor="window" strokecolor="#223f59" strokeweight="1pt"/>
                  </w:pict>
                </mc:Fallback>
              </mc:AlternateContent>
            </w:r>
            <w:r>
              <w:rPr>
                <w:color w:val="FFFFFF" w:themeColor="background1"/>
              </w:rPr>
              <w:t>Revenue budget</w:t>
            </w:r>
          </w:p>
          <w:p w14:paraId="7F0773C0" w14:textId="77777777" w:rsidR="0065557E" w:rsidRPr="00B47B92" w:rsidRDefault="0065557E" w:rsidP="00B56C53">
            <w:pPr>
              <w:rPr>
                <w:color w:val="FFFFFF" w:themeColor="background1"/>
              </w:rPr>
            </w:pPr>
            <w:r>
              <w:rPr>
                <w:color w:val="FFFFFF" w:themeColor="background1"/>
              </w:rPr>
              <w:t xml:space="preserve">         £1.1m</w:t>
            </w:r>
          </w:p>
        </w:tc>
      </w:tr>
      <w:tr w:rsidR="0065557E" w14:paraId="0F8C55BE" w14:textId="77777777" w:rsidTr="00B56C53">
        <w:tc>
          <w:tcPr>
            <w:tcW w:w="1984" w:type="dxa"/>
            <w:tcBorders>
              <w:top w:val="single" w:sz="8" w:space="0" w:color="FFFFFF" w:themeColor="background1"/>
              <w:bottom w:val="single" w:sz="12" w:space="0" w:color="FFFFFF" w:themeColor="background1"/>
              <w:right w:val="single" w:sz="12" w:space="0" w:color="FFFFFF" w:themeColor="background1"/>
            </w:tcBorders>
            <w:shd w:val="clear" w:color="auto" w:fill="C74D00"/>
          </w:tcPr>
          <w:p w14:paraId="36F9FB57"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0343" behindDoc="0" locked="0" layoutInCell="1" allowOverlap="1" wp14:anchorId="3D4F39F2" wp14:editId="236EBD2D">
                      <wp:simplePos x="0" y="0"/>
                      <wp:positionH relativeFrom="column">
                        <wp:posOffset>3175</wp:posOffset>
                      </wp:positionH>
                      <wp:positionV relativeFrom="paragraph">
                        <wp:posOffset>320675</wp:posOffset>
                      </wp:positionV>
                      <wp:extent cx="314325" cy="219075"/>
                      <wp:effectExtent l="38100" t="0" r="28575" b="47625"/>
                      <wp:wrapNone/>
                      <wp:docPr id="50064997"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2D0AC" id="Arrow: Up 1" o:spid="_x0000_s1026" type="#_x0000_t68" alt="Up" style="position:absolute;margin-left:.25pt;margin-top:25.25pt;width:24.75pt;height:17.25pt;rotation:180;z-index:251660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" adj="10800" fillcolor="window" strokecolor="#223f59" strokeweight="1pt"/>
                  </w:pict>
                </mc:Fallback>
              </mc:AlternateContent>
            </w:r>
            <w:r>
              <w:rPr>
                <w:color w:val="FFFFFF" w:themeColor="background1"/>
              </w:rPr>
              <w:t>23.4% injured</w:t>
            </w:r>
          </w:p>
          <w:p w14:paraId="2F2BFAFE" w14:textId="77777777" w:rsidR="0065557E" w:rsidRPr="00B47B92" w:rsidRDefault="0065557E" w:rsidP="00B56C53">
            <w:pPr>
              <w:rPr>
                <w:color w:val="FFFFFF" w:themeColor="background1"/>
              </w:rPr>
            </w:pPr>
            <w:r>
              <w:rPr>
                <w:color w:val="FFFFFF" w:themeColor="background1"/>
              </w:rPr>
              <w:t xml:space="preserve">         -1.8</w:t>
            </w:r>
            <w:r w:rsidRPr="00B47B92">
              <w:rPr>
                <w:color w:val="FFFFFF" w:themeColor="background1"/>
              </w:rPr>
              <w:t>%</w:t>
            </w:r>
            <w:r>
              <w:rPr>
                <w:color w:val="FFFFFF" w:themeColor="background1"/>
              </w:rPr>
              <w:t xml:space="preserve"> pts</w:t>
            </w:r>
          </w:p>
        </w:tc>
        <w:tc>
          <w:tcPr>
            <w:tcW w:w="1984"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4548B991"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7511" behindDoc="0" locked="0" layoutInCell="1" allowOverlap="1" wp14:anchorId="6A5C2D07" wp14:editId="6D3862E5">
                      <wp:simplePos x="0" y="0"/>
                      <wp:positionH relativeFrom="column">
                        <wp:posOffset>-4445</wp:posOffset>
                      </wp:positionH>
                      <wp:positionV relativeFrom="paragraph">
                        <wp:posOffset>299085</wp:posOffset>
                      </wp:positionV>
                      <wp:extent cx="314325" cy="219075"/>
                      <wp:effectExtent l="38100" t="19050" r="28575" b="28575"/>
                      <wp:wrapNone/>
                      <wp:docPr id="1582657886" name="Arrow: Up 1" descr="Down"/>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DECAFB" id="Arrow: Up 1" o:spid="_x0000_s1026" type="#_x0000_t68" alt="Down" style="position:absolute;margin-left:-.35pt;margin-top:23.55pt;width:24.75pt;height:17.25pt;z-index:251667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" adj="10800" fillcolor="window" strokecolor="#223f59" strokeweight="1pt"/>
                  </w:pict>
                </mc:Fallback>
              </mc:AlternateContent>
            </w:r>
            <w:r>
              <w:rPr>
                <w:color w:val="FFFFFF" w:themeColor="background1"/>
              </w:rPr>
              <w:t>6.8% staff</w:t>
            </w:r>
          </w:p>
          <w:p w14:paraId="1203BA9B" w14:textId="77777777" w:rsidR="0065557E" w:rsidRPr="00B47B92" w:rsidRDefault="0065557E" w:rsidP="00B56C53">
            <w:pPr>
              <w:rPr>
                <w:color w:val="FFFFFF" w:themeColor="background1"/>
              </w:rPr>
            </w:pPr>
            <w:r>
              <w:rPr>
                <w:color w:val="FFFFFF" w:themeColor="background1"/>
              </w:rPr>
              <w:t xml:space="preserve">        0.1</w:t>
            </w:r>
            <w:r w:rsidRPr="00B47B92">
              <w:rPr>
                <w:color w:val="FFFFFF" w:themeColor="background1"/>
              </w:rPr>
              <w:t>%</w:t>
            </w:r>
            <w:r>
              <w:rPr>
                <w:color w:val="FFFFFF" w:themeColor="background1"/>
              </w:rPr>
              <w:t xml:space="preserve"> pts</w:t>
            </w:r>
          </w:p>
        </w:tc>
        <w:tc>
          <w:tcPr>
            <w:tcW w:w="1928"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341A985D"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9559" behindDoc="0" locked="0" layoutInCell="1" allowOverlap="1" wp14:anchorId="2736E6FA" wp14:editId="0047BAFF">
                      <wp:simplePos x="0" y="0"/>
                      <wp:positionH relativeFrom="column">
                        <wp:posOffset>-635</wp:posOffset>
                      </wp:positionH>
                      <wp:positionV relativeFrom="paragraph">
                        <wp:posOffset>302260</wp:posOffset>
                      </wp:positionV>
                      <wp:extent cx="314325" cy="219075"/>
                      <wp:effectExtent l="38100" t="0" r="28575" b="47625"/>
                      <wp:wrapNone/>
                      <wp:docPr id="811070370"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A97D1" id="Arrow: Up 1" o:spid="_x0000_s1026" type="#_x0000_t68" alt="Up" style="position:absolute;margin-left:-.05pt;margin-top:23.8pt;width:24.75pt;height:17.25pt;rotation:180;z-index:251669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" adj="10800" fillcolor="window" strokecolor="#223f59" strokeweight="1pt"/>
                  </w:pict>
                </mc:Fallback>
              </mc:AlternateContent>
            </w:r>
            <w:r>
              <w:rPr>
                <w:color w:val="FFFFFF" w:themeColor="background1"/>
              </w:rPr>
              <w:t>0.82% staff</w:t>
            </w:r>
          </w:p>
          <w:p w14:paraId="7B53E945" w14:textId="77777777" w:rsidR="0065557E" w:rsidRPr="00B47B92" w:rsidRDefault="0065557E" w:rsidP="00B56C53">
            <w:pPr>
              <w:rPr>
                <w:color w:val="FFFFFF" w:themeColor="background1"/>
              </w:rPr>
            </w:pPr>
            <w:r>
              <w:rPr>
                <w:color w:val="FFFFFF" w:themeColor="background1"/>
                <w:sz w:val="22"/>
                <w:szCs w:val="22"/>
              </w:rPr>
              <w:t xml:space="preserve">         </w:t>
            </w:r>
            <w:r w:rsidRPr="005A520D">
              <w:rPr>
                <w:color w:val="FFFFFF" w:themeColor="background1"/>
              </w:rPr>
              <w:t>-1.26% pts</w:t>
            </w:r>
          </w:p>
        </w:tc>
        <w:tc>
          <w:tcPr>
            <w:tcW w:w="2041" w:type="dxa"/>
            <w:tcBorders>
              <w:top w:val="single" w:sz="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74D00"/>
          </w:tcPr>
          <w:p w14:paraId="5D28F2D4"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5463" behindDoc="0" locked="0" layoutInCell="1" allowOverlap="1" wp14:anchorId="5ADD88A0" wp14:editId="7FCF409C">
                      <wp:simplePos x="0" y="0"/>
                      <wp:positionH relativeFrom="column">
                        <wp:posOffset>-635</wp:posOffset>
                      </wp:positionH>
                      <wp:positionV relativeFrom="paragraph">
                        <wp:posOffset>311150</wp:posOffset>
                      </wp:positionV>
                      <wp:extent cx="314325" cy="219075"/>
                      <wp:effectExtent l="38100" t="0" r="28575" b="47625"/>
                      <wp:wrapNone/>
                      <wp:docPr id="1527771532" name="Arrow: Up 1" descr="Up"/>
                      <wp:cNvGraphicFramePr/>
                      <a:graphic xmlns:a="http://schemas.openxmlformats.org/drawingml/2006/main">
                        <a:graphicData uri="http://schemas.microsoft.com/office/word/2010/wordprocessingShape">
                          <wps:wsp>
                            <wps:cNvSpPr/>
                            <wps:spPr>
                              <a:xfrm rot="10800000">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64017" id="Arrow: Up 1" o:spid="_x0000_s1026" type="#_x0000_t68" alt="Up" style="position:absolute;margin-left:-.05pt;margin-top:24.5pt;width:24.75pt;height:17.25pt;rotation:180;z-index:251665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" adj="10800" fillcolor="window" strokecolor="#223f59" strokeweight="1pt"/>
                  </w:pict>
                </mc:Fallback>
              </mc:AlternateContent>
            </w:r>
            <w:r>
              <w:rPr>
                <w:color w:val="FFFFFF" w:themeColor="background1"/>
              </w:rPr>
              <w:t>5,108 allegations</w:t>
            </w:r>
          </w:p>
          <w:p w14:paraId="06F8851D" w14:textId="77777777" w:rsidR="0065557E" w:rsidRPr="00B47B92" w:rsidRDefault="0065557E" w:rsidP="00B56C53">
            <w:pPr>
              <w:rPr>
                <w:color w:val="FFFFFF" w:themeColor="background1"/>
              </w:rPr>
            </w:pPr>
            <w:r>
              <w:rPr>
                <w:color w:val="FFFFFF" w:themeColor="background1"/>
              </w:rPr>
              <w:t xml:space="preserve">         -24.1</w:t>
            </w:r>
            <w:r w:rsidRPr="00B47B92">
              <w:rPr>
                <w:color w:val="FFFFFF" w:themeColor="background1"/>
              </w:rPr>
              <w:t>%</w:t>
            </w:r>
          </w:p>
        </w:tc>
        <w:tc>
          <w:tcPr>
            <w:tcW w:w="1984" w:type="dxa"/>
            <w:tcBorders>
              <w:top w:val="single" w:sz="8" w:space="0" w:color="FFFFFF" w:themeColor="background1"/>
              <w:left w:val="single" w:sz="12" w:space="0" w:color="FFFFFF" w:themeColor="background1"/>
              <w:bottom w:val="single" w:sz="12" w:space="0" w:color="FFFFFF" w:themeColor="background1"/>
            </w:tcBorders>
            <w:shd w:val="clear" w:color="auto" w:fill="C74D00"/>
          </w:tcPr>
          <w:p w14:paraId="071751B3" w14:textId="77777777" w:rsidR="0065557E" w:rsidRPr="00B47B92" w:rsidRDefault="0065557E" w:rsidP="00B56C53">
            <w:pPr>
              <w:jc w:val="center"/>
              <w:rPr>
                <w:color w:val="FFFFFF" w:themeColor="background1"/>
              </w:rPr>
            </w:pPr>
            <w:r w:rsidRPr="00B47B92">
              <w:rPr>
                <w:noProof/>
                <w:color w:val="FFFFFF" w:themeColor="background1"/>
              </w:rPr>
              <mc:AlternateContent>
                <mc:Choice Requires="wps">
                  <w:drawing>
                    <wp:anchor distT="0" distB="0" distL="114300" distR="114300" simplePos="0" relativeHeight="251661367" behindDoc="0" locked="0" layoutInCell="1" allowOverlap="1" wp14:anchorId="4CEE8AC5" wp14:editId="764E8932">
                      <wp:simplePos x="0" y="0"/>
                      <wp:positionH relativeFrom="column">
                        <wp:posOffset>-8255</wp:posOffset>
                      </wp:positionH>
                      <wp:positionV relativeFrom="paragraph">
                        <wp:posOffset>311150</wp:posOffset>
                      </wp:positionV>
                      <wp:extent cx="314325" cy="219075"/>
                      <wp:effectExtent l="38100" t="19050" r="28575" b="28575"/>
                      <wp:wrapNone/>
                      <wp:docPr id="1077079976" name="Arrow: Up 1" descr="Up"/>
                      <wp:cNvGraphicFramePr/>
                      <a:graphic xmlns:a="http://schemas.openxmlformats.org/drawingml/2006/main">
                        <a:graphicData uri="http://schemas.microsoft.com/office/word/2010/wordprocessingShape">
                          <wps:wsp>
                            <wps:cNvSpPr/>
                            <wps:spPr>
                              <a:xfrm>
                                <a:off x="0" y="0"/>
                                <a:ext cx="314325" cy="219075"/>
                              </a:xfrm>
                              <a:prstGeom prst="upArrow">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7C0B4" id="Arrow: Up 1" o:spid="_x0000_s1026" type="#_x0000_t68" alt="Up" style="position:absolute;margin-left:-.65pt;margin-top:24.5pt;width:24.75pt;height:17.25pt;z-index:2516613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" adj="10800" fillcolor="window" strokecolor="#223f59" strokeweight="1pt"/>
                  </w:pict>
                </mc:Fallback>
              </mc:AlternateContent>
            </w:r>
            <w:r>
              <w:rPr>
                <w:color w:val="FFFFFF" w:themeColor="background1"/>
              </w:rPr>
              <w:t>Capital budget</w:t>
            </w:r>
          </w:p>
          <w:p w14:paraId="24A6014B" w14:textId="77777777" w:rsidR="0065557E" w:rsidRPr="00B47B92" w:rsidRDefault="0065557E" w:rsidP="00B56C53">
            <w:pPr>
              <w:rPr>
                <w:color w:val="FFFFFF" w:themeColor="background1"/>
              </w:rPr>
            </w:pPr>
            <w:r>
              <w:rPr>
                <w:color w:val="FFFFFF" w:themeColor="background1"/>
              </w:rPr>
              <w:t xml:space="preserve">         £0.9m</w:t>
            </w:r>
          </w:p>
        </w:tc>
      </w:tr>
    </w:tbl>
    <w:p w14:paraId="1E319B86" w14:textId="77777777" w:rsidR="00AD7F4C" w:rsidRDefault="00AD7F4C" w:rsidP="00AD7F4C">
      <w:pPr>
        <w:spacing w:before="0" w:after="160" w:line="259" w:lineRule="auto"/>
        <w:rPr>
          <w:rFonts w:eastAsiaTheme="majorEastAsia" w:cstheme="majorBidi"/>
          <w:b/>
          <w:sz w:val="28"/>
        </w:rPr>
      </w:pPr>
      <w:r>
        <w:br w:type="page"/>
      </w:r>
    </w:p>
    <w:p w14:paraId="188AC481" w14:textId="758A90DA" w:rsidR="00FF5CD1" w:rsidRDefault="00FF5CD1" w:rsidP="00FF5CD1">
      <w:pPr>
        <w:pStyle w:val="Heading3"/>
        <w:rPr>
          <w:lang w:eastAsia="en-GB"/>
        </w:rPr>
      </w:pPr>
      <w:bookmarkStart w:id="16" w:name="_Toc215149607"/>
      <w:r>
        <w:rPr>
          <w:lang w:eastAsia="en-GB"/>
        </w:rPr>
        <w:lastRenderedPageBreak/>
        <w:t>Key Insights</w:t>
      </w:r>
      <w:bookmarkStart w:id="17" w:name="_Hlk197343060"/>
      <w:bookmarkEnd w:id="16"/>
    </w:p>
    <w:p w14:paraId="7A44C765" w14:textId="307BA7A8" w:rsidR="00C77D79" w:rsidRPr="00F07771" w:rsidRDefault="005037EA" w:rsidP="00C77D79">
      <w:pPr>
        <w:pStyle w:val="KeyInsightHeading"/>
      </w:pPr>
      <w:bookmarkStart w:id="18" w:name="KI1MentalHealth"/>
      <w:bookmarkStart w:id="19" w:name="_Hlk197090579"/>
      <w:bookmarkEnd w:id="18"/>
      <w:r>
        <w:t xml:space="preserve">Key Insight </w:t>
      </w:r>
      <w:r w:rsidR="00682AD1">
        <w:t xml:space="preserve">– </w:t>
      </w:r>
      <w:r w:rsidR="00336665">
        <w:t>Mental Health</w:t>
      </w:r>
      <w:r w:rsidR="005A175B">
        <w:t>-related</w:t>
      </w:r>
      <w:r w:rsidR="00D37571">
        <w:t xml:space="preserve"> </w:t>
      </w:r>
      <w:r w:rsidR="00336665">
        <w:t>Incidents</w:t>
      </w:r>
    </w:p>
    <w:p w14:paraId="79E9F5F3" w14:textId="77777777" w:rsidR="00B1693A" w:rsidRDefault="00F32F15" w:rsidP="005037EA">
      <w:pPr>
        <w:spacing w:before="0" w:after="160" w:line="259" w:lineRule="auto"/>
      </w:pPr>
      <w:bookmarkStart w:id="20" w:name="_Hlk213314053"/>
      <w:r>
        <w:t>The number of mental health-related incidents recorded across Police Scotland during Quarter 2 has increased by 121 (up by 0.2%) compared to the same recording period last year. Increases have also been noted for YTD (55</w:t>
      </w:r>
      <w:r w:rsidR="004627A3">
        <w:t>5</w:t>
      </w:r>
      <w:r w:rsidR="008A0C08">
        <w:t xml:space="preserve"> more, up </w:t>
      </w:r>
      <w:r>
        <w:t>0.5%)</w:t>
      </w:r>
      <w:r w:rsidR="00D40B47">
        <w:t xml:space="preserve"> against PYTD</w:t>
      </w:r>
      <w:r>
        <w:t>.</w:t>
      </w:r>
    </w:p>
    <w:p w14:paraId="625049B3" w14:textId="472F3AA7" w:rsidR="00AE6A53" w:rsidRDefault="00F32F15" w:rsidP="005037EA">
      <w:pPr>
        <w:spacing w:before="0" w:after="160" w:line="259" w:lineRule="auto"/>
      </w:pPr>
      <w:r>
        <w:t>During Quarter 2, mental health-related incidents represented 18.2% of all incidents reported to Police Scotland which is an increase on last year for the same reporting period which recorded 17.3% of all incidents were mental health-related.</w:t>
      </w:r>
    </w:p>
    <w:bookmarkEnd w:id="20"/>
    <w:p w14:paraId="0CEE63E8" w14:textId="490B4442" w:rsidR="00D37571" w:rsidRDefault="00D37571" w:rsidP="005037EA">
      <w:pPr>
        <w:spacing w:before="0" w:after="160" w:line="259" w:lineRule="auto"/>
      </w:pPr>
      <w:r>
        <w:rPr>
          <w:noProof/>
        </w:rPr>
        <w:drawing>
          <wp:inline distT="0" distB="0" distL="0" distR="0" wp14:anchorId="361706DC" wp14:editId="7F8210D3">
            <wp:extent cx="4859020" cy="2554605"/>
            <wp:effectExtent l="0" t="0" r="0" b="0"/>
            <wp:docPr id="1176197972" name="Picture 1" descr="% MH-Related Incidents of Total Incidents&#10;This image shows MH-related incidents in blue column, total incidents in orange column and percentage of total incidents that are MH as a green line from 21/22 to 25/26. In 21/22 there were 106,794 MH-related incidents (15.4% of 693,621 total incidents);in 22/23 there were 109,921 MH-related incidents (16.1% of 682,637 total incidents); in 23/24 there were 123,299 MH-related incidents (16.7% of 737,596 total incidents); in 24/25 there were 122,180 MH-related incidents (17.4% of 702,231 total incidents); and in 25/26 there were 122,737 MH-related incidents (18% of 681,334 total inc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7972" name="Picture 1" descr="% MH-Related Incidents of Total Incidents&#10;This image shows MH-related incidents in blue column, total incidents in orange column and percentage of total incidents that are MH as a green line from 21/22 to 25/26. In 21/22 there were 106,794 MH-related incidents (15.4% of 693,621 total incidents);in 22/23 there were 109,921 MH-related incidents (16.1% of 682,637 total incidents); in 23/24 there were 123,299 MH-related incidents (16.7% of 737,596 total incidents); in 24/25 there were 122,180 MH-related incidents (17.4% of 702,231 total incidents); and in 25/26 there were 122,737 MH-related incidents (18% of 681,334 total incident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9020" cy="2554605"/>
                    </a:xfrm>
                    <a:prstGeom prst="rect">
                      <a:avLst/>
                    </a:prstGeom>
                    <a:noFill/>
                  </pic:spPr>
                </pic:pic>
              </a:graphicData>
            </a:graphic>
          </wp:inline>
        </w:drawing>
      </w:r>
    </w:p>
    <w:p w14:paraId="21A7A152" w14:textId="5F6EDAC2" w:rsidR="0028228F" w:rsidRDefault="002F19A5" w:rsidP="005037EA">
      <w:pPr>
        <w:spacing w:before="0" w:after="160" w:line="259" w:lineRule="auto"/>
      </w:pPr>
      <w:bookmarkStart w:id="21" w:name="_Hlk213314159"/>
      <w:r>
        <w:t xml:space="preserve">YTD figures across the previous five years show </w:t>
      </w:r>
      <w:r w:rsidR="00BA0062">
        <w:t xml:space="preserve">a steady increase in the percentage of mental health-related incidents against total incidents. </w:t>
      </w:r>
      <w:r w:rsidR="005E564E">
        <w:t xml:space="preserve">Both recorded highest figures during 2023/24 and since then total incidents have continued to decline but mental health-related incidents have </w:t>
      </w:r>
      <w:r w:rsidR="006F1748">
        <w:t>increased, in general, throughout this period.</w:t>
      </w:r>
    </w:p>
    <w:p w14:paraId="335DED95" w14:textId="77777777" w:rsidR="000C4FC2" w:rsidRDefault="001D51A8" w:rsidP="000C4FC2">
      <w:pPr>
        <w:spacing w:before="0" w:after="160" w:line="259" w:lineRule="auto"/>
      </w:pPr>
      <w:r>
        <w:t>Comparatively, 354 more mental health-related incidents occurred in Quarter 2 than in Quarter 1 this year, representing a 0.6% rise in reporting. However, although Quarter 2 noted higher volume</w:t>
      </w:r>
      <w:r w:rsidR="00D40B47">
        <w:t xml:space="preserve"> overall, daily averages </w:t>
      </w:r>
      <w:r w:rsidR="007263D3">
        <w:t>slightly decreased by</w:t>
      </w:r>
      <w:r w:rsidR="00D40B47">
        <w:t xml:space="preserve"> approximately </w:t>
      </w:r>
      <w:r w:rsidR="007263D3">
        <w:t>3.5</w:t>
      </w:r>
      <w:r w:rsidR="00D40B47">
        <w:t xml:space="preserve"> incidents per day </w:t>
      </w:r>
      <w:r w:rsidR="007263D3">
        <w:t xml:space="preserve">due to </w:t>
      </w:r>
      <w:r w:rsidR="005570CF">
        <w:t>having one</w:t>
      </w:r>
      <w:r w:rsidR="007263D3">
        <w:t xml:space="preserve"> extra day</w:t>
      </w:r>
      <w:r w:rsidR="00A143C3">
        <w:t xml:space="preserve"> within</w:t>
      </w:r>
      <w:r w:rsidR="00D40B47">
        <w:t xml:space="preserve"> this </w:t>
      </w:r>
      <w:r w:rsidR="00A143C3">
        <w:t>recording period</w:t>
      </w:r>
      <w:r w:rsidR="00D40B47">
        <w:t>.</w:t>
      </w:r>
    </w:p>
    <w:p w14:paraId="357035F6" w14:textId="77777777" w:rsidR="000C4FC2" w:rsidRDefault="000C4FC2" w:rsidP="000C4FC2">
      <w:pPr>
        <w:spacing w:before="0" w:after="160" w:line="259" w:lineRule="auto"/>
      </w:pPr>
      <w:r>
        <w:t>The Mental Health Pathway (MHP) is a Scottish Government funded collaboration between Police Scotland, the Scottish Ambulance Service and NHS24 whereby callers contacting C3 Division who are experiencing mental health crisis or distress can be referred to the NHS 24 Mental Health Hub, following a robust assessment to ensure any risk is identified and appropriately managed.</w:t>
      </w:r>
    </w:p>
    <w:p w14:paraId="2CD2FE21" w14:textId="77777777" w:rsidR="000C4FC2" w:rsidRDefault="000C4FC2" w:rsidP="000C4FC2">
      <w:pPr>
        <w:spacing w:before="0" w:after="160" w:line="259" w:lineRule="auto"/>
      </w:pPr>
      <w:r>
        <w:t>This trauma informed approach helps ensure members of the public access the right care at the earliest opportunity while also reducing the number of officer hours spent responding to mental health calls where they are not needed.</w:t>
      </w:r>
    </w:p>
    <w:p w14:paraId="356BF0B6" w14:textId="77777777" w:rsidR="000C4FC2" w:rsidRDefault="000C4FC2" w:rsidP="000C4FC2">
      <w:pPr>
        <w:spacing w:before="0" w:after="160" w:line="259" w:lineRule="auto"/>
      </w:pPr>
      <w:r>
        <w:t xml:space="preserve"> </w:t>
      </w:r>
    </w:p>
    <w:p w14:paraId="6C4C9917" w14:textId="045C181E" w:rsidR="00C77D79" w:rsidRPr="00DC62FF" w:rsidRDefault="000C4FC2" w:rsidP="000C4FC2">
      <w:pPr>
        <w:spacing w:before="0" w:after="160" w:line="259" w:lineRule="auto"/>
      </w:pPr>
      <w:r>
        <w:lastRenderedPageBreak/>
        <w:t>The Mental Health Taskforce continues to work closely with C3 Division and NHS24 to embed the pathway and drive improvements to ensure it is being used consistently on every occasion.</w:t>
      </w:r>
    </w:p>
    <w:p w14:paraId="176F0F94" w14:textId="615836AA" w:rsidR="00F4315D" w:rsidRPr="0038388F" w:rsidRDefault="005037EA" w:rsidP="00D368C6">
      <w:pPr>
        <w:pStyle w:val="KeyInsightHeading"/>
      </w:pPr>
      <w:bookmarkStart w:id="22" w:name="KI2MotorcycleSafety"/>
      <w:bookmarkEnd w:id="21"/>
      <w:bookmarkEnd w:id="22"/>
      <w:r>
        <w:t xml:space="preserve">Key Insight </w:t>
      </w:r>
      <w:r w:rsidR="00682AD1">
        <w:t>– Motorcycle Safety Campaign</w:t>
      </w:r>
    </w:p>
    <w:p w14:paraId="0FD6405B" w14:textId="77777777" w:rsidR="00B1693A" w:rsidRDefault="003D5944" w:rsidP="003E396C">
      <w:bookmarkStart w:id="23" w:name="_Hlk213315478"/>
      <w:bookmarkEnd w:id="19"/>
      <w:r>
        <w:t>This quarter saw the conclusion of our Motorcycle Safety Campaign which ran from 21 March to 26 September</w:t>
      </w:r>
      <w:r w:rsidR="00FE2D1A">
        <w:t xml:space="preserve">. </w:t>
      </w:r>
      <w:r w:rsidR="00C6679C">
        <w:t>This was to coincide with the peak Spring/Summer riding period and promoted safe and responsible driving across Scotland.</w:t>
      </w:r>
    </w:p>
    <w:p w14:paraId="0E10F178" w14:textId="77777777" w:rsidR="00B1693A" w:rsidRDefault="00C6679C" w:rsidP="003E396C">
      <w:r>
        <w:t>Several weekends of action, targeting popular bank holiday riding dates were included, as well as a Fortnight of Action which ran from 02 to 15 June to coincide with the UK-wide 2Wheels initiative.</w:t>
      </w:r>
    </w:p>
    <w:p w14:paraId="1B1765A7" w14:textId="1032F5EB" w:rsidR="00075630" w:rsidRDefault="00C6679C" w:rsidP="003E396C">
      <w:r>
        <w:t>In total over the campaign 1,</w:t>
      </w:r>
      <w:r w:rsidR="002935B3">
        <w:t>804</w:t>
      </w:r>
      <w:r>
        <w:t xml:space="preserve"> riders were stopped, with </w:t>
      </w:r>
      <w:r w:rsidR="002935B3">
        <w:t>300</w:t>
      </w:r>
      <w:r>
        <w:t xml:space="preserve"> offences detected amongst them. An additional 84 offences committed by other road users were also detected. Compared to the previous year’s campaign this was a slight decrease in motorcyclist offences detected, however an increase of 12 offences by other road users.</w:t>
      </w:r>
    </w:p>
    <w:bookmarkEnd w:id="23"/>
    <w:p w14:paraId="76B037C3" w14:textId="32EF3D53" w:rsidR="000C3A68" w:rsidRPr="009E7CB6" w:rsidRDefault="00887E1D" w:rsidP="00155EBE">
      <w:pPr>
        <w:rPr>
          <w:b/>
        </w:rPr>
      </w:pPr>
      <w:r w:rsidRPr="00887E1D">
        <w:rPr>
          <w:b/>
          <w:noProof/>
        </w:rPr>
        <w:drawing>
          <wp:inline distT="0" distB="0" distL="0" distR="0" wp14:anchorId="08378C71" wp14:editId="39105C1E">
            <wp:extent cx="4275437" cy="2520000"/>
            <wp:effectExtent l="19050" t="19050" r="11430" b="13970"/>
            <wp:docPr id="1601586473" name="Picture 1" descr="Motorcyclist Fatalities by Fiscal Year&#10;This image shows the fiscal years 2020-21 up to 2025-26 shown on the X axis and numbers of motorcyclists killed on the y axis. The East policing region of Scotland is shown as an orange line, the North as a blue line, and the west as a green line. The values for the East are 3, 4, 3, 5, 5, 6. The values for the North are 1, 6, 9, 10, 9, 13. The values for the West are 9, 12, 10, 6, 11,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86473" name="Picture 1" descr="Motorcyclist Fatalities by Fiscal Year&#10;This image shows the fiscal years 2020-21 up to 2025-26 shown on the X axis and numbers of motorcyclists killed on the y axis. The East policing region of Scotland is shown as an orange line, the North as a blue line, and the west as a green line. The values for the East are 3, 4, 3, 5, 5, 6. The values for the North are 1, 6, 9, 10, 9, 13. The values for the West are 9, 12, 10, 6, 11, 8.&#10;"/>
                    <pic:cNvPicPr/>
                  </pic:nvPicPr>
                  <pic:blipFill>
                    <a:blip r:embed="rId17"/>
                    <a:stretch>
                      <a:fillRect/>
                    </a:stretch>
                  </pic:blipFill>
                  <pic:spPr>
                    <a:xfrm>
                      <a:off x="0" y="0"/>
                      <a:ext cx="4275437" cy="2520000"/>
                    </a:xfrm>
                    <a:prstGeom prst="rect">
                      <a:avLst/>
                    </a:prstGeom>
                    <a:ln>
                      <a:solidFill>
                        <a:schemeClr val="tx1"/>
                      </a:solidFill>
                    </a:ln>
                  </pic:spPr>
                </pic:pic>
              </a:graphicData>
            </a:graphic>
          </wp:inline>
        </w:drawing>
      </w:r>
    </w:p>
    <w:p w14:paraId="5D39A66B" w14:textId="77777777" w:rsidR="00B1693A" w:rsidRDefault="00887E1D" w:rsidP="00887E1D">
      <w:bookmarkStart w:id="24" w:name="_Hlk213315584"/>
      <w:r w:rsidRPr="00D37571">
        <w:t>In the current Year</w:t>
      </w:r>
      <w:r>
        <w:t xml:space="preserve">-To-Date period there have been 27 motorcyclist fatalities, compared to 25 in the previous year. This is the highest number of deaths over the last five years. The </w:t>
      </w:r>
      <w:r w:rsidR="00B1693A">
        <w:t xml:space="preserve">previous </w:t>
      </w:r>
      <w:r>
        <w:t>chart shows the number of fatalities within each policing region of Scotland.</w:t>
      </w:r>
    </w:p>
    <w:p w14:paraId="2BC1C64B" w14:textId="62F7F332" w:rsidR="00887E1D" w:rsidRDefault="00887E1D" w:rsidP="00887E1D">
      <w:r>
        <w:t>Fatalities in the West of Scotland have observed fluctuating numbers of fatal collisions involving motorcyclists, however both the East and North regions have seen strong evidence of an upwards trend.</w:t>
      </w:r>
    </w:p>
    <w:p w14:paraId="7C880DDF" w14:textId="77777777" w:rsidR="00C01A4A" w:rsidRDefault="00413335" w:rsidP="00887E1D">
      <w:r>
        <w:t>The increase in deaths this year is largely due to a significant number of fatalities which occurred in August 2025.</w:t>
      </w:r>
    </w:p>
    <w:p w14:paraId="66124563" w14:textId="2ED3559C" w:rsidR="00C01A4A" w:rsidRDefault="00883B10" w:rsidP="00887E1D">
      <w:r>
        <w:t>Seven riders were killed during this month compared to three in the previous year, Similarly, in April 2025 six riders were killed compared to no riders in the previous year.</w:t>
      </w:r>
    </w:p>
    <w:p w14:paraId="1DEC7F7F" w14:textId="6F0320E8" w:rsidR="00F70D56" w:rsidRDefault="00883B10" w:rsidP="00887E1D">
      <w:r>
        <w:t xml:space="preserve">This significant increase in April was significantly higher than any previous year and was likely due to </w:t>
      </w:r>
      <w:r w:rsidR="00F70D56">
        <w:t>unseasonally sunny, dry weather which was observed in the Spring.</w:t>
      </w:r>
    </w:p>
    <w:p w14:paraId="68DAE8D4" w14:textId="463F1684" w:rsidR="00F70D56" w:rsidRDefault="00F70D56" w:rsidP="00887E1D">
      <w:r>
        <w:lastRenderedPageBreak/>
        <w:t xml:space="preserve">Utilising analysis on when motorcycle riders are most likely to use our roads, the Motorcycle campaign </w:t>
      </w:r>
      <w:r w:rsidR="00606CC5">
        <w:t>is annually</w:t>
      </w:r>
      <w:r>
        <w:t xml:space="preserve"> timed to coincide with Spring/Summer periods.</w:t>
      </w:r>
    </w:p>
    <w:p w14:paraId="4D34ACCE" w14:textId="5D5A3A3C" w:rsidR="00F70D56" w:rsidRDefault="00F70D56" w:rsidP="00887E1D">
      <w:r>
        <w:t xml:space="preserve">After analysis indicated increasing numbers of motorcycle rider </w:t>
      </w:r>
      <w:r w:rsidR="00D30B7A">
        <w:t xml:space="preserve">deaths Police Scotland analysts produced an </w:t>
      </w:r>
      <w:hyperlink r:id="rId18" w:history="1">
        <w:r w:rsidR="00D30B7A" w:rsidRPr="00AF5C0D">
          <w:rPr>
            <w:rStyle w:val="Hyperlink"/>
          </w:rPr>
          <w:t>in-depth motorcycle fatalities study</w:t>
        </w:r>
      </w:hyperlink>
      <w:r w:rsidR="00D30B7A">
        <w:t xml:space="preserve"> which was completed and shared with partners in May 2025, the results of which will be used to seek to better safeguard motorcyclists.</w:t>
      </w:r>
    </w:p>
    <w:p w14:paraId="72DD82B3" w14:textId="07EC1042" w:rsidR="00155EBE" w:rsidRDefault="00D30B7A" w:rsidP="00887E1D">
      <w:r>
        <w:t>The Scottish Government, in partnership with Police Scotland, have developed a working group to explore opportunities and develop engagement strategies moving forwards. One example is Rider Refinement, an initiative providing rider training by police and IAM RoadSmart instructors</w:t>
      </w:r>
      <w:bookmarkEnd w:id="24"/>
      <w:r>
        <w:t>.</w:t>
      </w:r>
    </w:p>
    <w:p w14:paraId="5556733A" w14:textId="77223E1A" w:rsidR="002D072C" w:rsidRPr="00F07771" w:rsidRDefault="003E396C" w:rsidP="008409B3">
      <w:pPr>
        <w:pStyle w:val="KeyInsightHeading"/>
      </w:pPr>
      <w:bookmarkStart w:id="25" w:name="KI3PoliceAssaults"/>
      <w:bookmarkEnd w:id="25"/>
      <w:r>
        <w:t xml:space="preserve">Key Insight </w:t>
      </w:r>
      <w:r w:rsidR="00336665">
        <w:t>– Assaults on Police Officers/Staff</w:t>
      </w:r>
    </w:p>
    <w:p w14:paraId="4E0B1497" w14:textId="76B914B8" w:rsidR="00124A77" w:rsidRDefault="00584016" w:rsidP="00044514">
      <w:r w:rsidRPr="00584016">
        <w:rPr>
          <w:noProof/>
        </w:rPr>
        <w:drawing>
          <wp:inline distT="0" distB="0" distL="0" distR="0" wp14:anchorId="355CDB78" wp14:editId="21364978">
            <wp:extent cx="6188710" cy="1139825"/>
            <wp:effectExtent l="0" t="0" r="2540" b="3175"/>
            <wp:docPr id="1476868495" name="Picture 1" descr="Assaults and Injuries Data table&#10;The first row of this table shows 4,088 assaults on police officers/staff YTD compared to 3,820 PYTD (up 7.0% on PYTD); The second row shows 23.4% of assaults led to injury YTD compared to 25.2% PYTD (down 1.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8495" name="Picture 1" descr="Assaults and Injuries Data table&#10;The first row of this table shows 4,088 assaults on police officers/staff YTD compared to 3,820 PYTD (up 7.0% on PYTD); The second row shows 23.4% of assaults led to injury YTD compared to 25.2% PYTD (down 1.8% points on PYTD).&#10;"/>
                    <pic:cNvPicPr/>
                  </pic:nvPicPr>
                  <pic:blipFill>
                    <a:blip r:embed="rId19"/>
                    <a:stretch>
                      <a:fillRect/>
                    </a:stretch>
                  </pic:blipFill>
                  <pic:spPr>
                    <a:xfrm>
                      <a:off x="0" y="0"/>
                      <a:ext cx="6188710" cy="1139825"/>
                    </a:xfrm>
                    <a:prstGeom prst="rect">
                      <a:avLst/>
                    </a:prstGeom>
                  </pic:spPr>
                </pic:pic>
              </a:graphicData>
            </a:graphic>
          </wp:inline>
        </w:drawing>
      </w:r>
    </w:p>
    <w:p w14:paraId="3FCA36C4" w14:textId="03CC41F5" w:rsidR="00044514" w:rsidRPr="0035106D" w:rsidRDefault="00044514" w:rsidP="00044514">
      <w:bookmarkStart w:id="26" w:name="_Hlk213315805"/>
      <w:r>
        <w:t>In the YTD, a total of 4,</w:t>
      </w:r>
      <w:r w:rsidR="00124A77">
        <w:t xml:space="preserve">088 </w:t>
      </w:r>
      <w:r>
        <w:t>assaults on police officers/staff have been recorded. This is an increase of 2</w:t>
      </w:r>
      <w:r w:rsidR="00124A77">
        <w:t>68</w:t>
      </w:r>
      <w:r>
        <w:t xml:space="preserve"> assaults (up 7.</w:t>
      </w:r>
      <w:r w:rsidR="00124A77">
        <w:t>0</w:t>
      </w:r>
      <w:r>
        <w:t>%) compared to the same period last year. This equates to an average of around 22 assaults on officers/staff per day (unchanged from the figures presented in Quarter 1).</w:t>
      </w:r>
    </w:p>
    <w:p w14:paraId="4E54A639" w14:textId="64ECC283" w:rsidR="007C27C1" w:rsidRDefault="007C27C1" w:rsidP="007C27C1">
      <w:r>
        <w:t>Despite the increases in assaults, the YTD percentage of assaults leading to injury (</w:t>
      </w:r>
      <w:r w:rsidR="00124A77">
        <w:t>23.4</w:t>
      </w:r>
      <w:r>
        <w:t xml:space="preserve">%) is down </w:t>
      </w:r>
      <w:r w:rsidR="00124A77">
        <w:t>1.8</w:t>
      </w:r>
      <w:r>
        <w:t xml:space="preserve"> percentage points compared to the previous YTD (</w:t>
      </w:r>
      <w:r w:rsidR="00124A77">
        <w:t>25.2</w:t>
      </w:r>
      <w:r>
        <w:t>%).</w:t>
      </w:r>
    </w:p>
    <w:bookmarkEnd w:id="26"/>
    <w:p w14:paraId="10C0D62A" w14:textId="3D0A5CA5" w:rsidR="00290227" w:rsidRDefault="00290227" w:rsidP="007C27C1">
      <w:r w:rsidRPr="00290227">
        <w:rPr>
          <w:noProof/>
        </w:rPr>
        <w:drawing>
          <wp:inline distT="0" distB="0" distL="0" distR="0" wp14:anchorId="5190F464" wp14:editId="2B2588F9">
            <wp:extent cx="6188710" cy="1450340"/>
            <wp:effectExtent l="0" t="0" r="2540" b="0"/>
            <wp:docPr id="1723645585" name="Picture 1" descr="XMR Control Chart&#10;This image shows the volume of assaults month on month from April 2020 to September 2025. With May 2020 and August 2025 the only two months above upper control limits. In 2025/26 there were 590 assaults in April; 728 in May; 681 in June, 726 in July; a high of 787 in August (which is above control limits); and a low of 576 in Sept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5585" name="Picture 1" descr="XMR Control Chart&#10;This image shows the volume of assaults month on month from April 2020 to September 2025. With May 2020 and August 2025 the only two months above upper control limits. In 2025/26 there were 590 assaults in April; 728 in May; 681 in June, 726 in July; a high of 787 in August (which is above control limits); and a low of 576 in September.&#10;"/>
                    <pic:cNvPicPr/>
                  </pic:nvPicPr>
                  <pic:blipFill>
                    <a:blip r:embed="rId20"/>
                    <a:stretch>
                      <a:fillRect/>
                    </a:stretch>
                  </pic:blipFill>
                  <pic:spPr>
                    <a:xfrm>
                      <a:off x="0" y="0"/>
                      <a:ext cx="6188710" cy="1450340"/>
                    </a:xfrm>
                    <a:prstGeom prst="rect">
                      <a:avLst/>
                    </a:prstGeom>
                  </pic:spPr>
                </pic:pic>
              </a:graphicData>
            </a:graphic>
          </wp:inline>
        </w:drawing>
      </w:r>
    </w:p>
    <w:p w14:paraId="2C49F287" w14:textId="77777777" w:rsidR="00D7760E" w:rsidRDefault="00290227" w:rsidP="00044514">
      <w:bookmarkStart w:id="27" w:name="_Hlk213315889"/>
      <w:r>
        <w:t>This XMR Control Chart shows the monthly trends for Assaults on Officers/Staff from April 2020 through to September 2025. For the majority of months, the volume has been within both upper and lower control limits.</w:t>
      </w:r>
    </w:p>
    <w:p w14:paraId="14B71FE5" w14:textId="77777777" w:rsidR="00D7760E" w:rsidRDefault="00D7760E" w:rsidP="00044514">
      <w:r>
        <w:t>In the YTD, crimes have been on an upward trend with</w:t>
      </w:r>
      <w:r w:rsidR="00290227">
        <w:t xml:space="preserve"> a peak of 787 assaults recorded</w:t>
      </w:r>
      <w:r>
        <w:t xml:space="preserve"> in A</w:t>
      </w:r>
      <w:r w:rsidR="00290227">
        <w:t>ugust 2025</w:t>
      </w:r>
      <w:r>
        <w:t>.</w:t>
      </w:r>
      <w:r w:rsidR="00290227">
        <w:t xml:space="preserve"> This is the highest monthly volume in </w:t>
      </w:r>
      <w:r>
        <w:t>the last six years and the first month since May 2020 that the volume of crimes has exceeded upper control limits</w:t>
      </w:r>
      <w:r w:rsidR="006D1A1A">
        <w:t>.</w:t>
      </w:r>
    </w:p>
    <w:p w14:paraId="167C880D" w14:textId="6A915483" w:rsidR="006D1A1A" w:rsidRDefault="006D1A1A" w:rsidP="00044514">
      <w:r>
        <w:t xml:space="preserve">September 2025 </w:t>
      </w:r>
      <w:r w:rsidR="00D7760E">
        <w:t xml:space="preserve">has </w:t>
      </w:r>
      <w:r>
        <w:t>however drop</w:t>
      </w:r>
      <w:r w:rsidR="00D7760E">
        <w:t>ped</w:t>
      </w:r>
      <w:r>
        <w:t xml:space="preserve"> to 576 crimes which is the lowest volume in the current reporting year.</w:t>
      </w:r>
    </w:p>
    <w:bookmarkEnd w:id="27"/>
    <w:p w14:paraId="6D42BF44" w14:textId="77777777" w:rsidR="00155EBE" w:rsidRDefault="00155EBE" w:rsidP="00044514">
      <w:r>
        <w:rPr>
          <w:noProof/>
        </w:rPr>
        <w:lastRenderedPageBreak/>
        <w:drawing>
          <wp:inline distT="0" distB="0" distL="0" distR="0" wp14:anchorId="520FC56E" wp14:editId="70113100">
            <wp:extent cx="6120000" cy="2376000"/>
            <wp:effectExtent l="0" t="0" r="0" b="5715"/>
            <wp:docPr id="1477295708" name="Picture 1" descr="Assaults on Police Officers/Staff per Division&#10;This image shows the volume of assaults per division in the YTD compared to PYTD; A (North East) 375 YTD, 367 PYTD; D (Tayside) 279 YTD, 263 PYTD; N (The Highlands &amp; Islands) 169 YTD, 210 PYTD; C (Forth Valley) 196 YTD, 176 PYTD; E (Edinburgh) 285 YTD, 271 PYTD; J (The Lothians &amp; Scottish Borders) 218 YTD, 222 PYTD; P (Fife) 337 YTD, 236 PYTD; G (Greater Glasgow) 839 YTD, 815 PYTD); U (Ayrshire) 262 YTD, 273 PYTD; Q (Lanarkshire) 639 YTD, 501 PYTD; K (Renfrewshire &amp; Inverclyde) 206 YTD, 177 PYTD7; L (Argyll &amp; West Dunbartonshire 167 YTD, 167 PYTD; and V (Dumfries &amp; Galloway) 119 YTD, 142 PYT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295708" name="Picture 1" descr="Assaults on Police Officers/Staff per Division&#10;This image shows the volume of assaults per division in the YTD compared to PYTD; A (North East) 375 YTD, 367 PYTD; D (Tayside) 279 YTD, 263 PYTD; N (The Highlands &amp; Islands) 169 YTD, 210 PYTD; C (Forth Valley) 196 YTD, 176 PYTD; E (Edinburgh) 285 YTD, 271 PYTD; J (The Lothians &amp; Scottish Borders) 218 YTD, 222 PYTD; P (Fife) 337 YTD, 236 PYTD; G (Greater Glasgow) 839 YTD, 815 PYTD); U (Ayrshire) 262 YTD, 273 PYTD; Q (Lanarkshire) 639 YTD, 501 PYTD; K (Renfrewshire &amp; Inverclyde) 206 YTD, 177 PYTD7; L (Argyll &amp; West Dunbartonshire 167 YTD, 167 PYTD; and V (Dumfries &amp; Galloway) 119 YTD, 142 PYTD.&#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2376000"/>
                    </a:xfrm>
                    <a:prstGeom prst="rect">
                      <a:avLst/>
                    </a:prstGeom>
                    <a:noFill/>
                  </pic:spPr>
                </pic:pic>
              </a:graphicData>
            </a:graphic>
          </wp:inline>
        </w:drawing>
      </w:r>
    </w:p>
    <w:p w14:paraId="4BA3E474" w14:textId="43B0B5FF" w:rsidR="00044514" w:rsidRDefault="00044514" w:rsidP="00044514">
      <w:bookmarkStart w:id="28" w:name="_Hlk213316038"/>
      <w:r>
        <w:t xml:space="preserve">Eight of the thirteen Local Policing Divisions have recorded an increase in their volume of assaults on police officers/staff compared to the PYTD. The biggest YTD increases in assaults were in </w:t>
      </w:r>
      <w:r w:rsidR="0035106D">
        <w:t xml:space="preserve">Q Division – </w:t>
      </w:r>
      <w:r>
        <w:t xml:space="preserve">Lanarkshire (138 more crimes, up 27.5%) in the West region followed by </w:t>
      </w:r>
      <w:r w:rsidR="0035106D">
        <w:t xml:space="preserve">P Division – </w:t>
      </w:r>
      <w:r>
        <w:t>Fife (101 more crimes, up 42.8%) in the East region.</w:t>
      </w:r>
    </w:p>
    <w:p w14:paraId="718FC8C7" w14:textId="36DFEDEB" w:rsidR="00D06926" w:rsidRDefault="00FB4C89" w:rsidP="00044514">
      <w:r>
        <w:t>Q Division – Lanarkshire</w:t>
      </w:r>
      <w:r w:rsidR="003E54AC">
        <w:t xml:space="preserve"> </w:t>
      </w:r>
      <w:r w:rsidR="00B3732A">
        <w:t xml:space="preserve">follows a similar trend to the Police Scotland position with an upward trend noted from April 2025 through to a peak of 143 </w:t>
      </w:r>
      <w:r>
        <w:t xml:space="preserve">assaults </w:t>
      </w:r>
      <w:r w:rsidR="00B3732A">
        <w:t>in August 2025</w:t>
      </w:r>
      <w:r w:rsidR="00D06926">
        <w:t xml:space="preserve">. This is their highest monthly volume of </w:t>
      </w:r>
      <w:r>
        <w:t xml:space="preserve">assaults </w:t>
      </w:r>
      <w:r w:rsidR="00D06926">
        <w:t>in the last six years and</w:t>
      </w:r>
      <w:r w:rsidR="00CD6FA9">
        <w:t xml:space="preserve"> above upper control limits</w:t>
      </w:r>
      <w:r w:rsidR="00B3732A">
        <w:t xml:space="preserve">. </w:t>
      </w:r>
      <w:r w:rsidR="00CD6FA9">
        <w:t xml:space="preserve">The volume of assaults in September 2025 dropped </w:t>
      </w:r>
      <w:r w:rsidR="003E54AC">
        <w:t xml:space="preserve">however </w:t>
      </w:r>
      <w:r w:rsidR="00CD6FA9">
        <w:t>to 78</w:t>
      </w:r>
      <w:r w:rsidR="003E54AC">
        <w:t>.</w:t>
      </w:r>
    </w:p>
    <w:bookmarkEnd w:id="28"/>
    <w:p w14:paraId="6BE1B12A" w14:textId="7AF171CB" w:rsidR="00CD6FA9" w:rsidRDefault="003E54AC" w:rsidP="00044514">
      <w:r>
        <w:t xml:space="preserve">A Lanarkshire </w:t>
      </w:r>
      <w:r w:rsidR="008A0C08">
        <w:t xml:space="preserve">Your Safety Matters </w:t>
      </w:r>
      <w:r>
        <w:t xml:space="preserve">snapshot report was compiled </w:t>
      </w:r>
      <w:r w:rsidR="00D06926">
        <w:t>by the Strategic Analysts, c</w:t>
      </w:r>
      <w:r>
        <w:t>overing the period</w:t>
      </w:r>
      <w:r w:rsidR="00D06926">
        <w:t>:</w:t>
      </w:r>
      <w:r>
        <w:t xml:space="preserve"> April to August 2025</w:t>
      </w:r>
      <w:r w:rsidR="00D06926">
        <w:t>,</w:t>
      </w:r>
      <w:r>
        <w:t xml:space="preserve"> which identified the following:</w:t>
      </w:r>
    </w:p>
    <w:p w14:paraId="5B755FEC" w14:textId="48E76022" w:rsidR="00D06926" w:rsidRDefault="00D06926" w:rsidP="00F55CC8">
      <w:pPr>
        <w:pStyle w:val="Bullets"/>
      </w:pPr>
      <w:r>
        <w:t>Increases have been seen in all four sub-divisions, with the greatest increase within Hamilton and Clydesdale (QB);</w:t>
      </w:r>
    </w:p>
    <w:p w14:paraId="3C55C8D2" w14:textId="630F1113" w:rsidR="00D06926" w:rsidRDefault="00D06926" w:rsidP="00F55CC8">
      <w:pPr>
        <w:pStyle w:val="Bullets"/>
      </w:pPr>
      <w:r>
        <w:t>During the reporting period every month recorded an increase on assaults compared to the same month in the previous year;</w:t>
      </w:r>
    </w:p>
    <w:p w14:paraId="641F67B8" w14:textId="7C0D806E" w:rsidR="00D06926" w:rsidRDefault="00D06926" w:rsidP="00F55CC8">
      <w:pPr>
        <w:pStyle w:val="Bullets"/>
      </w:pPr>
      <w:r>
        <w:t>August 2025 noted the largest increase from PYTD (50 more assaults, up 53.8%);</w:t>
      </w:r>
    </w:p>
    <w:p w14:paraId="41454287" w14:textId="77777777" w:rsidR="00F55CC8" w:rsidRDefault="00F55CC8" w:rsidP="00F55CC8">
      <w:pPr>
        <w:pStyle w:val="Bullets"/>
      </w:pPr>
      <w:r>
        <w:t>Assaults in police premises have decreased by 33.8% on PYTD;</w:t>
      </w:r>
    </w:p>
    <w:p w14:paraId="32804BB6" w14:textId="74FA8E9F" w:rsidR="00F55CC8" w:rsidRDefault="00F55CC8" w:rsidP="00F55CC8">
      <w:pPr>
        <w:pStyle w:val="Bullets"/>
      </w:pPr>
      <w:r>
        <w:t>Assaults in and around vehicles have increased by 38.3% on PYTD;</w:t>
      </w:r>
    </w:p>
    <w:p w14:paraId="62FD88FA" w14:textId="72206D83" w:rsidR="00F55CC8" w:rsidRPr="00F55CC8" w:rsidRDefault="00F55CC8" w:rsidP="00F55CC8">
      <w:pPr>
        <w:pStyle w:val="ListBullet"/>
        <w:rPr>
          <w:lang w:eastAsia="en-GB"/>
        </w:rPr>
      </w:pPr>
      <w:r>
        <w:rPr>
          <w:lang w:eastAsia="en-GB"/>
        </w:rPr>
        <w:t xml:space="preserve">Assaults per 1k incidents have increased from 10.8 </w:t>
      </w:r>
      <w:r w:rsidR="0035106D">
        <w:rPr>
          <w:lang w:eastAsia="en-GB"/>
        </w:rPr>
        <w:t xml:space="preserve">PYTD </w:t>
      </w:r>
      <w:r>
        <w:rPr>
          <w:lang w:eastAsia="en-GB"/>
        </w:rPr>
        <w:t>to 14.8</w:t>
      </w:r>
      <w:r w:rsidR="0035106D">
        <w:rPr>
          <w:lang w:eastAsia="en-GB"/>
        </w:rPr>
        <w:t xml:space="preserve"> YTD</w:t>
      </w:r>
      <w:r>
        <w:rPr>
          <w:lang w:eastAsia="en-GB"/>
        </w:rPr>
        <w:t>.</w:t>
      </w:r>
    </w:p>
    <w:p w14:paraId="597DD049" w14:textId="073A2910" w:rsidR="00F55CC8" w:rsidRDefault="00F55CC8" w:rsidP="00F55CC8">
      <w:bookmarkStart w:id="29" w:name="_Hlk213316064"/>
      <w:r>
        <w:t xml:space="preserve">Fife (P Division) also follows a similar trend to the Police Scotland position with an upward trend noted from April 2025 through to August 2025. July 2025 (70 assaults) and August 2025 (76 assaults) are the division’s highest monthly volume of </w:t>
      </w:r>
      <w:r w:rsidR="00FB4C89">
        <w:t xml:space="preserve">assaults </w:t>
      </w:r>
      <w:r>
        <w:t>in the last six years and above upper control limits. The volume of assaults in September 2025 dropped however to levels similar to April and May 2025</w:t>
      </w:r>
      <w:bookmarkEnd w:id="29"/>
      <w:r>
        <w:t>.</w:t>
      </w:r>
    </w:p>
    <w:p w14:paraId="4AAC70FD" w14:textId="6FC0B4F7" w:rsidR="00F55CC8" w:rsidRDefault="00F55CC8" w:rsidP="00F55CC8">
      <w:r>
        <w:t xml:space="preserve">A Fife </w:t>
      </w:r>
      <w:r w:rsidR="008A0C08">
        <w:t>Your Safety Matters</w:t>
      </w:r>
      <w:r>
        <w:t xml:space="preserve"> snapshot report was compiled by the Strategic Analysts, covering the period: April to August 2025, which identified the following:</w:t>
      </w:r>
    </w:p>
    <w:p w14:paraId="20173C3A" w14:textId="3A6612F7" w:rsidR="0035106D" w:rsidRDefault="0035106D" w:rsidP="0035106D">
      <w:pPr>
        <w:pStyle w:val="Bullets"/>
      </w:pPr>
      <w:r>
        <w:t>Increases have been seen in four of the six sub-divisions, with the greatest increase within West Fife (PD);</w:t>
      </w:r>
    </w:p>
    <w:p w14:paraId="7FC323E3" w14:textId="3516B537" w:rsidR="0035106D" w:rsidRDefault="0035106D" w:rsidP="0035106D">
      <w:pPr>
        <w:pStyle w:val="Bullets"/>
      </w:pPr>
      <w:r>
        <w:lastRenderedPageBreak/>
        <w:t xml:space="preserve">During the reporting period, </w:t>
      </w:r>
      <w:r w:rsidR="008A0C08">
        <w:t xml:space="preserve">increases were recorded in </w:t>
      </w:r>
      <w:r>
        <w:t>May</w:t>
      </w:r>
      <w:r w:rsidR="008A0C08">
        <w:t>, June, July and</w:t>
      </w:r>
      <w:r>
        <w:t xml:space="preserve"> August </w:t>
      </w:r>
      <w:r w:rsidR="00FB4C89">
        <w:t xml:space="preserve">2025 </w:t>
      </w:r>
      <w:r>
        <w:t xml:space="preserve">compared to the same period in the previous </w:t>
      </w:r>
      <w:r w:rsidR="008A0C08">
        <w:t>year</w:t>
      </w:r>
      <w:r>
        <w:t>;</w:t>
      </w:r>
    </w:p>
    <w:p w14:paraId="5C01A133" w14:textId="17D4920B" w:rsidR="0035106D" w:rsidRDefault="0035106D" w:rsidP="0035106D">
      <w:pPr>
        <w:pStyle w:val="Bullets"/>
      </w:pPr>
      <w:r>
        <w:t>June 2025 noted the largest increase from PYTD (37 more assaults, up 185.0%);</w:t>
      </w:r>
    </w:p>
    <w:p w14:paraId="02416B71" w14:textId="1D733F75" w:rsidR="0035106D" w:rsidRDefault="0035106D" w:rsidP="0035106D">
      <w:pPr>
        <w:pStyle w:val="Bullets"/>
      </w:pPr>
      <w:r>
        <w:t>43% of assaults occurred in a public place;</w:t>
      </w:r>
    </w:p>
    <w:p w14:paraId="4AB073E8" w14:textId="46AF4E0F" w:rsidR="0035106D" w:rsidRDefault="0035106D" w:rsidP="0035106D">
      <w:pPr>
        <w:pStyle w:val="Bullets"/>
      </w:pPr>
      <w:r>
        <w:t>Assaults in/around a cell van have increased by 150% to 25;</w:t>
      </w:r>
    </w:p>
    <w:bookmarkEnd w:id="17"/>
    <w:p w14:paraId="40AF68CF" w14:textId="4CF2D308" w:rsidR="000C79C4" w:rsidRDefault="0035106D" w:rsidP="007F07AA">
      <w:pPr>
        <w:pStyle w:val="Bullets"/>
      </w:pPr>
      <w:r>
        <w:t xml:space="preserve">Assaults per 1k incidents have increased from 7.8 PYTD to </w:t>
      </w:r>
      <w:r w:rsidR="00FB4C89">
        <w:t>11.1</w:t>
      </w:r>
      <w:r>
        <w:t xml:space="preserve"> YTD</w:t>
      </w:r>
      <w:r w:rsidR="00B4602F">
        <w:t>.</w:t>
      </w:r>
    </w:p>
    <w:p w14:paraId="519DBA19" w14:textId="2CBD176F" w:rsidR="00B1693A" w:rsidRDefault="00B1693A" w:rsidP="00B1693A">
      <w:pPr>
        <w:spacing w:before="0" w:after="160" w:line="259" w:lineRule="auto"/>
      </w:pPr>
      <w:r>
        <w:t>Operational Safety Training (OST) conducted an increased training pilot during 2024/25 in one Renfrewshire &amp; Inverclyde subdivision; identified by analysts as one of the most violent subdivisions where assaults on officers and the subsequent time off recovering from those injuries were amongst the highest nationally.</w:t>
      </w:r>
    </w:p>
    <w:p w14:paraId="027515DD" w14:textId="77777777" w:rsidR="00B1693A" w:rsidRDefault="00B1693A" w:rsidP="00B1693A">
      <w:pPr>
        <w:spacing w:before="0" w:after="160" w:line="259" w:lineRule="auto"/>
      </w:pPr>
      <w:r>
        <w:t>The training would be conducted with a shift of officers for an hour, practicing refined tactics in areas identified as most at risk of assault and harm (custody, vehicles and multi-officer arrests).</w:t>
      </w:r>
    </w:p>
    <w:p w14:paraId="1A96AC8E" w14:textId="4E1B2A13" w:rsidR="000C79C4" w:rsidRDefault="00B1693A" w:rsidP="00B1693A">
      <w:pPr>
        <w:spacing w:before="0" w:after="160" w:line="259" w:lineRule="auto"/>
        <w:rPr>
          <w:noProof/>
          <w:lang w:eastAsia="en-GB"/>
        </w:rPr>
      </w:pPr>
      <w:r>
        <w:t>Although this was a small sample size, it was found that the trial group were 53% less likely to be injured compared to the same group before the tr</w:t>
      </w:r>
      <w:r w:rsidR="00BD214C">
        <w:t>i</w:t>
      </w:r>
      <w:r>
        <w:t>al and 27% less likely to be injured th</w:t>
      </w:r>
      <w:r w:rsidR="000C4FC2">
        <w:t>a</w:t>
      </w:r>
      <w:r>
        <w:t>n a neighbouring subdivision.</w:t>
      </w:r>
    </w:p>
    <w:p w14:paraId="24549AFA" w14:textId="313054EA" w:rsidR="007F07AA" w:rsidRPr="0038388F" w:rsidRDefault="007F07AA" w:rsidP="007F07AA">
      <w:pPr>
        <w:pStyle w:val="KeyInsightHeading"/>
      </w:pPr>
      <w:bookmarkStart w:id="30" w:name="KI4PartnerReferrals"/>
      <w:bookmarkEnd w:id="30"/>
      <w:r>
        <w:t xml:space="preserve">Key Insight – </w:t>
      </w:r>
      <w:r w:rsidR="00EC324C">
        <w:t>P</w:t>
      </w:r>
      <w:r w:rsidRPr="007F07AA">
        <w:t>artner referrals from police custody</w:t>
      </w:r>
    </w:p>
    <w:p w14:paraId="32247209" w14:textId="20AC4C73" w:rsidR="007F07AA" w:rsidRDefault="000C79C4" w:rsidP="007F07AA">
      <w:r>
        <w:rPr>
          <w:noProof/>
        </w:rPr>
        <w:drawing>
          <wp:inline distT="0" distB="0" distL="0" distR="0" wp14:anchorId="4D8DC2E7" wp14:editId="1FAD03D9">
            <wp:extent cx="6169660" cy="1152525"/>
            <wp:effectExtent l="0" t="0" r="2540" b="9525"/>
            <wp:docPr id="863921292"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1292"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9660" cy="1152525"/>
                    </a:xfrm>
                    <a:prstGeom prst="rect">
                      <a:avLst/>
                    </a:prstGeom>
                    <a:noFill/>
                  </pic:spPr>
                </pic:pic>
              </a:graphicData>
            </a:graphic>
          </wp:inline>
        </w:drawing>
      </w:r>
    </w:p>
    <w:p w14:paraId="0078E8F1" w14:textId="77777777" w:rsidR="007F07AA" w:rsidRDefault="007F07AA" w:rsidP="007F07AA">
      <w:bookmarkStart w:id="31" w:name="_Hlk213316186"/>
      <w:r>
        <w:t>The reduction in the number of times people in custody are seen by Health Care Professionals is likely due to the overall reduction in throughput rather than any significant change to policing practice.</w:t>
      </w:r>
    </w:p>
    <w:p w14:paraId="7741F97A" w14:textId="40EC3C2B" w:rsidR="007F07AA" w:rsidRDefault="007F07AA" w:rsidP="007F07AA">
      <w:r>
        <w:t>The Scottish Government National Strategy for Community Justice sets out deliverables that detail work to be undertaken to drive improvement nationally including actions in relation to person-centred care within police custody and driving an increase in referrals to services including substance use and mental health services.</w:t>
      </w:r>
    </w:p>
    <w:p w14:paraId="384B5560" w14:textId="2BE7DA14" w:rsidR="007F07AA" w:rsidRDefault="007F07AA" w:rsidP="007F07AA">
      <w:r>
        <w:t>In support of this, significant work has been completed over the last 12 months which accounts for the year-to-date increase in arrest referral numbers.</w:t>
      </w:r>
    </w:p>
    <w:p w14:paraId="25CB28C2" w14:textId="77777777" w:rsidR="00B1693A" w:rsidRDefault="007F07AA" w:rsidP="007F07AA">
      <w:r>
        <w:t>In July 2024, the Criminal Justice Services Division (CJSD) Healthcare and Interventions Team began a relaunch of Arrest Referral, an internal program of work which sought to educate custody staff on the importance of the arrest referral process with a trauma-informed approach.</w:t>
      </w:r>
    </w:p>
    <w:p w14:paraId="3B7F9FC8" w14:textId="3807FEEA" w:rsidR="007F07AA" w:rsidRDefault="007F07AA" w:rsidP="007F07AA">
      <w:r>
        <w:lastRenderedPageBreak/>
        <w:t>This drew on positive stories of engagement and upskilling existing arrest referral “champions” with webinar resources on drug and alcohol misuse and head injuries, amongst other important topics.</w:t>
      </w:r>
    </w:p>
    <w:p w14:paraId="5BF7E203" w14:textId="77777777" w:rsidR="00B1693A" w:rsidRDefault="007F07AA" w:rsidP="007F07AA">
      <w:r>
        <w:t>CJSD Healthcare and Interventions Team have visited custody suites to provide face-to-face insights on the arrest referral process. They regularly review data to identify areas of good practice such as the Tayside service, which is continuing to contribute to the increase in figures, and identify opportunities to increase referrals.</w:t>
      </w:r>
    </w:p>
    <w:p w14:paraId="64AAA3BB" w14:textId="2EA07010" w:rsidR="007F07AA" w:rsidRDefault="007F07AA" w:rsidP="007F07AA">
      <w:r>
        <w:t>This includes briefing the local area commanders and custody inspector on findings to improve performance. The importance of the arrest referral scheme and resources to support local understanding is frequently published on the CJSD divisional bulletin.</w:t>
      </w:r>
    </w:p>
    <w:p w14:paraId="57A35CF5" w14:textId="77777777" w:rsidR="00B1693A" w:rsidRDefault="007F07AA" w:rsidP="007F07AA">
      <w:r>
        <w:t>In April 2025, the first national “arrest-referral” event was hosted by SIPR and Police Scotland at Napier University.</w:t>
      </w:r>
    </w:p>
    <w:p w14:paraId="2EC38372" w14:textId="77777777" w:rsidR="00B1693A" w:rsidRDefault="007F07AA" w:rsidP="007F07AA">
      <w:r>
        <w:t>This brought various cross-sector professionals together to discuss barriers, challenges, and the opportunity to understand through lived experience the positive changes the pathway has made. These connections have enabled further conversations to identify local gaps in service provision and further opportunities for collaboration.</w:t>
      </w:r>
    </w:p>
    <w:p w14:paraId="2DBBC117" w14:textId="67B1E5A3" w:rsidR="007F07AA" w:rsidRDefault="007F07AA" w:rsidP="007F07AA">
      <w:r>
        <w:t>This work has resulted in four new pathways being identified, which are on the cusp of being signed off into practice. These will be reported on in due course.</w:t>
      </w:r>
    </w:p>
    <w:p w14:paraId="1372269D" w14:textId="0329FCC3" w:rsidR="000C79C4" w:rsidRDefault="007F07AA" w:rsidP="007F07AA">
      <w:r>
        <w:t>The continued engagement and focus of the Healthcare and Interventions Team both internally and externally has been paramount in contributing to the increase</w:t>
      </w:r>
      <w:r w:rsidR="000C4FC2">
        <w:t>d</w:t>
      </w:r>
      <w:r>
        <w:t xml:space="preserve"> figures demonstrated this quarter</w:t>
      </w:r>
      <w:bookmarkEnd w:id="31"/>
      <w:r>
        <w:t>.</w:t>
      </w:r>
      <w:bookmarkStart w:id="32" w:name="_Hlk189140869"/>
      <w:bookmarkStart w:id="33" w:name="_Hlk189139378"/>
    </w:p>
    <w:p w14:paraId="746CB073" w14:textId="6811F1B2" w:rsidR="007F07AA" w:rsidRDefault="007F07AA" w:rsidP="007F07AA">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482AD978" w14:textId="77777777" w:rsidTr="0034327A">
        <w:trPr>
          <w:tblHeader/>
        </w:trPr>
        <w:tc>
          <w:tcPr>
            <w:tcW w:w="9865" w:type="dxa"/>
            <w:shd w:val="clear" w:color="auto" w:fill="196B24"/>
          </w:tcPr>
          <w:p w14:paraId="3B4779C2" w14:textId="77777777" w:rsidR="00886504" w:rsidRPr="00974DED" w:rsidRDefault="00886504" w:rsidP="0034327A">
            <w:pPr>
              <w:pStyle w:val="Heading3"/>
              <w:rPr>
                <w:rFonts w:ascii="Arial" w:hAnsi="Arial" w:cs="Arial"/>
                <w:color w:val="FFFFFF" w:themeColor="background1"/>
              </w:rPr>
            </w:pPr>
            <w:bookmarkStart w:id="34" w:name="_Toc215149608"/>
            <w:bookmarkStart w:id="35" w:name="_Hlk206072107"/>
            <w:bookmarkStart w:id="36" w:name="_Hlk189122456"/>
            <w:bookmarkStart w:id="37" w:name="_Toc140746129"/>
            <w:bookmarkStart w:id="38" w:name="_Toc140750244"/>
            <w:bookmarkStart w:id="39" w:name="_Toc142045262"/>
            <w:bookmarkStart w:id="40" w:name="_Toc157687362"/>
            <w:bookmarkStart w:id="41" w:name="_Toc157696606"/>
            <w:bookmarkEnd w:id="32"/>
            <w:bookmarkEnd w:id="33"/>
            <w:r w:rsidRPr="00974DED">
              <w:rPr>
                <w:rFonts w:ascii="Arial" w:hAnsi="Arial" w:cs="Arial"/>
                <w:color w:val="FFFFFF" w:themeColor="background1"/>
              </w:rPr>
              <w:lastRenderedPageBreak/>
              <w:t>Vision 2030: Safer Communities</w:t>
            </w:r>
            <w:bookmarkEnd w:id="34"/>
          </w:p>
          <w:p w14:paraId="4016DD0C" w14:textId="77777777" w:rsidR="00886504" w:rsidRPr="00974DED" w:rsidRDefault="00886504" w:rsidP="00947AB6">
            <w:pPr>
              <w:rPr>
                <w:rFonts w:ascii="Arial" w:hAnsi="Arial" w:cs="Arial"/>
              </w:rPr>
            </w:pPr>
            <w:r w:rsidRPr="00974DED">
              <w:rPr>
                <w:rFonts w:ascii="Arial" w:hAnsi="Arial" w:cs="Arial"/>
                <w:color w:val="FFFFFF" w:themeColor="background1"/>
                <w:sz w:val="24"/>
                <w:szCs w:val="24"/>
              </w:rPr>
              <w:t>We work with partner organisations to prevent harm and reduce demand</w:t>
            </w:r>
          </w:p>
        </w:tc>
      </w:tr>
    </w:tbl>
    <w:bookmarkEnd w:id="35"/>
    <w:p w14:paraId="1879E4CC" w14:textId="77777777" w:rsidR="00886504" w:rsidRPr="007B08FF" w:rsidRDefault="00886504" w:rsidP="00B058D0">
      <w:pPr>
        <w:pStyle w:val="KPIHeading3SC"/>
        <w:rPr>
          <w:b w:val="0"/>
          <w:bCs w:val="0"/>
        </w:rPr>
      </w:pPr>
      <w:r w:rsidRPr="007B08FF">
        <w:t xml:space="preserve">KPI: Partner demand – Percentage </w:t>
      </w:r>
      <w:r w:rsidRPr="004D1FCE">
        <w:t>of</w:t>
      </w:r>
      <w:r w:rsidRPr="007B08FF">
        <w:t xml:space="preserve"> non-crime incidents</w:t>
      </w:r>
    </w:p>
    <w:p w14:paraId="174B2354" w14:textId="7B541395" w:rsidR="00886504" w:rsidRDefault="00C12664" w:rsidP="00974DED">
      <w:pPr>
        <w:pStyle w:val="Heading4"/>
      </w:pPr>
      <w:r>
        <w:t xml:space="preserve">Suspected </w:t>
      </w:r>
      <w:r w:rsidR="00886504" w:rsidRPr="007B08FF">
        <w:t>Drugs Related Deaths</w:t>
      </w:r>
    </w:p>
    <w:p w14:paraId="5AFCBE46" w14:textId="39A8215A" w:rsidR="00282996" w:rsidRPr="00282996" w:rsidRDefault="00282996" w:rsidP="00282996">
      <w:r w:rsidRPr="004E7121">
        <w:rPr>
          <w:noProof/>
        </w:rPr>
        <w:drawing>
          <wp:inline distT="0" distB="0" distL="0" distR="0" wp14:anchorId="02143E69" wp14:editId="0E4C74F0">
            <wp:extent cx="6188710" cy="1143456"/>
            <wp:effectExtent l="0" t="0" r="2540" b="0"/>
            <wp:docPr id="1624490514" name="Picture 1" descr="Drugs&#10;The first row of this table shows 596 suspected drug related deaths YTD compared to 509 PYTD (up 17.1% on PYTD); and 1,141 suspected drug related deaths in the rolling 12 month period compared to 1,114 in the previous rolling 12 months (up 2.4% on previous period). The second row shows 149 naloxone administrations by police officers YTD compared to 117 PYTD (up 27.4% on PYTD); and 246 naloxone administrations by police officers in the rolling 12 month period compared to 200 in the previous rolling 12 months (up 23.0%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90514" name="Picture 1" descr="Drugs&#10;The first row of this table shows 596 suspected drug related deaths YTD compared to 509 PYTD (up 17.1% on PYTD); and 1,141 suspected drug related deaths in the rolling 12 month period compared to 1,114 in the previous rolling 12 months (up 2.4% on previous period). The second row shows 149 naloxone administrations by police officers YTD compared to 117 PYTD (up 27.4% on PYTD); and 246 naloxone administrations by police officers in the rolling 12 month period compared to 200 in the previous rolling 12 months (up 23.0% on previous period).&#10;"/>
                    <pic:cNvPicPr/>
                  </pic:nvPicPr>
                  <pic:blipFill>
                    <a:blip r:embed="rId23"/>
                    <a:stretch>
                      <a:fillRect/>
                    </a:stretch>
                  </pic:blipFill>
                  <pic:spPr>
                    <a:xfrm>
                      <a:off x="0" y="0"/>
                      <a:ext cx="6188710" cy="1143456"/>
                    </a:xfrm>
                    <a:prstGeom prst="rect">
                      <a:avLst/>
                    </a:prstGeom>
                  </pic:spPr>
                </pic:pic>
              </a:graphicData>
            </a:graphic>
          </wp:inline>
        </w:drawing>
      </w:r>
    </w:p>
    <w:p w14:paraId="0FDBE622" w14:textId="410F9CE8" w:rsidR="00AE2916" w:rsidRDefault="00B2695C" w:rsidP="00974DED">
      <w:pPr>
        <w:pStyle w:val="KPIPullOutSC"/>
      </w:pPr>
      <w:r>
        <w:t>1,141 suspected drug related deaths in last 12 months, 596 in reporting year</w:t>
      </w:r>
    </w:p>
    <w:p w14:paraId="1FF906B6" w14:textId="15E38DA8" w:rsidR="001B52F0" w:rsidRPr="00FB7F82" w:rsidRDefault="009920DB" w:rsidP="00886504">
      <w:pPr>
        <w:spacing w:before="0" w:after="160" w:line="259" w:lineRule="auto"/>
      </w:pPr>
      <w:r>
        <w:t>The number of recorded suspected drug related deaths (DRD) have increased by 87 (17.1%) compared to the same period last year. The rolling 12 month figure also shows a smaller increase of 27 (2.4%) compared to the preceding period.</w:t>
      </w:r>
    </w:p>
    <w:p w14:paraId="7D50D13C" w14:textId="707D7634" w:rsidR="009920DB" w:rsidRDefault="009920DB" w:rsidP="00886504">
      <w:pPr>
        <w:spacing w:before="0" w:after="160" w:line="259" w:lineRule="auto"/>
      </w:pPr>
      <w:r>
        <w:t xml:space="preserve">Public Health Scotland published their </w:t>
      </w:r>
      <w:hyperlink r:id="rId24" w:history="1">
        <w:r w:rsidRPr="009920DB">
          <w:rPr>
            <w:rStyle w:val="Hyperlink"/>
          </w:rPr>
          <w:t>annual report on DRD</w:t>
        </w:r>
      </w:hyperlink>
      <w:r>
        <w:t xml:space="preserve"> in September 2025. This report shows a decrease of 155 deaths (13%) in 2024 compared to 2023. The report highlights that 46% (467) of those who died in 2024 were in the 35-49 year old age group, and that opioids continue to be the most common drug type implicated in drug-related deaths at 80%, a similar number to that observed in 2023.</w:t>
      </w:r>
    </w:p>
    <w:p w14:paraId="00469EC0" w14:textId="5AADC2D7" w:rsidR="009920DB" w:rsidRDefault="009920DB" w:rsidP="00886504">
      <w:pPr>
        <w:spacing w:before="0" w:after="160" w:line="259" w:lineRule="auto"/>
      </w:pPr>
      <w:r>
        <w:t xml:space="preserve">Public Health Scotland produce regular </w:t>
      </w:r>
      <w:hyperlink r:id="rId25" w:history="1">
        <w:r w:rsidRPr="00C73A29">
          <w:rPr>
            <w:rStyle w:val="Hyperlink"/>
          </w:rPr>
          <w:t>Rapid Action Drug Alerts and Response (RADAR) reports</w:t>
        </w:r>
      </w:hyperlink>
      <w:r>
        <w:t xml:space="preserve"> on the current drug-related indicators in order to inform action to prevent drug harms and deaths.</w:t>
      </w:r>
    </w:p>
    <w:p w14:paraId="4B92EEAB" w14:textId="299D0E61" w:rsidR="003005A7" w:rsidRPr="00FB7F82" w:rsidRDefault="009920DB" w:rsidP="00886504">
      <w:pPr>
        <w:spacing w:before="0" w:after="160" w:line="259" w:lineRule="auto"/>
      </w:pPr>
      <w:r>
        <w:t>In the latest release (</w:t>
      </w:r>
      <w:hyperlink r:id="rId26" w:history="1">
        <w:r w:rsidRPr="009920DB">
          <w:rPr>
            <w:rStyle w:val="Hyperlink"/>
          </w:rPr>
          <w:t>July 2025</w:t>
        </w:r>
      </w:hyperlink>
      <w:r>
        <w:t>) they include an alert following an increase in fatal and near fatal overdoses among people using heroin across multiple areas in Scotland.</w:t>
      </w:r>
      <w:r w:rsidR="003005A7">
        <w:t xml:space="preserve"> The RADAR report also features trend bulletins for nitazenes, ketamine, and speedballing to demonstrate some of the substances present in Scotland’s drugs market.</w:t>
      </w:r>
    </w:p>
    <w:p w14:paraId="39B60A89" w14:textId="443554E4" w:rsidR="00923E88" w:rsidRDefault="00B2695C" w:rsidP="00974DED">
      <w:pPr>
        <w:pStyle w:val="KPIPullOutSC"/>
      </w:pPr>
      <w:r>
        <w:t>Naloxone used in 149 incidents in reporting year</w:t>
      </w:r>
    </w:p>
    <w:p w14:paraId="7D5DFFAC" w14:textId="77777777" w:rsidR="008F23D3" w:rsidRDefault="008F23D3" w:rsidP="008F23D3">
      <w:pPr>
        <w:spacing w:before="0" w:after="160" w:line="259" w:lineRule="auto"/>
      </w:pPr>
      <w:r>
        <w:t>All Police Scotland frontline officers, up to the rank of inspector, continue to carry naloxone as part of their regular equipment.</w:t>
      </w:r>
    </w:p>
    <w:p w14:paraId="4E10583C" w14:textId="41A36008" w:rsidR="00C80503" w:rsidRPr="00B95A9A" w:rsidRDefault="008F23D3" w:rsidP="00886504">
      <w:pPr>
        <w:spacing w:before="0" w:after="160" w:line="259" w:lineRule="auto"/>
      </w:pPr>
      <w:r>
        <w:t>Compared to the previous year, reporting by division has shown an increase of 32 incidents where naloxone was administered by officers and staff.</w:t>
      </w:r>
    </w:p>
    <w:p w14:paraId="165B2770" w14:textId="77777777" w:rsidR="00886504" w:rsidRDefault="00886504" w:rsidP="00974DED">
      <w:pPr>
        <w:pStyle w:val="Heading4"/>
      </w:pPr>
      <w:r w:rsidRPr="007B08FF">
        <w:lastRenderedPageBreak/>
        <w:t>Missing Persons Demand</w:t>
      </w:r>
    </w:p>
    <w:p w14:paraId="083C543B" w14:textId="2CBBD7C6" w:rsidR="00C12664" w:rsidRPr="00FB7F82" w:rsidRDefault="0040555D" w:rsidP="00974DED">
      <w:pPr>
        <w:pStyle w:val="KPIPullOutSC"/>
      </w:pPr>
      <w:r>
        <w:t>6,907 missing</w:t>
      </w:r>
      <w:r w:rsidR="00B058D0">
        <w:t xml:space="preserve"> persons investigations </w:t>
      </w:r>
      <w:r>
        <w:t>YTD</w:t>
      </w:r>
    </w:p>
    <w:p w14:paraId="326D9530" w14:textId="374B4DC7" w:rsidR="00DF508B" w:rsidRDefault="00511091" w:rsidP="009F6AC2">
      <w:pPr>
        <w:spacing w:before="0" w:after="160" w:line="259" w:lineRule="auto"/>
      </w:pPr>
      <w:bookmarkStart w:id="42" w:name="_Hlk205886491"/>
      <w:r w:rsidRPr="00511091">
        <w:rPr>
          <w:noProof/>
        </w:rPr>
        <w:drawing>
          <wp:inline distT="0" distB="0" distL="0" distR="0" wp14:anchorId="54EDB3A1" wp14:editId="2AE4DF0B">
            <wp:extent cx="6188710" cy="3300095"/>
            <wp:effectExtent l="0" t="0" r="2540" b="0"/>
            <wp:docPr id="65999581" name="Picture 1" descr="Missing Persons Demand&#10;The first row of this table shows 6,907 missing persons investigations YTD compared to 7,965 PYTD (down 13.3% on PYTD; and 13,652 missing persons investigations in the rolling 12 months period compared to 15,164 in previous rolling 12 months (down 10.0% on previous period).&#10;The second row shows 20,291 missing persons initial PW-25 incidents YTD compared to 22,029 PYTD (down 7.9% on PYTD); and 39,201 missing persons initial PW-25 incidents in the rolling 12 months period compared to 42,069 in previous rolling 12 months (down 6.8% on previous period).&#10;The third row shows 869 missing persons missing previously YTD compared to 980 PYTD (down 11.3% on PYTD); and 1,700 missing persons missing previously in the rolling 12 months period compared to 1,791 in previous rolling 12 months (down 5.1% on previous period).&#10;The fourth row shows 2,515 missing persons by type – child YTD compared to 2,774 PYTD (down 9.3% on PYTD); and 5,179 missing persons by type – child in the rolling 12 months period compared to 5,153 in previous rolling 12 months (up 0.5% on previous period).&#10;The fifth row shows 1,511 missing persons by type – care experienced young person YTD compared to 2,088 PYTD (down 27.6% on PYTD); and 2,868 missing persons by type – care experienced young person in the rolling 12 months period compared to 3,836 in previous rolling 12 months (down 25.2% on previous period).&#10;The sixth row shows 677 missing persons from NHS locations YTD compared to 699 PYTD (down 3.1% on PYTD); and 1,309 missing persons from NHS locations in the rolling 12 months period compared to 1,331 in previous rolling 12 months (down 1.7% on previous period).&#10;The seventh row shows 61 missing persons traced deceased YTD compared to 47 PYTD (up 29.8% on PYTD); and 111 missing persons traced deceased in the rolling 12 months period compared to 111 in previous rolling 12 months (no change from previous period).&#10;The eighth row shows 2,156 missing persons with a mental health marker YTD compared to 2,447 PYTD (down 11.9% on PYTD); and 4,269 missing persons with a mental health marker in the rolling 12 months period compared to 4,712 in previous rolling 12 months (down 0.4%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581" name="Picture 1" descr="Missing Persons Demand&#10;The first row of this table shows 6,907 missing persons investigations YTD compared to 7,965 PYTD (down 13.3% on PYTD; and 13,652 missing persons investigations in the rolling 12 months period compared to 15,164 in previous rolling 12 months (down 10.0% on previous period).&#10;The second row shows 20,291 missing persons initial PW-25 incidents YTD compared to 22,029 PYTD (down 7.9% on PYTD); and 39,201 missing persons initial PW-25 incidents in the rolling 12 months period compared to 42,069 in previous rolling 12 months (down 6.8% on previous period).&#10;The third row shows 869 missing persons missing previously YTD compared to 980 PYTD (down 11.3% on PYTD); and 1,700 missing persons missing previously in the rolling 12 months period compared to 1,791 in previous rolling 12 months (down 5.1% on previous period).&#10;The fourth row shows 2,515 missing persons by type – child YTD compared to 2,774 PYTD (down 9.3% on PYTD); and 5,179 missing persons by type – child in the rolling 12 months period compared to 5,153 in previous rolling 12 months (up 0.5% on previous period).&#10;The fifth row shows 1,511 missing persons by type – care experienced young person YTD compared to 2,088 PYTD (down 27.6% on PYTD); and 2,868 missing persons by type – care experienced young person in the rolling 12 months period compared to 3,836 in previous rolling 12 months (down 25.2% on previous period).&#10;The sixth row shows 677 missing persons from NHS locations YTD compared to 699 PYTD (down 3.1% on PYTD); and 1,309 missing persons from NHS locations in the rolling 12 months period compared to 1,331 in previous rolling 12 months (down 1.7% on previous period).&#10;The seventh row shows 61 missing persons traced deceased YTD compared to 47 PYTD (up 29.8% on PYTD); and 111 missing persons traced deceased in the rolling 12 months period compared to 111 in previous rolling 12 months (no change from previous period).&#10;The eighth row shows 2,156 missing persons with a mental health marker YTD compared to 2,447 PYTD (down 11.9% on PYTD); and 4,269 missing persons with a mental health marker in the rolling 12 months period compared to 4,712 in previous rolling 12 months (down 0.4% on previous period).&#10;"/>
                    <pic:cNvPicPr/>
                  </pic:nvPicPr>
                  <pic:blipFill>
                    <a:blip r:embed="rId27"/>
                    <a:stretch>
                      <a:fillRect/>
                    </a:stretch>
                  </pic:blipFill>
                  <pic:spPr>
                    <a:xfrm>
                      <a:off x="0" y="0"/>
                      <a:ext cx="6188710" cy="3300095"/>
                    </a:xfrm>
                    <a:prstGeom prst="rect">
                      <a:avLst/>
                    </a:prstGeom>
                  </pic:spPr>
                </pic:pic>
              </a:graphicData>
            </a:graphic>
          </wp:inline>
        </w:drawing>
      </w:r>
    </w:p>
    <w:p w14:paraId="3862E1DB" w14:textId="77777777" w:rsidR="00736787" w:rsidRDefault="0040555D" w:rsidP="0040555D">
      <w:pPr>
        <w:spacing w:before="0" w:after="160" w:line="259" w:lineRule="auto"/>
        <w:rPr>
          <w:bCs/>
        </w:rPr>
      </w:pPr>
      <w:r w:rsidRPr="0040555D">
        <w:rPr>
          <w:bCs/>
        </w:rPr>
        <w:t>The number of missing person investigations in Quarter 2 has decreased by 807 (</w:t>
      </w:r>
      <w:r w:rsidR="00736787">
        <w:rPr>
          <w:bCs/>
        </w:rPr>
        <w:t xml:space="preserve">down </w:t>
      </w:r>
      <w:r w:rsidRPr="0040555D">
        <w:rPr>
          <w:bCs/>
        </w:rPr>
        <w:t xml:space="preserve">19.7%) compared to the same period last year. </w:t>
      </w:r>
      <w:bookmarkStart w:id="43" w:name="_Hlk213318515"/>
      <w:r w:rsidRPr="0040555D">
        <w:rPr>
          <w:bCs/>
        </w:rPr>
        <w:t>Decreases were also noted from the YTD (</w:t>
      </w:r>
      <w:r w:rsidR="00736787">
        <w:rPr>
          <w:bCs/>
        </w:rPr>
        <w:t xml:space="preserve">down </w:t>
      </w:r>
      <w:r w:rsidRPr="0040555D">
        <w:rPr>
          <w:bCs/>
        </w:rPr>
        <w:t>13.3%) and the rolling 12 month-YTD (</w:t>
      </w:r>
      <w:r w:rsidR="00736787">
        <w:rPr>
          <w:bCs/>
        </w:rPr>
        <w:t xml:space="preserve">down </w:t>
      </w:r>
      <w:r w:rsidRPr="0040555D">
        <w:rPr>
          <w:bCs/>
        </w:rPr>
        <w:t>10.0%).</w:t>
      </w:r>
      <w:bookmarkEnd w:id="43"/>
    </w:p>
    <w:p w14:paraId="3414C866" w14:textId="32A63E5C" w:rsidR="00736787" w:rsidRDefault="0040555D" w:rsidP="0040555D">
      <w:pPr>
        <w:spacing w:before="0" w:after="160" w:line="259" w:lineRule="auto"/>
        <w:rPr>
          <w:bCs/>
        </w:rPr>
      </w:pPr>
      <w:r w:rsidRPr="0040555D">
        <w:rPr>
          <w:bCs/>
        </w:rPr>
        <w:t>The number of missing persons missing previously and the number of investigations with a mental health (MH) marker have all decreased compared to the same period last year and from the rolling 12</w:t>
      </w:r>
      <w:r w:rsidR="000C4FC2">
        <w:rPr>
          <w:bCs/>
        </w:rPr>
        <w:t xml:space="preserve"> </w:t>
      </w:r>
      <w:r w:rsidRPr="0040555D">
        <w:rPr>
          <w:bCs/>
        </w:rPr>
        <w:t>month period</w:t>
      </w:r>
      <w:r w:rsidR="003D5944" w:rsidRPr="0040555D">
        <w:rPr>
          <w:bCs/>
        </w:rPr>
        <w:t>.</w:t>
      </w:r>
    </w:p>
    <w:p w14:paraId="32FAABF2" w14:textId="267CEC78" w:rsidR="0040555D" w:rsidRPr="0040555D" w:rsidRDefault="003D5944" w:rsidP="0040555D">
      <w:pPr>
        <w:spacing w:before="0" w:after="160" w:line="259" w:lineRule="auto"/>
        <w:rPr>
          <w:bCs/>
        </w:rPr>
      </w:pPr>
      <w:r w:rsidRPr="0040555D">
        <w:rPr>
          <w:bCs/>
        </w:rPr>
        <w:t>The number of missing persons traced deceased has increased by 14 from the PYTD (</w:t>
      </w:r>
      <w:r w:rsidR="00736787">
        <w:rPr>
          <w:bCs/>
        </w:rPr>
        <w:t xml:space="preserve">up </w:t>
      </w:r>
      <w:r w:rsidRPr="0040555D">
        <w:rPr>
          <w:bCs/>
        </w:rPr>
        <w:t>29.8%)</w:t>
      </w:r>
      <w:r>
        <w:rPr>
          <w:bCs/>
        </w:rPr>
        <w:t>,</w:t>
      </w:r>
      <w:r w:rsidRPr="0040555D">
        <w:rPr>
          <w:bCs/>
        </w:rPr>
        <w:t xml:space="preserve"> however, when measured against rolling 12</w:t>
      </w:r>
      <w:r w:rsidR="000C4FC2">
        <w:rPr>
          <w:bCs/>
        </w:rPr>
        <w:t xml:space="preserve"> </w:t>
      </w:r>
      <w:r w:rsidRPr="0040555D">
        <w:rPr>
          <w:bCs/>
        </w:rPr>
        <w:t>month figures</w:t>
      </w:r>
      <w:r w:rsidR="0067391A">
        <w:rPr>
          <w:bCs/>
        </w:rPr>
        <w:t>,</w:t>
      </w:r>
      <w:r w:rsidR="00A95DFF">
        <w:rPr>
          <w:bCs/>
        </w:rPr>
        <w:t xml:space="preserve"> </w:t>
      </w:r>
      <w:r>
        <w:rPr>
          <w:bCs/>
        </w:rPr>
        <w:t xml:space="preserve">2023/24 data, </w:t>
      </w:r>
      <w:r w:rsidR="0067391A">
        <w:rPr>
          <w:bCs/>
        </w:rPr>
        <w:t xml:space="preserve">and the 5-year average, </w:t>
      </w:r>
      <w:r w:rsidRPr="0040555D">
        <w:rPr>
          <w:bCs/>
        </w:rPr>
        <w:t xml:space="preserve">there is no notable increase in this time frame. </w:t>
      </w:r>
      <w:r w:rsidR="0040555D" w:rsidRPr="0040555D">
        <w:rPr>
          <w:bCs/>
        </w:rPr>
        <w:t>The National Missing Persons Unit will continue to monitor this area for any trends or notable causation factors that may be contributing to this increase.</w:t>
      </w:r>
    </w:p>
    <w:bookmarkEnd w:id="42"/>
    <w:p w14:paraId="503E98F4" w14:textId="13742E9F" w:rsidR="00F77089" w:rsidRDefault="0040555D" w:rsidP="00974DED">
      <w:pPr>
        <w:pStyle w:val="KPIPullOutSC"/>
      </w:pPr>
      <w:r>
        <w:t xml:space="preserve">Decrease in Care Experienced </w:t>
      </w:r>
      <w:r w:rsidR="006D4997">
        <w:t>C</w:t>
      </w:r>
      <w:r w:rsidR="00B058D0">
        <w:t>hild</w:t>
      </w:r>
      <w:r w:rsidR="002C3971">
        <w:t>ren</w:t>
      </w:r>
      <w:r w:rsidR="00B058D0">
        <w:t xml:space="preserve"> going missing</w:t>
      </w:r>
    </w:p>
    <w:p w14:paraId="2E2D9FDD" w14:textId="21886E38" w:rsidR="00217BB4" w:rsidRDefault="00217BB4" w:rsidP="006626C4">
      <w:pPr>
        <w:spacing w:before="0" w:after="160" w:line="259" w:lineRule="auto"/>
      </w:pPr>
      <w:r>
        <w:t xml:space="preserve">The notable decreases can be found when considering what ‘type’ of person goes missing. Care Experienced Young Person (572 less, </w:t>
      </w:r>
      <w:r w:rsidR="00736787">
        <w:t xml:space="preserve">down </w:t>
      </w:r>
      <w:r>
        <w:t>27.5%) have recorded significant decreases compared to the same period last year.</w:t>
      </w:r>
      <w:bookmarkStart w:id="44" w:name="_Hlk213319684"/>
      <w:r w:rsidR="000C4FC2">
        <w:t xml:space="preserve"> </w:t>
      </w:r>
      <w:r w:rsidR="006626C4">
        <w:t>Investigations involving children and care experienced young people in Quarter 2 have decreased by 11.0% (235 less) from Quarter 1 and have decreased significantly by 24.2% (607 less) from Quarter 2 2023/24</w:t>
      </w:r>
      <w:r>
        <w:t xml:space="preserve">. </w:t>
      </w:r>
      <w:bookmarkStart w:id="45" w:name="_Hlk213319511"/>
      <w:r>
        <w:t xml:space="preserve">Quarter 2 </w:t>
      </w:r>
      <w:r w:rsidR="006626C4">
        <w:t xml:space="preserve">of this year </w:t>
      </w:r>
      <w:r>
        <w:t xml:space="preserve">has recorded the lowest figures for the last three years to date for children and care experienced young people. </w:t>
      </w:r>
    </w:p>
    <w:bookmarkEnd w:id="45"/>
    <w:bookmarkEnd w:id="44"/>
    <w:p w14:paraId="275ABECC" w14:textId="753AAD8D" w:rsidR="00217BB4" w:rsidRDefault="003D5944" w:rsidP="00217BB4">
      <w:pPr>
        <w:spacing w:before="0" w:after="160" w:line="259" w:lineRule="auto"/>
      </w:pPr>
      <w:r>
        <w:t xml:space="preserve">The reduction in care experienced children being reported missing is significant and requires further exploration to understand this trend.  However </w:t>
      </w:r>
      <w:r w:rsidR="00217BB4">
        <w:t>key areas of support in respect of care experienced children are effective in ensuring support for this demographic.</w:t>
      </w:r>
    </w:p>
    <w:p w14:paraId="5F5665F5" w14:textId="77777777" w:rsidR="00217BB4" w:rsidRDefault="00217BB4" w:rsidP="00217BB4">
      <w:pPr>
        <w:spacing w:before="0" w:after="160" w:line="259" w:lineRule="auto"/>
      </w:pPr>
      <w:r>
        <w:lastRenderedPageBreak/>
        <w:t>The “Not at Home” protocol allows for a tolerable risk to be carried by staff around some children not being home at a particular time but is only ever measured against the child’s particular circumstances and when not appropriate will not be used.</w:t>
      </w:r>
    </w:p>
    <w:p w14:paraId="10925DA5" w14:textId="77777777" w:rsidR="00217BB4" w:rsidRDefault="00217BB4" w:rsidP="00217BB4">
      <w:pPr>
        <w:spacing w:before="0" w:after="160" w:line="259" w:lineRule="auto"/>
      </w:pPr>
      <w:bookmarkStart w:id="46" w:name="_Hlk213319708"/>
      <w:r>
        <w:t>The Philomena protocol is another inclusive process where carers use a process to collate all relevant information in relation to a child’s vulnerabilities and other key information that ensures an investigation is properly informed from an early stage</w:t>
      </w:r>
      <w:bookmarkEnd w:id="46"/>
      <w:r>
        <w:t>. Alongside more established strategies such as conducting effective return discussion, delivered by the right person at the right time, these approaches are aimed at reducing the occurrences of repeat missing episodes thus reducing risk of further harm.</w:t>
      </w:r>
    </w:p>
    <w:p w14:paraId="40AA28BF" w14:textId="7B7A2CE6" w:rsidR="00EE5A6A" w:rsidRDefault="00217BB4" w:rsidP="00886504">
      <w:pPr>
        <w:spacing w:before="0" w:after="160" w:line="259" w:lineRule="auto"/>
      </w:pPr>
      <w:r>
        <w:t>Our divisional co-ordinators are working hard to ensure reporting protocols are consistent and appropriate prior to police involvement.</w:t>
      </w:r>
    </w:p>
    <w:p w14:paraId="60AB2827" w14:textId="77777777" w:rsidR="003D5944" w:rsidRDefault="003D5944" w:rsidP="003D5944">
      <w:pPr>
        <w:pStyle w:val="KPIHeading4SC"/>
      </w:pPr>
      <w:r>
        <w:t>The National Missing Persons Framework for Scotland</w:t>
      </w:r>
    </w:p>
    <w:p w14:paraId="21305C1A" w14:textId="72E5A37D" w:rsidR="003D5944" w:rsidRDefault="003D5944" w:rsidP="003D5944">
      <w:pPr>
        <w:spacing w:before="0" w:after="160" w:line="259" w:lineRule="auto"/>
      </w:pPr>
      <w:r>
        <w:t xml:space="preserve">The elements of support provided by the National Missing Persons Framework for Scotland (The Framework) which has been in place now for </w:t>
      </w:r>
      <w:r w:rsidR="000C4FC2">
        <w:t>eight</w:t>
      </w:r>
      <w:r>
        <w:t xml:space="preserve"> years; it delivers focus for missing and helps to ensure the implementation of best practice and information sharing between policing divisions and our partners. </w:t>
      </w:r>
    </w:p>
    <w:p w14:paraId="574A158E" w14:textId="2E310356" w:rsidR="003D5944" w:rsidRDefault="003D5944" w:rsidP="003D5944">
      <w:pPr>
        <w:spacing w:before="0" w:after="160" w:line="259" w:lineRule="auto"/>
      </w:pPr>
      <w:r>
        <w:t xml:space="preserve">The </w:t>
      </w:r>
      <w:bookmarkStart w:id="47" w:name="_Hlk213319763"/>
      <w:r>
        <w:t>Framework’s refreshed publication was launched in September 2025 and Police Scotland will now work with national and local partners to continue to promote the implementation of the key strands of support the Framework provides</w:t>
      </w:r>
      <w:bookmarkEnd w:id="47"/>
      <w:r>
        <w:t>. A Police Scotland launch event is planned for December 2025 where the updated Framework will be showcased at the Scottish Police College for our Divisional Commanders to consider how best to implement the Framework in their areas of responsibility.</w:t>
      </w:r>
    </w:p>
    <w:p w14:paraId="3BEB7F48" w14:textId="4594C520" w:rsidR="00116329" w:rsidRDefault="00517AAC" w:rsidP="00AF4FEC">
      <w:pPr>
        <w:pStyle w:val="Heading4"/>
        <w:rPr>
          <w:color w:val="196B24"/>
        </w:rPr>
      </w:pPr>
      <w:r w:rsidRPr="007B08FF">
        <w:t>M</w:t>
      </w:r>
      <w:r w:rsidR="00AD14B1">
        <w:t>ental Health</w:t>
      </w:r>
      <w:r w:rsidR="005267F9" w:rsidRPr="005267F9">
        <w:rPr>
          <w:color w:val="196B24"/>
        </w:rPr>
        <w:t xml:space="preserve"> </w:t>
      </w:r>
    </w:p>
    <w:p w14:paraId="2FCDE403" w14:textId="31A49F01" w:rsidR="005267F9" w:rsidRDefault="001A6B76" w:rsidP="00974DED">
      <w:pPr>
        <w:pStyle w:val="KPIHeading4SC"/>
      </w:pPr>
      <w:r>
        <w:t>122,73</w:t>
      </w:r>
      <w:r w:rsidR="00F03BC2">
        <w:t>5</w:t>
      </w:r>
      <w:r w:rsidR="00F90856">
        <w:t xml:space="preserve"> </w:t>
      </w:r>
      <w:r w:rsidR="005267F9" w:rsidRPr="004672F3">
        <w:t xml:space="preserve">Mental </w:t>
      </w:r>
      <w:r w:rsidR="00F90856">
        <w:t>Health</w:t>
      </w:r>
      <w:r w:rsidR="00964E73">
        <w:t xml:space="preserve">-related </w:t>
      </w:r>
      <w:r w:rsidR="00F90856">
        <w:t>Incidents</w:t>
      </w:r>
      <w:r>
        <w:t xml:space="preserve"> YTD</w:t>
      </w:r>
    </w:p>
    <w:p w14:paraId="742E5669" w14:textId="47D6E19D" w:rsidR="00F03BC2" w:rsidRPr="004672F3" w:rsidRDefault="00F03BC2" w:rsidP="00974DED">
      <w:pPr>
        <w:pStyle w:val="KPIHeading4SC"/>
      </w:pPr>
      <w:r w:rsidRPr="00F03BC2">
        <w:rPr>
          <w:noProof/>
        </w:rPr>
        <w:drawing>
          <wp:inline distT="0" distB="0" distL="0" distR="0" wp14:anchorId="199A10EB" wp14:editId="522B06AF">
            <wp:extent cx="6188710" cy="844550"/>
            <wp:effectExtent l="0" t="0" r="2540" b="0"/>
            <wp:docPr id="602656653" name="Picture 1" descr="Mental Health-Related Incidents&#10;This table shows 122,735 mental health-related incidents YTD compared to 122,180 PYTD (up 0.5%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56653" name="Picture 1" descr="Mental Health-Related Incidents&#10;This table shows 122,735 mental health-related incidents YTD compared to 122,180 PYTD (up 0.5% on PYTD).&#10;"/>
                    <pic:cNvPicPr/>
                  </pic:nvPicPr>
                  <pic:blipFill>
                    <a:blip r:embed="rId28"/>
                    <a:stretch>
                      <a:fillRect/>
                    </a:stretch>
                  </pic:blipFill>
                  <pic:spPr>
                    <a:xfrm>
                      <a:off x="0" y="0"/>
                      <a:ext cx="6188710" cy="844550"/>
                    </a:xfrm>
                    <a:prstGeom prst="rect">
                      <a:avLst/>
                    </a:prstGeom>
                  </pic:spPr>
                </pic:pic>
              </a:graphicData>
            </a:graphic>
          </wp:inline>
        </w:drawing>
      </w:r>
    </w:p>
    <w:p w14:paraId="2FD2D268" w14:textId="77777777" w:rsidR="00C01A4A" w:rsidRDefault="00F90856" w:rsidP="00326A05">
      <w:bookmarkStart w:id="48" w:name="_Hlk212027394"/>
      <w:r w:rsidRPr="00790950">
        <w:t xml:space="preserve">The number of mental health-related incidents recorded across Police Scotland during Quarter 2 has </w:t>
      </w:r>
      <w:r w:rsidR="003C0742" w:rsidRPr="00790950">
        <w:t xml:space="preserve">increased by </w:t>
      </w:r>
      <w:r w:rsidR="00790950" w:rsidRPr="00790950">
        <w:t>121</w:t>
      </w:r>
      <w:r w:rsidR="003C0742" w:rsidRPr="00790950">
        <w:t xml:space="preserve"> (up 0</w:t>
      </w:r>
      <w:r w:rsidR="00790950" w:rsidRPr="00790950">
        <w:t>.2</w:t>
      </w:r>
      <w:r w:rsidR="003C0742" w:rsidRPr="00790950">
        <w:t xml:space="preserve">%) compared to the same recording period last year. </w:t>
      </w:r>
      <w:bookmarkStart w:id="49" w:name="_Hlk213319942"/>
      <w:r w:rsidR="00F32F15">
        <w:t>Increases have also been noted for YTD (55</w:t>
      </w:r>
      <w:r w:rsidR="00F03BC2">
        <w:t>5</w:t>
      </w:r>
      <w:r w:rsidR="00D37571">
        <w:t xml:space="preserve"> more, up </w:t>
      </w:r>
      <w:r w:rsidR="00F32F15">
        <w:t>0.5%)</w:t>
      </w:r>
      <w:bookmarkEnd w:id="49"/>
      <w:r w:rsidR="00F32F15">
        <w:t>.</w:t>
      </w:r>
    </w:p>
    <w:p w14:paraId="5EF9BD6F" w14:textId="4FF61D67" w:rsidR="002C10B4" w:rsidRDefault="003C0742" w:rsidP="00326A05">
      <w:r w:rsidRPr="00790950">
        <w:t>During Quarter 2, mental health</w:t>
      </w:r>
      <w:r>
        <w:t>-</w:t>
      </w:r>
      <w:r w:rsidRPr="00790950">
        <w:t xml:space="preserve">related incidents represented </w:t>
      </w:r>
      <w:r w:rsidR="00790950">
        <w:t>18</w:t>
      </w:r>
      <w:r w:rsidR="00790950" w:rsidRPr="00790950">
        <w:t>.2</w:t>
      </w:r>
      <w:r w:rsidRPr="00790950">
        <w:t xml:space="preserve">% of all incidents reported to Police Scotland </w:t>
      </w:r>
      <w:r w:rsidRPr="00067517">
        <w:t xml:space="preserve">which </w:t>
      </w:r>
      <w:r w:rsidR="00067517" w:rsidRPr="00067517">
        <w:t>is</w:t>
      </w:r>
      <w:r w:rsidRPr="00067517">
        <w:t xml:space="preserve"> an increase on last year for the same reporting period which recorded </w:t>
      </w:r>
      <w:r w:rsidR="00067517" w:rsidRPr="00067517">
        <w:t>17.3</w:t>
      </w:r>
      <w:r w:rsidRPr="00067517">
        <w:t>% of all incidents were mental</w:t>
      </w:r>
      <w:r>
        <w:t xml:space="preserve"> </w:t>
      </w:r>
      <w:r w:rsidRPr="00067517">
        <w:t>health</w:t>
      </w:r>
      <w:r w:rsidR="00067517">
        <w:t>-</w:t>
      </w:r>
      <w:r w:rsidRPr="00067517">
        <w:t>related.</w:t>
      </w:r>
    </w:p>
    <w:bookmarkEnd w:id="48"/>
    <w:p w14:paraId="57E723CB" w14:textId="57AC28F1" w:rsidR="007E38F2" w:rsidRPr="007E38F2" w:rsidRDefault="007E38F2" w:rsidP="007E38F2">
      <w:pPr>
        <w:spacing w:before="0" w:after="160" w:line="259" w:lineRule="auto"/>
        <w:rPr>
          <w:rFonts w:cs="Arial"/>
          <w:b/>
          <w:color w:val="196B24"/>
          <w:szCs w:val="22"/>
        </w:rPr>
      </w:pPr>
      <w:r w:rsidRPr="007E38F2">
        <w:rPr>
          <w:rFonts w:cs="Arial"/>
          <w:b/>
          <w:color w:val="196B24"/>
          <w:szCs w:val="22"/>
        </w:rPr>
        <w:t>Mental Health Taskforce</w:t>
      </w:r>
    </w:p>
    <w:p w14:paraId="5954FC5C" w14:textId="77777777" w:rsidR="007E38F2" w:rsidRDefault="007E38F2" w:rsidP="007E38F2">
      <w:pPr>
        <w:spacing w:before="0" w:after="160" w:line="259" w:lineRule="auto"/>
      </w:pPr>
      <w:r>
        <w:t xml:space="preserve">The police are regularly the first point of contact for people in mental health distress or crisis, and we have a crucial role in working with and supporting those who seek assistance. </w:t>
      </w:r>
    </w:p>
    <w:p w14:paraId="2C62388E" w14:textId="77777777" w:rsidR="007E38F2" w:rsidRPr="002C10B4" w:rsidRDefault="007E38F2" w:rsidP="007E38F2">
      <w:pPr>
        <w:rPr>
          <w:b/>
        </w:rPr>
      </w:pPr>
      <w:r w:rsidRPr="002C10B4">
        <w:lastRenderedPageBreak/>
        <w:t>Many of these contacts have a policing purpose such as an allegation of criminality or increased levels of risk, however, there are occasions where Police are not best placed to meet those needs.</w:t>
      </w:r>
    </w:p>
    <w:p w14:paraId="4F205EFA" w14:textId="77777777" w:rsidR="007E38F2" w:rsidRDefault="007E38F2" w:rsidP="007E38F2">
      <w:pPr>
        <w:spacing w:before="0" w:after="160" w:line="259" w:lineRule="auto"/>
      </w:pPr>
      <w:r>
        <w:t>The Police &amp; Fire Reform (Scotland) Act 2012 sets out the general duties expected of a police constable such as the prevention and detection of crime, maintain order in our communities as well as our primary objective of protecting the safety and wellbeing of people, places and communities.</w:t>
      </w:r>
    </w:p>
    <w:p w14:paraId="27E869EC" w14:textId="77777777" w:rsidR="007E38F2" w:rsidRPr="002C10B4" w:rsidRDefault="007E38F2" w:rsidP="007E38F2">
      <w:pPr>
        <w:rPr>
          <w:b/>
        </w:rPr>
      </w:pPr>
      <w:r>
        <w:t>The duty to protect life is reinforced by Article 2 of the European Convention of Human Rights (ECHR).</w:t>
      </w:r>
    </w:p>
    <w:p w14:paraId="1A34590E" w14:textId="77777777" w:rsidR="007E38F2" w:rsidRPr="002C10B4" w:rsidRDefault="007E38F2" w:rsidP="007E38F2">
      <w:pPr>
        <w:rPr>
          <w:b/>
        </w:rPr>
      </w:pPr>
      <w:r w:rsidRPr="002C10B4">
        <w:t>The Police Scotland Mental Health Taskforce was created to reset the parameters of our contribution to a system-wide approach to mental health, working closely with partners to ensure people get the right support at the earliest opportunity whilst also enabling officers to focus more on core policing duties.</w:t>
      </w:r>
    </w:p>
    <w:p w14:paraId="3CE12DDB" w14:textId="77777777" w:rsidR="000E24EB" w:rsidRDefault="000E24EB" w:rsidP="000E24EB">
      <w:pPr>
        <w:pStyle w:val="KPIHeading4SC"/>
      </w:pPr>
      <w:r>
        <w:t>Mental Health Dashboard</w:t>
      </w:r>
    </w:p>
    <w:p w14:paraId="5E4603CE" w14:textId="77777777" w:rsidR="000E24EB" w:rsidRDefault="000E24EB" w:rsidP="000E24EB">
      <w:pPr>
        <w:spacing w:before="0" w:after="160" w:line="259" w:lineRule="auto"/>
      </w:pPr>
      <w:r>
        <w:t>Mental health-related incidents are recorded on the mental health dashboard. The mental health dashboard methodology counts incidents where specific mental health associated keywords or phrases are recorded within the comment text of the incident.</w:t>
      </w:r>
    </w:p>
    <w:p w14:paraId="6567096B" w14:textId="24304B61" w:rsidR="000E24EB" w:rsidRDefault="000E24EB" w:rsidP="00326A05">
      <w:r>
        <w:t>The definition of mental health-related incidents within this dataset is therefore broad and does not imply the strength, or the extent of a mental health association. It captures multiple incident types and can include domestic incidents, missing person incidents, neighbour disputes and disturbances, amongst others, where mental health is an element within that incident.</w:t>
      </w:r>
    </w:p>
    <w:p w14:paraId="20B6A976" w14:textId="026BCD98" w:rsidR="00664AF4" w:rsidRDefault="00664AF4" w:rsidP="00D37571">
      <w:pPr>
        <w:pStyle w:val="KPIHeading4SC"/>
      </w:pPr>
      <w:r>
        <w:t xml:space="preserve">Mental Health Pathway </w:t>
      </w:r>
    </w:p>
    <w:p w14:paraId="3DA2E23E" w14:textId="0CCD5E2B" w:rsidR="00664AF4" w:rsidRDefault="00664AF4" w:rsidP="00326A05">
      <w:r>
        <w:t>The Mental Health Pathway (MHP) is a Scottish Government funded collaboration between Police Scotland, the Scottish Ambulance Service and NHS24 whereby callers presenting to C3 Division who are experiencing mental health crisis or distress can be referred to the NHS 24 Mental Health Hub, following a robust assessment to ensure any risk is identified and appropriately managed.</w:t>
      </w:r>
    </w:p>
    <w:p w14:paraId="74AEC26B" w14:textId="7A5F54D4" w:rsidR="0082616B" w:rsidRDefault="0082616B" w:rsidP="00326A05">
      <w:r w:rsidRPr="0082616B">
        <w:rPr>
          <w:noProof/>
        </w:rPr>
        <w:drawing>
          <wp:inline distT="0" distB="0" distL="0" distR="0" wp14:anchorId="36464972" wp14:editId="763DBA56">
            <wp:extent cx="6188710" cy="838835"/>
            <wp:effectExtent l="0" t="0" r="2540" b="0"/>
            <wp:docPr id="995411362" name="Picture 1" descr="Mental Health Pathway Referrals&#10;This table shows 2,041 mental health pathway referrals YTD compared to 2,170 PYTD (down 5.9%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1362" name="Picture 1" descr="Mental Health Pathway Referrals&#10;This table shows 2,041 mental health pathway referrals YTD compared to 2,170 PYTD (down 5.9% on PYTD).&#10;"/>
                    <pic:cNvPicPr/>
                  </pic:nvPicPr>
                  <pic:blipFill>
                    <a:blip r:embed="rId29"/>
                    <a:stretch>
                      <a:fillRect/>
                    </a:stretch>
                  </pic:blipFill>
                  <pic:spPr>
                    <a:xfrm>
                      <a:off x="0" y="0"/>
                      <a:ext cx="6188710" cy="838835"/>
                    </a:xfrm>
                    <a:prstGeom prst="rect">
                      <a:avLst/>
                    </a:prstGeom>
                  </pic:spPr>
                </pic:pic>
              </a:graphicData>
            </a:graphic>
          </wp:inline>
        </w:drawing>
      </w:r>
    </w:p>
    <w:p w14:paraId="132DD78E" w14:textId="56DDF24A" w:rsidR="0043285F" w:rsidRDefault="0043285F" w:rsidP="00D37571">
      <w:r>
        <w:t>The YTD figures for the total number of referrals made this year have shown a reduction of 129</w:t>
      </w:r>
      <w:r w:rsidR="00535B29">
        <w:t xml:space="preserve"> (down </w:t>
      </w:r>
      <w:r>
        <w:t>5.9%</w:t>
      </w:r>
      <w:r w:rsidR="00535B29">
        <w:t>)</w:t>
      </w:r>
      <w:r>
        <w:t>.</w:t>
      </w:r>
    </w:p>
    <w:p w14:paraId="475CEA21" w14:textId="6EA3433D" w:rsidR="00886504" w:rsidRDefault="00886504" w:rsidP="00974DED">
      <w:pPr>
        <w:pStyle w:val="Heading4"/>
      </w:pPr>
      <w:r w:rsidRPr="007B08FF">
        <w:lastRenderedPageBreak/>
        <w:t>Road Safety</w:t>
      </w:r>
    </w:p>
    <w:p w14:paraId="0C827325" w14:textId="403FCA18" w:rsidR="00B2695C" w:rsidRDefault="00B2695C" w:rsidP="00974DED">
      <w:pPr>
        <w:pStyle w:val="KPIPullOutSC"/>
      </w:pPr>
      <w:r w:rsidRPr="00511091">
        <w:rPr>
          <w:noProof/>
        </w:rPr>
        <w:drawing>
          <wp:inline distT="0" distB="0" distL="0" distR="0" wp14:anchorId="6A38D2AF" wp14:editId="4E8551C7">
            <wp:extent cx="6188710" cy="1866265"/>
            <wp:effectExtent l="0" t="0" r="2540" b="635"/>
            <wp:docPr id="1299486157" name="Picture 1" descr="Road Safety&#10;The first row of this table shows 92 people killed on our roads YTD compared to 83 PYTD (up 10.8% on PYTD); and 160 people killed on our roads in the rolling 12 months period compared to 161 in the previous rolling 12 months (down 0.6% on previous period).&#10;The second row shows 797 people seriously injured on our roads YTD compared to 1,100 PYTD (down 27.5% on PYTD); and 1,639 people seriously injured on our roads in the rolling 12 months period compared to 2,040 in the previous rolling 12 months (down 19.7% on previous period).&#10;The third row shows 1 child killed on our roads YTD compared to 2 PYTD (down 50.0% on PYTD); and 1 child killed on our roads in the rolling 12 months period compared to 5 in the previous rolling 12 months (down 80.0% on previous period).&#10;The fourth row shows 61 children seriously injured on our roads YTD compared to 86 PYTD (down 29.1% on PYTD); and 131 children seriously injured on our roads in the rolling 12 months period compared to 177 in the previous rolling 12 months (down 26.0%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86157" name="Picture 1" descr="Road Safety&#10;The first row of this table shows 92 people killed on our roads YTD compared to 83 PYTD (up 10.8% on PYTD); and 160 people killed on our roads in the rolling 12 months period compared to 161 in the previous rolling 12 months (down 0.6% on previous period).&#10;The second row shows 797 people seriously injured on our roads YTD compared to 1,100 PYTD (down 27.5% on PYTD); and 1,639 people seriously injured on our roads in the rolling 12 months period compared to 2,040 in the previous rolling 12 months (down 19.7% on previous period).&#10;The third row shows 1 child killed on our roads YTD compared to 2 PYTD (down 50.0% on PYTD); and 1 child killed on our roads in the rolling 12 months period compared to 5 in the previous rolling 12 months (down 80.0% on previous period).&#10;The fourth row shows 61 children seriously injured on our roads YTD compared to 86 PYTD (down 29.1% on PYTD); and 131 children seriously injured on our roads in the rolling 12 months period compared to 177 in the previous rolling 12 months (down 26.0% on previous period).&#10;"/>
                    <pic:cNvPicPr/>
                  </pic:nvPicPr>
                  <pic:blipFill>
                    <a:blip r:embed="rId30"/>
                    <a:stretch>
                      <a:fillRect/>
                    </a:stretch>
                  </pic:blipFill>
                  <pic:spPr>
                    <a:xfrm>
                      <a:off x="0" y="0"/>
                      <a:ext cx="6188710" cy="1866265"/>
                    </a:xfrm>
                    <a:prstGeom prst="rect">
                      <a:avLst/>
                    </a:prstGeom>
                  </pic:spPr>
                </pic:pic>
              </a:graphicData>
            </a:graphic>
          </wp:inline>
        </w:drawing>
      </w:r>
    </w:p>
    <w:p w14:paraId="1B2C06E8" w14:textId="77777777" w:rsidR="00EC324C" w:rsidRDefault="00EC324C" w:rsidP="00EC324C">
      <w:r>
        <w:t>*</w:t>
      </w:r>
      <w:bookmarkStart w:id="50" w:name="_Hlk213320288"/>
      <w:r w:rsidRPr="00D828D8">
        <w:t>Current YTD fatality statistics will be subject to revision / reduction once final cause of death is confirmed</w:t>
      </w:r>
      <w:bookmarkEnd w:id="50"/>
      <w:r>
        <w:t>.</w:t>
      </w:r>
    </w:p>
    <w:p w14:paraId="0311B8F1" w14:textId="77777777" w:rsidR="00EC324C" w:rsidRDefault="00EC324C" w:rsidP="00EC324C">
      <w:pPr>
        <w:pStyle w:val="KPIPullOutSC"/>
      </w:pPr>
      <w:r>
        <w:t>Road Safety Campaigns continue to focus on safety of vulnerable road users</w:t>
      </w:r>
    </w:p>
    <w:p w14:paraId="59F0B40A" w14:textId="0E5DFC2F" w:rsidR="00EC324C" w:rsidRDefault="00EC324C" w:rsidP="00EC324C">
      <w:pPr>
        <w:spacing w:before="0" w:after="160" w:line="259" w:lineRule="auto"/>
      </w:pPr>
      <w:r>
        <w:t xml:space="preserve">There has been an increase of nine people killed on Scotland’s roads in the current period compared to the previous year. The </w:t>
      </w:r>
      <w:r w:rsidR="00B47497">
        <w:t xml:space="preserve">rolling </w:t>
      </w:r>
      <w:r>
        <w:t>12 month period however shows a decrease of one in comparison to the 12 months before.</w:t>
      </w:r>
    </w:p>
    <w:p w14:paraId="0237D036" w14:textId="65A6E39B" w:rsidR="00EC324C" w:rsidRDefault="00EC324C" w:rsidP="00EC324C">
      <w:pPr>
        <w:spacing w:before="0" w:after="160" w:line="259" w:lineRule="auto"/>
      </w:pPr>
      <w:bookmarkStart w:id="51" w:name="_Hlk213320341"/>
      <w:r w:rsidRPr="00D828D8">
        <w:t>Serious injury collisions have significantly reduced</w:t>
      </w:r>
      <w:r w:rsidR="00B47497">
        <w:t>, both for adults and particularly within the separate child serious injury statistics</w:t>
      </w:r>
      <w:r w:rsidRPr="00D828D8">
        <w:t>. While the table shows an increase in current period fatalities in contrast to the rolling 12 month period, a number of the current period fatalities are suspected medical deaths / deaths caused by another factor. These are subject to confirmation through the ongoing governance processes.</w:t>
      </w:r>
    </w:p>
    <w:bookmarkEnd w:id="51"/>
    <w:p w14:paraId="323B534D" w14:textId="77777777" w:rsidR="00EC324C" w:rsidRDefault="00EC324C" w:rsidP="00EC324C">
      <w:pPr>
        <w:spacing w:before="0" w:after="160" w:line="259" w:lineRule="auto"/>
      </w:pPr>
      <w:r w:rsidRPr="00D828D8">
        <w:t>This process has resulted in fatalities having been removed from prior year figures. It is anticipated that a number of the fatalities included for the current period will similarly be removed in due course, and that figures for the current period will be lower than those for the same period last year</w:t>
      </w:r>
      <w:r>
        <w:t>.</w:t>
      </w:r>
    </w:p>
    <w:p w14:paraId="2728E07C" w14:textId="51236864" w:rsidR="00EC324C" w:rsidRDefault="00820CD9" w:rsidP="00886504">
      <w:pPr>
        <w:spacing w:before="0" w:after="160" w:line="259" w:lineRule="auto"/>
      </w:pPr>
      <w:r>
        <w:t xml:space="preserve">There has been </w:t>
      </w:r>
      <w:r w:rsidR="00DD2019">
        <w:t>an increase in the number of pedal cyclists killed, with six fatalities this year compared to one last year</w:t>
      </w:r>
      <w:r>
        <w:t>, and a five-year average of four</w:t>
      </w:r>
      <w:r w:rsidR="00DD2019">
        <w:t>.</w:t>
      </w:r>
      <w:r w:rsidR="00023159">
        <w:t xml:space="preserve"> </w:t>
      </w:r>
      <w:bookmarkStart w:id="52" w:name="_Hlk213320450"/>
      <w:r w:rsidR="00023159">
        <w:t>Police Scotland analysts are currently in the process of drafting a report on pedal cyclist deaths across the country which will feature in depth focus on the factors around the fatalities and recommendations</w:t>
      </w:r>
      <w:bookmarkEnd w:id="52"/>
      <w:r w:rsidR="00023159">
        <w:t xml:space="preserve">. This paper will be made available to partner agencies when </w:t>
      </w:r>
      <w:r w:rsidR="00F954B8">
        <w:t>completed</w:t>
      </w:r>
      <w:r w:rsidR="00023159">
        <w:t>.</w:t>
      </w:r>
    </w:p>
    <w:p w14:paraId="79F12068" w14:textId="77777777" w:rsidR="00EC324C" w:rsidRDefault="00D93D53" w:rsidP="00886504">
      <w:pPr>
        <w:spacing w:before="0" w:after="160" w:line="259" w:lineRule="auto"/>
      </w:pPr>
      <w:r>
        <w:t xml:space="preserve">Police </w:t>
      </w:r>
      <w:r w:rsidR="00DD2019">
        <w:t xml:space="preserve">Scotland continues to </w:t>
      </w:r>
      <w:r>
        <w:t>work on specific campaigns and initiatives directed towards targeting the safety of all vulnerable road users, including pedal cyclists, motorcyclists and pedestrians.</w:t>
      </w:r>
    </w:p>
    <w:p w14:paraId="648D874B" w14:textId="77777777" w:rsidR="00C01A4A" w:rsidRDefault="00D93D53" w:rsidP="00886504">
      <w:pPr>
        <w:spacing w:before="0" w:after="160" w:line="259" w:lineRule="auto"/>
      </w:pPr>
      <w:r>
        <w:t>Road Policing officers in partnership with Community Officers continue to work on the Operation Close Pass initiative, a long running campaign which sees officers deployed to monitor driver behaviour in the vicinity of cyclists, particularly when carrying ou</w:t>
      </w:r>
      <w:r w:rsidR="003E436F">
        <w:t>t</w:t>
      </w:r>
      <w:r>
        <w:t xml:space="preserve"> passing manoeuvres.</w:t>
      </w:r>
    </w:p>
    <w:p w14:paraId="15033B4D" w14:textId="0D61307B" w:rsidR="00DD2019" w:rsidRDefault="00D93D53" w:rsidP="00886504">
      <w:pPr>
        <w:spacing w:before="0" w:after="160" w:line="259" w:lineRule="auto"/>
      </w:pPr>
      <w:r>
        <w:lastRenderedPageBreak/>
        <w:t>Drivers passing too closely, or otherwise placing the cyclist at risk, are provided with guidance during a ‘chat on the mat’ but may also be issued with a fixed penalty or reported to the Procurator Fiscal, depending on the circumstances.</w:t>
      </w:r>
    </w:p>
    <w:p w14:paraId="448054C8" w14:textId="7E9B9B83" w:rsidR="00A322D8" w:rsidRDefault="00A322D8" w:rsidP="00886504">
      <w:pPr>
        <w:spacing w:before="0" w:after="160" w:line="259" w:lineRule="auto"/>
      </w:pPr>
      <w:r>
        <w:t xml:space="preserve">The </w:t>
      </w:r>
      <w:r w:rsidR="00B60B60">
        <w:t>following</w:t>
      </w:r>
      <w:r>
        <w:t xml:space="preserve"> table provides the target casualty reductions within the Road Safety Framework to 2030 (RSF2030) and the reductions achieved in previous years against the 2014-18 adjusted statistical baseline.</w:t>
      </w:r>
    </w:p>
    <w:p w14:paraId="5D9EC301" w14:textId="0A416915" w:rsidR="00A14C21" w:rsidRDefault="00A322D8" w:rsidP="00886504">
      <w:pPr>
        <w:spacing w:before="0" w:after="160" w:line="259" w:lineRule="auto"/>
      </w:pPr>
      <w:r w:rsidRPr="00A322D8">
        <w:rPr>
          <w:noProof/>
        </w:rPr>
        <w:drawing>
          <wp:inline distT="0" distB="0" distL="0" distR="0" wp14:anchorId="6C4AB8E6" wp14:editId="5FE8DDD5">
            <wp:extent cx="5747181" cy="2232000"/>
            <wp:effectExtent l="0" t="0" r="6350" b="0"/>
            <wp:docPr id="1794948693" name="Picture 1" descr="Total Fatalities per Area and Calendar Year with Scottish Government Targets&#10;This image shows a bar chart showing the number of road fatalities each year for each region of Scotland as well as two lines showing the 2014/18 baseline average of fatalities and the Scottish Government 2021-2030 targets. The title of the chart is 'Total Fatalities per Area and Calendar Year with Scottish Government Targets. The East region is coloured blue, the North region is coloured orange, the West region is coloured dark blue, the baseline average pink and the targets purple. The graph shows the total number of fatalities was above the target line in 2024 and is close to the target line for fatalities in 2025. There are no values on the graph as it is purely to show the total number of fatalities this year is approaching close to the target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8693" name="Picture 1" descr="Total Fatalities per Area and Calendar Year with Scottish Government Targets&#10;This image shows a bar chart showing the number of road fatalities each year for each region of Scotland as well as two lines showing the 2014/18 baseline average of fatalities and the Scottish Government 2021-2030 targets. The title of the chart is 'Total Fatalities per Area and Calendar Year with Scottish Government Targets. The East region is coloured blue, the North region is coloured orange, the West region is coloured dark blue, the baseline average pink and the targets purple. The graph shows the total number of fatalities was above the target line in 2024 and is close to the target line for fatalities in 2025. There are no values on the graph as it is purely to show the total number of fatalities this year is approaching close to the target number.&#10;"/>
                    <pic:cNvPicPr/>
                  </pic:nvPicPr>
                  <pic:blipFill>
                    <a:blip r:embed="rId31"/>
                    <a:stretch>
                      <a:fillRect/>
                    </a:stretch>
                  </pic:blipFill>
                  <pic:spPr>
                    <a:xfrm>
                      <a:off x="0" y="0"/>
                      <a:ext cx="5747181" cy="2232000"/>
                    </a:xfrm>
                    <a:prstGeom prst="rect">
                      <a:avLst/>
                    </a:prstGeom>
                  </pic:spPr>
                </pic:pic>
              </a:graphicData>
            </a:graphic>
          </wp:inline>
        </w:drawing>
      </w:r>
    </w:p>
    <w:p w14:paraId="05A1D65F" w14:textId="49F60EA5" w:rsidR="00A322D8" w:rsidRDefault="00A322D8" w:rsidP="00886504">
      <w:pPr>
        <w:spacing w:before="0" w:after="160" w:line="259" w:lineRule="auto"/>
      </w:pPr>
      <w:r>
        <w:t>Scottish Government statistics published in June 2025 showed an increase of 13 in fatality numbers – 160 in 2024 compared to 147 in 2023, a 9% rise. Currently in 2025 we are not on track to meet the RSF2030 targets on reducing fatalities on Scotland’s roads.</w:t>
      </w:r>
    </w:p>
    <w:p w14:paraId="69245C8C" w14:textId="44B244A2" w:rsidR="00220AD8" w:rsidRDefault="00220AD8" w:rsidP="00886504">
      <w:pPr>
        <w:spacing w:before="0" w:after="160" w:line="259" w:lineRule="auto"/>
      </w:pPr>
      <w:r>
        <w:t>In response to the rise in road fatalities Police Scotland continues to work in partnership with Transport Scotland. A dedicated road policing analyst has been working to further progress the in-depth Road Fatalities Study</w:t>
      </w:r>
      <w:r w:rsidR="00E95D73">
        <w:t>,</w:t>
      </w:r>
      <w:r>
        <w:t xml:space="preserve"> which was first published in 2023, producing additional reports to supplement findings and generate recommendations. The analyst completed and shared a pedestrian fatality study in September 2025 which has been shared with partners.</w:t>
      </w:r>
    </w:p>
    <w:p w14:paraId="17A8D297" w14:textId="5459CA01" w:rsidR="00220AD8" w:rsidRDefault="00FD2F58" w:rsidP="00886504">
      <w:pPr>
        <w:spacing w:before="0" w:after="160" w:line="259" w:lineRule="auto"/>
      </w:pPr>
      <w:r>
        <w:t xml:space="preserve">Most of our upcoming campaigns which will run next quarter are focused on protecting vulnerable road users as well, such as the National Police Chiefs’ Council led Operation Dark Night (running from 27 October to 09 November, which focuses on pedestrian safety and driver eyesight) and our Festive Drink Drug Drive campaign which </w:t>
      </w:r>
      <w:r w:rsidR="002935B3">
        <w:t>commences 01 December</w:t>
      </w:r>
      <w:r w:rsidR="00820CD9">
        <w:t xml:space="preserve"> 2025</w:t>
      </w:r>
      <w:r>
        <w:t>.</w:t>
      </w:r>
    </w:p>
    <w:p w14:paraId="17125F49" w14:textId="3859F939" w:rsidR="0095513D" w:rsidRDefault="0071545B" w:rsidP="00974DED">
      <w:pPr>
        <w:pStyle w:val="KPIPullOutSC"/>
      </w:pPr>
      <w:r>
        <w:t>Reduction in the number of children killed or serious</w:t>
      </w:r>
      <w:r w:rsidR="00B47497">
        <w:t>ly</w:t>
      </w:r>
      <w:r>
        <w:t xml:space="preserve"> injured on Scotland’s roads</w:t>
      </w:r>
    </w:p>
    <w:p w14:paraId="528EC6B5" w14:textId="25179076" w:rsidR="00886504" w:rsidRDefault="0071545B" w:rsidP="00886504">
      <w:pPr>
        <w:spacing w:before="0" w:after="160" w:line="259" w:lineRule="auto"/>
      </w:pPr>
      <w:r>
        <w:t>There has been one child killed on our roads this year compared to two in the previous year. In the rolling 12 month period there has been a reduction of four children killed compared to the preceding year. In terms of serious injuries there has been a large reduction of 25 (29.1%) in the current year compared to the previous year.</w:t>
      </w:r>
    </w:p>
    <w:p w14:paraId="28ED6B6B" w14:textId="77777777" w:rsidR="003008E5" w:rsidRDefault="00886504" w:rsidP="00974DED">
      <w:pPr>
        <w:pStyle w:val="Heading4"/>
      </w:pPr>
      <w:r w:rsidRPr="007B08FF">
        <w:lastRenderedPageBreak/>
        <w:t>Criminal Justice</w:t>
      </w:r>
      <w:r w:rsidR="003008E5">
        <w:t xml:space="preserve"> </w:t>
      </w:r>
    </w:p>
    <w:p w14:paraId="4A69FBF9" w14:textId="6C273272" w:rsidR="00886504" w:rsidRPr="00C754BB" w:rsidRDefault="00964E73" w:rsidP="00400A47">
      <w:pPr>
        <w:pStyle w:val="KPIPullOutSC"/>
      </w:pPr>
      <w:r>
        <w:t>V</w:t>
      </w:r>
      <w:r w:rsidR="00400A47">
        <w:t>olume of cases submitted into Criminal Justice System</w:t>
      </w:r>
      <w:r>
        <w:t xml:space="preserve"> </w:t>
      </w:r>
      <w:r w:rsidR="000373DA">
        <w:t>increases</w:t>
      </w:r>
      <w:r w:rsidR="00BD3774">
        <w:t xml:space="preserve"> by 25%</w:t>
      </w:r>
    </w:p>
    <w:p w14:paraId="08103C9B" w14:textId="1746D054" w:rsidR="00405560" w:rsidRDefault="00405560" w:rsidP="00C77D79">
      <w:r w:rsidRPr="00405560">
        <w:rPr>
          <w:noProof/>
        </w:rPr>
        <w:drawing>
          <wp:inline distT="0" distB="0" distL="0" distR="0" wp14:anchorId="12B2E0BD" wp14:editId="7B290F4A">
            <wp:extent cx="6209326" cy="3648075"/>
            <wp:effectExtent l="0" t="0" r="1270" b="0"/>
            <wp:docPr id="1928614169" name="Picture 1" descr="CJ Arrested Persons Management Information&#10;The first row of this table shows 81.253 cases submitted into the Criminal Justice System YTD compared to 64,991 PYTD (up 25.0% on PYTD).&#10;The second row shows 49,762 times arrested persons were brought into custody YTD compared to 52,041 PYTD (down 4.4% on PYTD).&#10;The third row shows 19,258 arrested persons were held for court YTD compared to 22,366 PYTD (down 13.9% on PYTD).&#10;The fourth row shows the proportion of arrested persons held for court was 38.7% YTD compared to 43.0% PYTD (down 4.3% points on PYTD).&#10;The fifth row shows 11,549 arrested persons were held for court in relation to a new case YTD compared to 14,065 PYTD (down 17.9% on PYTD.&#10;The sixth row shows the proportion of arrested persons held for court in relation to a new case was 27.7% YTD compared to 32.5% PYTD (down 4.7% points on PYTD).&#10;The seventh row shows 13,833 arrested persons were released on an undertaking YTD compared to 12,087 PYTD (up 14.4% on PYTD).&#10;The eighth row shows the proportion of arrested persons released on an undertaking was 27.8% YTD compared to 23.2% PYTD (up 4.6% points on PYTD).&#10;The ninth row shows the proportion of persons released on investigative liberation was 7.3% YTD compared to 5.7% PYTD (up 1.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14169" name="Picture 1" descr="CJ Arrested Persons Management Information&#10;The first row of this table shows 81.253 cases submitted into the Criminal Justice System YTD compared to 64,991 PYTD (up 25.0% on PYTD).&#10;The second row shows 49,762 times arrested persons were brought into custody YTD compared to 52,041 PYTD (down 4.4% on PYTD).&#10;The third row shows 19,258 arrested persons were held for court YTD compared to 22,366 PYTD (down 13.9% on PYTD).&#10;The fourth row shows the proportion of arrested persons held for court was 38.7% YTD compared to 43.0% PYTD (down 4.3% points on PYTD).&#10;The fifth row shows 11,549 arrested persons were held for court in relation to a new case YTD compared to 14,065 PYTD (down 17.9% on PYTD.&#10;The sixth row shows the proportion of arrested persons held for court in relation to a new case was 27.7% YTD compared to 32.5% PYTD (down 4.7% points on PYTD).&#10;The seventh row shows 13,833 arrested persons were released on an undertaking YTD compared to 12,087 PYTD (up 14.4% on PYTD).&#10;The eighth row shows the proportion of arrested persons released on an undertaking was 27.8% YTD compared to 23.2% PYTD (up 4.6% points on PYTD).&#10;The ninth row shows the proportion of persons released on investigative liberation was 7.3% YTD compared to 5.7% PYTD (up 1.6% points on PYTD).&#10;"/>
                    <pic:cNvPicPr/>
                  </pic:nvPicPr>
                  <pic:blipFill>
                    <a:blip r:embed="rId32"/>
                    <a:stretch>
                      <a:fillRect/>
                    </a:stretch>
                  </pic:blipFill>
                  <pic:spPr>
                    <a:xfrm>
                      <a:off x="0" y="0"/>
                      <a:ext cx="6228033" cy="3659066"/>
                    </a:xfrm>
                    <a:prstGeom prst="rect">
                      <a:avLst/>
                    </a:prstGeom>
                  </pic:spPr>
                </pic:pic>
              </a:graphicData>
            </a:graphic>
          </wp:inline>
        </w:drawing>
      </w:r>
    </w:p>
    <w:p w14:paraId="06C5789E" w14:textId="77777777" w:rsidR="0068347E" w:rsidRDefault="0068347E" w:rsidP="0068347E">
      <w:r>
        <w:t>In April 2025, in response to an increase in the national backlog of Standard Prosecution Reports (SPR’s) awaiting quality assurance, a change of business process was implemented in two of the north divisions whereby first line managers and not Case Management were allocated the quality assurance role of checking Standard Prosecution Reports (SPR's).</w:t>
      </w:r>
    </w:p>
    <w:p w14:paraId="3286C345" w14:textId="05C1D0B5" w:rsidR="0068347E" w:rsidRDefault="0068347E" w:rsidP="0068347E">
      <w:r>
        <w:t>In advance of this change, there has been a focus on reducing a backlog of SPRs with resources deployed to reduce this. The consequence is an increased number of SPRs to the Crown Office and Procurator Fiscal Service (COPFS) over the reporting period and this accounts for the significant increase in cases submitted into the Criminal Justice System.</w:t>
      </w:r>
    </w:p>
    <w:p w14:paraId="35B3F810" w14:textId="46A279DA" w:rsidR="00C77D79" w:rsidRDefault="0068347E" w:rsidP="00DF508B">
      <w:r>
        <w:t>This was anticipated to continue into this quarter of the year, until all divisions are directly reporting and a consistent volume of submissions is achieved.</w:t>
      </w:r>
    </w:p>
    <w:p w14:paraId="164E3780" w14:textId="1BACAD10" w:rsidR="009A1929" w:rsidRDefault="009A1929" w:rsidP="0068347E">
      <w:r>
        <w:t>The reduction in persons arrested brought into custody is assessed as a combination of contributing factors including the introduction of the Planned Voluntary Interview Pathway (PVIP) which has been in operation since November 2024. There has also been greater use of Police Direct Measures which have risen significantly over the first two quarters of the year.</w:t>
      </w:r>
    </w:p>
    <w:p w14:paraId="78E9D7C8" w14:textId="3F66E0E6" w:rsidR="009A1929" w:rsidRDefault="009A1929" w:rsidP="0068347E">
      <w:r>
        <w:t>Reductions in persons held for court and in relation to new cases are likely due to an enhanced audit and compliance regime which has been implemented. CJSD also achieved targeted disposal inputs for custody sergeants with the assistance of the Crown Office. This supports a reduction of almost 5% in the percentage to court compared with the past three years.</w:t>
      </w:r>
    </w:p>
    <w:p w14:paraId="0839FB0F" w14:textId="29568200" w:rsidR="003008E5" w:rsidRDefault="00BD3774" w:rsidP="00400A47">
      <w:pPr>
        <w:pStyle w:val="KPIPullOutSC"/>
      </w:pPr>
      <w:r>
        <w:lastRenderedPageBreak/>
        <w:t>Fewer children</w:t>
      </w:r>
      <w:r w:rsidR="003008E5">
        <w:t xml:space="preserve"> </w:t>
      </w:r>
      <w:r w:rsidR="00400A47">
        <w:t xml:space="preserve">being brought into and kept in </w:t>
      </w:r>
      <w:r>
        <w:t>custody</w:t>
      </w:r>
    </w:p>
    <w:p w14:paraId="71CE329D" w14:textId="60CA78F6" w:rsidR="00405560" w:rsidRDefault="00405560" w:rsidP="0029294B">
      <w:pPr>
        <w:rPr>
          <w:noProof/>
        </w:rPr>
      </w:pPr>
      <w:r w:rsidRPr="00405560">
        <w:rPr>
          <w:noProof/>
        </w:rPr>
        <w:drawing>
          <wp:inline distT="0" distB="0" distL="0" distR="0" wp14:anchorId="528F67A2" wp14:editId="45326718">
            <wp:extent cx="6209729" cy="1524000"/>
            <wp:effectExtent l="0" t="0" r="635" b="0"/>
            <wp:docPr id="772431682" name="Picture 1" descr="CJ Children Arrested Management Information&#10;The first row of this table shows 1,250 children were arrested and accepted into police custody (not held overnight) YTD compared to 1,396 PYTD (down 10.5% on PYTD).&#10;The second row shows 474 children were arrested and held overnight YTD compared to 591 PYTD (down 19.8% on PYTD).&#10;The third row shows 76 children were held over 24 hours YTD compared to 111 PYTD (down 31.5%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1682" name="Picture 1" descr="CJ Children Arrested Management Information&#10;The first row of this table shows 1,250 children were arrested and accepted into police custody (not held overnight) YTD compared to 1,396 PYTD (down 10.5% on PYTD).&#10;The second row shows 474 children were arrested and held overnight YTD compared to 591 PYTD (down 19.8% on PYTD).&#10;The third row shows 76 children were held over 24 hours YTD compared to 111 PYTD (down 31.5% on PYTD).&#10;"/>
                    <pic:cNvPicPr/>
                  </pic:nvPicPr>
                  <pic:blipFill>
                    <a:blip r:embed="rId33"/>
                    <a:stretch>
                      <a:fillRect/>
                    </a:stretch>
                  </pic:blipFill>
                  <pic:spPr>
                    <a:xfrm>
                      <a:off x="0" y="0"/>
                      <a:ext cx="6219300" cy="1526349"/>
                    </a:xfrm>
                    <a:prstGeom prst="rect">
                      <a:avLst/>
                    </a:prstGeom>
                  </pic:spPr>
                </pic:pic>
              </a:graphicData>
            </a:graphic>
          </wp:inline>
        </w:drawing>
      </w:r>
    </w:p>
    <w:p w14:paraId="2024837E" w14:textId="77777777" w:rsidR="0068347E" w:rsidRDefault="0068347E" w:rsidP="0068347E">
      <w:r>
        <w:t>The number of children being brought into and kept in custody continues to decline across all measures.</w:t>
      </w:r>
    </w:p>
    <w:p w14:paraId="41B57D91" w14:textId="33D53984" w:rsidR="00400A47" w:rsidRDefault="0068347E" w:rsidP="0029294B">
      <w:r>
        <w:t>This is a welcome and continuing trend which has been reasonably consistent of recent years and previous quarters.</w:t>
      </w:r>
    </w:p>
    <w:p w14:paraId="684EFADA" w14:textId="1D98DB43" w:rsidR="003008E5" w:rsidRDefault="00BD3774" w:rsidP="00400A47">
      <w:pPr>
        <w:pStyle w:val="KPIPullOutSC"/>
      </w:pPr>
      <w:r>
        <w:t>Volume of individuals</w:t>
      </w:r>
      <w:r w:rsidR="00400A47">
        <w:t xml:space="preserve"> declaring a</w:t>
      </w:r>
      <w:r w:rsidR="003008E5">
        <w:t xml:space="preserve">ddiction </w:t>
      </w:r>
      <w:r w:rsidR="00400A47">
        <w:t>i</w:t>
      </w:r>
      <w:r w:rsidR="003008E5">
        <w:t xml:space="preserve">ssues </w:t>
      </w:r>
      <w:r>
        <w:t>remains broadly static</w:t>
      </w:r>
    </w:p>
    <w:p w14:paraId="6BCCDD54" w14:textId="6F7EABE6" w:rsidR="00405560" w:rsidRDefault="00405560" w:rsidP="0029294B">
      <w:pPr>
        <w:rPr>
          <w:noProof/>
        </w:rPr>
      </w:pPr>
      <w:r w:rsidRPr="00405560">
        <w:rPr>
          <w:noProof/>
        </w:rPr>
        <w:drawing>
          <wp:inline distT="0" distB="0" distL="0" distR="0" wp14:anchorId="69959747" wp14:editId="122061B3">
            <wp:extent cx="6206637" cy="1876425"/>
            <wp:effectExtent l="0" t="0" r="3810" b="0"/>
            <wp:docPr id="1746970389" name="Picture 1" descr="CJ Addiction Issues Management Information&#10;The first row of this table shows 7,228 persons arrested who have declared current or historic alcohol addiction issues YTD compared to 7,296 PYTD (down 0.9% on PYTD).&#10;The second row shows the proportion of persons arrested who have declared current or historic alcohol addiction issues was 14.5% YTD compared to 14.0% PYTD (up 0.5% points on PYTD).&#10;The third row shows 7,736 persons arrested who have declared current or historic drug addiction issues YTD compared to 8,410 PYTD (down 8.0% on PYTD).&#10;The fourth row shows the proportion of persons arrested who have declared current or historic drug addiction issues was 15.6% YTD compared to 16.2% PYTD (down 0.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0389" name="Picture 1" descr="CJ Addiction Issues Management Information&#10;The first row of this table shows 7,228 persons arrested who have declared current or historic alcohol addiction issues YTD compared to 7,296 PYTD (down 0.9% on PYTD).&#10;The second row shows the proportion of persons arrested who have declared current or historic alcohol addiction issues was 14.5% YTD compared to 14.0% PYTD (up 0.5% points on PYTD).&#10;The third row shows 7,736 persons arrested who have declared current or historic drug addiction issues YTD compared to 8,410 PYTD (down 8.0% on PYTD).&#10;The fourth row shows the proportion of persons arrested who have declared current or historic drug addiction issues was 15.6% YTD compared to 16.2% PYTD (down 0.6% points on PYTD).&#10;"/>
                    <pic:cNvPicPr/>
                  </pic:nvPicPr>
                  <pic:blipFill>
                    <a:blip r:embed="rId34"/>
                    <a:stretch>
                      <a:fillRect/>
                    </a:stretch>
                  </pic:blipFill>
                  <pic:spPr>
                    <a:xfrm>
                      <a:off x="0" y="0"/>
                      <a:ext cx="6215990" cy="1879253"/>
                    </a:xfrm>
                    <a:prstGeom prst="rect">
                      <a:avLst/>
                    </a:prstGeom>
                  </pic:spPr>
                </pic:pic>
              </a:graphicData>
            </a:graphic>
          </wp:inline>
        </w:drawing>
      </w:r>
    </w:p>
    <w:p w14:paraId="6736E123" w14:textId="4380573C" w:rsidR="00400A47" w:rsidRDefault="009A1929" w:rsidP="0029294B">
      <w:r w:rsidRPr="002F15CF">
        <w:t>The numbers and proportion of individuals declaring vulnerabilities continues to remain broadly static.</w:t>
      </w:r>
    </w:p>
    <w:p w14:paraId="2E2E8929" w14:textId="4A50BC2A" w:rsidR="009A1929" w:rsidRDefault="009A1929" w:rsidP="0029294B">
      <w:r w:rsidRPr="002F15CF">
        <w:t>The only significant change is to the numbers declaring current or historic drug addiction issues, however, the small reduction in the corresponding proportion of throughput indicates this is more likely linked to the overall reduction in throughput and this is likely the driver.</w:t>
      </w:r>
    </w:p>
    <w:p w14:paraId="3CDD9CAF" w14:textId="07E8CD51" w:rsidR="009A1929" w:rsidRDefault="009A1929" w:rsidP="0029294B">
      <w:r>
        <w:t>Engagement continues with NHS colleagues to improve access to healthcare in police custody and work is ongoing to embed the Arrest Referral Scheme, ensuring that those who need additional support receive it.</w:t>
      </w:r>
    </w:p>
    <w:p w14:paraId="13DDD289" w14:textId="63688FF1" w:rsidR="003008E5" w:rsidRDefault="00BD3774" w:rsidP="00974DED">
      <w:pPr>
        <w:pStyle w:val="KPIHeading4SC"/>
      </w:pPr>
      <w:r>
        <w:t xml:space="preserve">Increased usage of </w:t>
      </w:r>
      <w:r w:rsidR="003008E5">
        <w:t xml:space="preserve">Fixed Penalty Notices </w:t>
      </w:r>
      <w:r w:rsidR="00400A47">
        <w:t>and</w:t>
      </w:r>
      <w:r w:rsidR="003008E5">
        <w:t xml:space="preserve"> Direct Measures</w:t>
      </w:r>
    </w:p>
    <w:p w14:paraId="2DDC43C3" w14:textId="0B84C2A6" w:rsidR="00405560" w:rsidRDefault="00405560" w:rsidP="0029294B">
      <w:pPr>
        <w:rPr>
          <w:noProof/>
        </w:rPr>
      </w:pPr>
      <w:r w:rsidRPr="00405560">
        <w:rPr>
          <w:noProof/>
        </w:rPr>
        <w:drawing>
          <wp:inline distT="0" distB="0" distL="0" distR="0" wp14:anchorId="7F2C0AA1" wp14:editId="04AEC73D">
            <wp:extent cx="6206490" cy="1162292"/>
            <wp:effectExtent l="0" t="0" r="3810" b="0"/>
            <wp:docPr id="189123520" name="Picture 1" descr="Fixed Penalty Notices / Direct Measures&#10;The first row of this table shows 1,699 fixed penalty notices issued YTD compared to 716 PYTD (up 137.3% on PYTD).&#10;The second row shows 13,541 direct measures issued YTD compared to 12,657 PYTD (up 7.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520" name="Picture 1" descr="Fixed Penalty Notices / Direct Measures&#10;The first row of this table shows 1,699 fixed penalty notices issued YTD compared to 716 PYTD (up 137.3% on PYTD).&#10;The second row shows 13,541 direct measures issued YTD compared to 12,657 PYTD (up 7.0% on PYTD).&#10;"/>
                    <pic:cNvPicPr/>
                  </pic:nvPicPr>
                  <pic:blipFill>
                    <a:blip r:embed="rId35"/>
                    <a:stretch>
                      <a:fillRect/>
                    </a:stretch>
                  </pic:blipFill>
                  <pic:spPr>
                    <a:xfrm>
                      <a:off x="0" y="0"/>
                      <a:ext cx="6248449" cy="1170150"/>
                    </a:xfrm>
                    <a:prstGeom prst="rect">
                      <a:avLst/>
                    </a:prstGeom>
                  </pic:spPr>
                </pic:pic>
              </a:graphicData>
            </a:graphic>
          </wp:inline>
        </w:drawing>
      </w:r>
    </w:p>
    <w:p w14:paraId="6CB2B0FF" w14:textId="77777777" w:rsidR="00C01A4A" w:rsidRDefault="00423C0B" w:rsidP="0029294B">
      <w:r w:rsidRPr="00400A47">
        <w:lastRenderedPageBreak/>
        <w:t>Both metrics have seen an increase in usage following the implementation of the revised Lord Advocates guidelines.</w:t>
      </w:r>
      <w:r w:rsidR="0023544C">
        <w:t xml:space="preserve"> These guidelines provide officers more discretion to deal with low level offending at the closest point to the commission of the offence.</w:t>
      </w:r>
    </w:p>
    <w:p w14:paraId="77B7F480" w14:textId="319999EC" w:rsidR="00400A47" w:rsidRDefault="0023544C" w:rsidP="0029294B">
      <w:r>
        <w:t>Police Scotland are also working with partners in Community Justice Scotland on a street referral and support model to divert those who are issued direct measures from re-offending.</w:t>
      </w:r>
    </w:p>
    <w:p w14:paraId="23B944E3" w14:textId="07103F2C" w:rsidR="00A106DE" w:rsidRDefault="00BD3774" w:rsidP="00DF508B">
      <w:pPr>
        <w:pStyle w:val="KPIPullOutSC"/>
      </w:pPr>
      <w:r>
        <w:t>National Production disposal teams lead to reduction in productions</w:t>
      </w:r>
    </w:p>
    <w:p w14:paraId="6FF99BDF" w14:textId="609F9ACC" w:rsidR="008C416B" w:rsidRDefault="008C416B" w:rsidP="0029294B">
      <w:r w:rsidRPr="008C416B">
        <w:rPr>
          <w:noProof/>
        </w:rPr>
        <w:drawing>
          <wp:inline distT="0" distB="0" distL="0" distR="0" wp14:anchorId="66025C4C" wp14:editId="43DCDE7D">
            <wp:extent cx="6168599" cy="1857375"/>
            <wp:effectExtent l="0" t="0" r="3810" b="0"/>
            <wp:docPr id="2143257178" name="Picture 1" descr="CJ Productions Management Information&#10;The first row of this table shows 263,100 productions received YTD compared to 307,026 PYTD (down 14.3% on PYTD).&#10;The second row shows 216,917 productions disposed YTD compared to 144,304 PYTD (up 50.3% on PYTD).&#10;The third row shows 46,183 productions accumulated YTD compared to 162,722 PYTD (down 71.6% on PYTD).&#10;The fourth row shows the percentage of productions accumulated in terms of total received was 17.6% YTD compared to 53.0% PYTD (down 35.5%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57178" name="Picture 1" descr="CJ Productions Management Information&#10;The first row of this table shows 263,100 productions received YTD compared to 307,026 PYTD (down 14.3% on PYTD).&#10;The second row shows 216,917 productions disposed YTD compared to 144,304 PYTD (up 50.3% on PYTD).&#10;The third row shows 46,183 productions accumulated YTD compared to 162,722 PYTD (down 71.6% on PYTD).&#10;The fourth row shows the percentage of productions accumulated in terms of total received was 17.6% YTD compared to 53.0% PYTD (down 35.5% points on PYTD).&#10;"/>
                    <pic:cNvPicPr/>
                  </pic:nvPicPr>
                  <pic:blipFill>
                    <a:blip r:embed="rId36"/>
                    <a:stretch>
                      <a:fillRect/>
                    </a:stretch>
                  </pic:blipFill>
                  <pic:spPr>
                    <a:xfrm>
                      <a:off x="0" y="0"/>
                      <a:ext cx="6176084" cy="1859629"/>
                    </a:xfrm>
                    <a:prstGeom prst="rect">
                      <a:avLst/>
                    </a:prstGeom>
                  </pic:spPr>
                </pic:pic>
              </a:graphicData>
            </a:graphic>
          </wp:inline>
        </w:drawing>
      </w:r>
    </w:p>
    <w:p w14:paraId="4D7C8D90" w14:textId="37D08195" w:rsidR="00400A47" w:rsidRDefault="0023544C" w:rsidP="0029294B">
      <w:r w:rsidRPr="00400A47">
        <w:t>A decrease in productions received from the previous year can be attributed to the national rollout of DESC and the increase in items disposed can be attributed to the introduction of national production disposal teams</w:t>
      </w:r>
      <w:r>
        <w:t>.</w:t>
      </w:r>
    </w:p>
    <w:p w14:paraId="6131CFE9" w14:textId="723601BF" w:rsidR="007B08FF" w:rsidRDefault="00BD3774" w:rsidP="00400A47">
      <w:pPr>
        <w:pStyle w:val="KPIPullOutSC"/>
      </w:pPr>
      <w:r>
        <w:t>Volume of individuals</w:t>
      </w:r>
      <w:r w:rsidR="00400A47" w:rsidRPr="00400A47">
        <w:t xml:space="preserve"> declaring </w:t>
      </w:r>
      <w:r w:rsidR="00400A47">
        <w:t>mental health</w:t>
      </w:r>
      <w:r w:rsidR="00400A47" w:rsidRPr="00400A47">
        <w:t xml:space="preserve"> issues</w:t>
      </w:r>
      <w:r w:rsidR="00302429">
        <w:t xml:space="preserve"> </w:t>
      </w:r>
      <w:r>
        <w:t>remains broadly static</w:t>
      </w:r>
    </w:p>
    <w:p w14:paraId="0E88A963" w14:textId="126A829C" w:rsidR="008C416B" w:rsidRDefault="008C416B" w:rsidP="0029294B">
      <w:pPr>
        <w:rPr>
          <w:noProof/>
        </w:rPr>
      </w:pPr>
      <w:r w:rsidRPr="008C416B">
        <w:rPr>
          <w:noProof/>
        </w:rPr>
        <w:drawing>
          <wp:inline distT="0" distB="0" distL="0" distR="0" wp14:anchorId="1B2155B8" wp14:editId="4DCFA2CB">
            <wp:extent cx="6188710" cy="1141019"/>
            <wp:effectExtent l="0" t="0" r="2540" b="2540"/>
            <wp:docPr id="1121335055" name="Picture 1" descr="Mental Health Incidents&#10;The first row of this table shows 21,430 persons arrested who have declared current or historic mental health issues YTD compared to 22,253 PYTD (down 3.7% on PYTD).&#10;The second row shows the proportion of persons arrested who have declared current or historic mental health issues was 43.1% YTD compared to 42.8% PYTD (up 0.3%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35055" name="Picture 1" descr="Mental Health Incidents&#10;The first row of this table shows 21,430 persons arrested who have declared current or historic mental health issues YTD compared to 22,253 PYTD (down 3.7% on PYTD).&#10;The second row shows the proportion of persons arrested who have declared current or historic mental health issues was 43.1% YTD compared to 42.8% PYTD (up 0.3% Points on PYTD).&#10;"/>
                    <pic:cNvPicPr/>
                  </pic:nvPicPr>
                  <pic:blipFill>
                    <a:blip r:embed="rId37"/>
                    <a:stretch>
                      <a:fillRect/>
                    </a:stretch>
                  </pic:blipFill>
                  <pic:spPr>
                    <a:xfrm>
                      <a:off x="0" y="0"/>
                      <a:ext cx="6225420" cy="1147787"/>
                    </a:xfrm>
                    <a:prstGeom prst="rect">
                      <a:avLst/>
                    </a:prstGeom>
                  </pic:spPr>
                </pic:pic>
              </a:graphicData>
            </a:graphic>
          </wp:inline>
        </w:drawing>
      </w:r>
    </w:p>
    <w:p w14:paraId="7F8648FC" w14:textId="2E342985" w:rsidR="00400A47" w:rsidRDefault="0023544C" w:rsidP="0029294B">
      <w:r w:rsidRPr="00400A47">
        <w:t>The numbers and proportion of individuals declaring current or</w:t>
      </w:r>
      <w:r>
        <w:t xml:space="preserve"> </w:t>
      </w:r>
      <w:r w:rsidRPr="00400A47">
        <w:t>historic mental health</w:t>
      </w:r>
      <w:r>
        <w:t xml:space="preserve"> </w:t>
      </w:r>
      <w:r w:rsidRPr="00400A47">
        <w:t>issues continues to remain broadly static.</w:t>
      </w:r>
    </w:p>
    <w:p w14:paraId="38553F1A" w14:textId="4C151366" w:rsidR="007B08FF" w:rsidRDefault="00BD3774" w:rsidP="00400A47">
      <w:pPr>
        <w:pStyle w:val="KPIPullOutSC"/>
      </w:pPr>
      <w:r>
        <w:t>26.8% increase in partner referrals</w:t>
      </w:r>
    </w:p>
    <w:p w14:paraId="3C2FBC7C" w14:textId="51118629" w:rsidR="008C416B" w:rsidRDefault="008C416B" w:rsidP="0029294B">
      <w:pPr>
        <w:rPr>
          <w:noProof/>
        </w:rPr>
      </w:pPr>
      <w:r w:rsidRPr="008C416B">
        <w:rPr>
          <w:noProof/>
        </w:rPr>
        <w:drawing>
          <wp:inline distT="0" distB="0" distL="0" distR="0" wp14:anchorId="2854AD2F" wp14:editId="108E84AB">
            <wp:extent cx="6169397" cy="1152525"/>
            <wp:effectExtent l="0" t="0" r="3175" b="0"/>
            <wp:docPr id="1585374009"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74009" name="Picture 1" descr="External Force Requests&#10;The first row of this table shows 4,872 people in custody were seen one or more times by NHS partners within custody suites in the YTD compared to 5,032 PYTD (down 3.2% on PYTD). The second row shows 568 people in police custody were referred to partners in the YTD compared to 448 PYTD (up 26.8% on PYTD).&#10;"/>
                    <pic:cNvPicPr/>
                  </pic:nvPicPr>
                  <pic:blipFill>
                    <a:blip r:embed="rId38"/>
                    <a:stretch>
                      <a:fillRect/>
                    </a:stretch>
                  </pic:blipFill>
                  <pic:spPr>
                    <a:xfrm>
                      <a:off x="0" y="0"/>
                      <a:ext cx="6178617" cy="1154247"/>
                    </a:xfrm>
                    <a:prstGeom prst="rect">
                      <a:avLst/>
                    </a:prstGeom>
                  </pic:spPr>
                </pic:pic>
              </a:graphicData>
            </a:graphic>
          </wp:inline>
        </w:drawing>
      </w:r>
    </w:p>
    <w:p w14:paraId="4A27C836" w14:textId="220F6737" w:rsidR="00400A47" w:rsidRDefault="00EC367F" w:rsidP="00400A47">
      <w:r>
        <w:t>The reduction in the number of times people in custody are seen by Health Care Professionals is likely due to the overall reduction in throughput rather than any significant change to policing practice.</w:t>
      </w:r>
    </w:p>
    <w:p w14:paraId="55C2D71C" w14:textId="77777777" w:rsidR="003D5944" w:rsidRDefault="003D5944" w:rsidP="003D5944">
      <w:r>
        <w:lastRenderedPageBreak/>
        <w:t>The number of persons referred to partners continues to increase, with the Tayside service continuing to contribute to these figures. Talks with other services remain positive with three new information sharing agreements having been submitted within Quarter 2 looking to build more pathways within West Lothian and also Renfrewshire.</w:t>
      </w:r>
    </w:p>
    <w:p w14:paraId="470E796D" w14:textId="6E0D8CA3" w:rsidR="003D5944" w:rsidRDefault="003D5944" w:rsidP="003D5944">
      <w:r w:rsidRPr="003D5944">
        <w:t>We are also working with Edinburgh, Midlothian and East Lothian councils to consider options for adopting a similar model to that employed in Tayside. Regular meetings are taking place with Community Justice Scotland with a view to building on the recommendations from the National Arrest Referral Partnership Event held in Quarter 1</w:t>
      </w:r>
      <w:r>
        <w:t>.</w:t>
      </w:r>
    </w:p>
    <w:p w14:paraId="602F1D7A" w14:textId="3AD0F52C" w:rsidR="00886504" w:rsidRPr="0089608D" w:rsidRDefault="00886504" w:rsidP="008409B3">
      <w:pPr>
        <w:pStyle w:val="KPIHeading3SC"/>
      </w:pPr>
      <w:r w:rsidRPr="0089608D">
        <w:t xml:space="preserve">KPI: </w:t>
      </w:r>
      <w:r>
        <w:t>Number of proactive crimes</w:t>
      </w:r>
    </w:p>
    <w:p w14:paraId="64FD4F7A" w14:textId="34C3BA9E" w:rsidR="000121D9" w:rsidRPr="000121D9" w:rsidRDefault="00886504" w:rsidP="00F7686A">
      <w:pPr>
        <w:pStyle w:val="Heading4"/>
      </w:pPr>
      <w:r w:rsidRPr="007B08FF">
        <w:t>Group 6 Crimes</w:t>
      </w:r>
    </w:p>
    <w:p w14:paraId="305D0AC9" w14:textId="30DD656C" w:rsidR="004A23C4" w:rsidRDefault="00124B2B" w:rsidP="00974DED">
      <w:pPr>
        <w:pStyle w:val="KPIPullOutSC"/>
      </w:pPr>
      <w:r>
        <w:t>Antisocial offences have increased by 10.7%</w:t>
      </w:r>
    </w:p>
    <w:p w14:paraId="1A65AB92" w14:textId="02958205" w:rsidR="004713BC" w:rsidRDefault="00511091" w:rsidP="009D25FE">
      <w:r w:rsidRPr="00511091">
        <w:rPr>
          <w:noProof/>
        </w:rPr>
        <w:drawing>
          <wp:inline distT="0" distB="0" distL="0" distR="0" wp14:anchorId="207CFF81" wp14:editId="3BDC3665">
            <wp:extent cx="6188710" cy="1156970"/>
            <wp:effectExtent l="0" t="0" r="2540" b="5080"/>
            <wp:docPr id="1333092275" name="Picture 1" descr="Group 6 Offences&#10;The first row of this table shows 28,229 Group 6 offences YTD compared to 25,499 PYTD (up 10.7% on PYTD); and 51,845 Group 6 offences in the rolling 12 months period compared to 47,502 in the previous rolling 12 months (up 9.1% on previous period).&#10;The second row shows the detection rate for Group 6 offences was 78.5% YTD compared to 79.1% PYTD (down 0.6% points on PYTD); and the detection rate for Group 6 offences was 79.6% in the rolling 12 months period compared to 80.1% in the previous rolling 12 months (down 0.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92275" name="Picture 1" descr="Group 6 Offences&#10;The first row of this table shows 28,229 Group 6 offences YTD compared to 25,499 PYTD (up 10.7% on PYTD); and 51,845 Group 6 offences in the rolling 12 months period compared to 47,502 in the previous rolling 12 months (up 9.1% on previous period).&#10;The second row shows the detection rate for Group 6 offences was 78.5% YTD compared to 79.1% PYTD (down 0.6% points on PYTD); and the detection rate for Group 6 offences was 79.6% in the rolling 12 months period compared to 80.1% in the previous rolling 12 months (down 0.5% points on previous period.&#10;"/>
                    <pic:cNvPicPr/>
                  </pic:nvPicPr>
                  <pic:blipFill>
                    <a:blip r:embed="rId39"/>
                    <a:stretch>
                      <a:fillRect/>
                    </a:stretch>
                  </pic:blipFill>
                  <pic:spPr>
                    <a:xfrm>
                      <a:off x="0" y="0"/>
                      <a:ext cx="6188710" cy="1156970"/>
                    </a:xfrm>
                    <a:prstGeom prst="rect">
                      <a:avLst/>
                    </a:prstGeom>
                  </pic:spPr>
                </pic:pic>
              </a:graphicData>
            </a:graphic>
          </wp:inline>
        </w:drawing>
      </w:r>
    </w:p>
    <w:p w14:paraId="21C5F799" w14:textId="4E67482F" w:rsidR="00C70BC3" w:rsidRDefault="00C70BC3" w:rsidP="009D25FE">
      <w:r>
        <w:t xml:space="preserve">Antisocial offences </w:t>
      </w:r>
      <w:r w:rsidR="00BA3308">
        <w:t>continue</w:t>
      </w:r>
      <w:r>
        <w:t xml:space="preserve"> to see an increase this period, albeit that has reduced slightly over the course of the second quarter. The number of offences has decreased slightly compared to the five-year-mean.</w:t>
      </w:r>
    </w:p>
    <w:p w14:paraId="7D16AC71" w14:textId="0912305D" w:rsidR="005214D0" w:rsidRDefault="00C70BC3" w:rsidP="009D25FE">
      <w:r>
        <w:t>Threatening or abusive behaviour continues to account for the vast majority (82.9%) of all Group 6 offences, however most offence types, particularly breach of the peace, urinating in public, drunk &amp; incapable, consuming alcohol in designated places and other alcohol related offences have increased.</w:t>
      </w:r>
    </w:p>
    <w:p w14:paraId="4468C61E" w14:textId="3AC08655" w:rsidR="005214D0" w:rsidRDefault="005214D0" w:rsidP="009D25FE">
      <w:r>
        <w:t>While not counted under Group 6, the number of vandalism crimes (17,157) YTD has decreased by 3.0% from last year and 8.8% from the five-year-mean. This is the fewest number of vandalism crimes recorded for this period in recent years.</w:t>
      </w:r>
    </w:p>
    <w:p w14:paraId="644F0797" w14:textId="644C9FEE" w:rsidR="00F7686A" w:rsidRDefault="00F7686A" w:rsidP="00F7686A">
      <w:pPr>
        <w:pStyle w:val="KPIPullOutSC"/>
      </w:pPr>
      <w:r>
        <w:t xml:space="preserve">Antisocial behaviour and disorder </w:t>
      </w:r>
      <w:r w:rsidR="00A22832">
        <w:t>down on both periods</w:t>
      </w:r>
    </w:p>
    <w:p w14:paraId="30DF56EA" w14:textId="6C5B5299" w:rsidR="004713BC" w:rsidRDefault="00027F66" w:rsidP="009D25FE">
      <w:r w:rsidRPr="00027F66">
        <w:rPr>
          <w:noProof/>
        </w:rPr>
        <w:drawing>
          <wp:inline distT="0" distB="0" distL="0" distR="0" wp14:anchorId="067C9BB1" wp14:editId="714AF5A2">
            <wp:extent cx="6188710" cy="1155065"/>
            <wp:effectExtent l="0" t="0" r="2540" b="6985"/>
            <wp:docPr id="1626953590" name="Picture 1" descr="Antisocial Behaviour and Disorder&#10;The first row of this table shows 138,470 antisocial behaviour incidents reported by the public YTD compared to 139,373 PYTD (down 0.6% on PYTD); and 263,912 antisocial behaviour incidents reported by the public in the rolling 12 months period compared to 265,044 in the previous rolling 12 months (down 0.4% on previous period).&#10;The second row shows 96,628 complaints regarding disorder YTD compared to 97,259 PYTD (down 0.6% on PYTD); and 183,711 complaints regarding disorder in the rolling 12 months period compared to 184,464 in the previous rolling 12 months (down 0.4%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53590" name="Picture 1" descr="Antisocial Behaviour and Disorder&#10;The first row of this table shows 138,470 antisocial behaviour incidents reported by the public YTD compared to 139,373 PYTD (down 0.6% on PYTD); and 263,912 antisocial behaviour incidents reported by the public in the rolling 12 months period compared to 265,044 in the previous rolling 12 months (down 0.4% on previous period).&#10;The second row shows 96,628 complaints regarding disorder YTD compared to 97,259 PYTD (down 0.6% on PYTD); and 183,711 complaints regarding disorder in the rolling 12 months period compared to 184,464 in the previous rolling 12 months (down 0.4% on previous period).&#10;"/>
                    <pic:cNvPicPr/>
                  </pic:nvPicPr>
                  <pic:blipFill>
                    <a:blip r:embed="rId40"/>
                    <a:stretch>
                      <a:fillRect/>
                    </a:stretch>
                  </pic:blipFill>
                  <pic:spPr>
                    <a:xfrm>
                      <a:off x="0" y="0"/>
                      <a:ext cx="6188710" cy="1155065"/>
                    </a:xfrm>
                    <a:prstGeom prst="rect">
                      <a:avLst/>
                    </a:prstGeom>
                  </pic:spPr>
                </pic:pic>
              </a:graphicData>
            </a:graphic>
          </wp:inline>
        </w:drawing>
      </w:r>
    </w:p>
    <w:p w14:paraId="08735644" w14:textId="5A413542" w:rsidR="00D0417F" w:rsidRDefault="00C830FF" w:rsidP="00F7686A">
      <w:bookmarkStart w:id="53" w:name="_Hlk213324006"/>
      <w:r>
        <w:t>Publicly reported incidents of antisocial behaviour (ASB) and complaints of disorder have decreased slightly compared to the same period last year, although neighbour disputes, public nuisances and</w:t>
      </w:r>
      <w:r w:rsidR="00500F03">
        <w:t xml:space="preserve"> communications incidents are on the rise. Neighbour disputes in particular have increased in every police division compared to last year.</w:t>
      </w:r>
    </w:p>
    <w:p w14:paraId="67EAD12F" w14:textId="1B9D45E5" w:rsidR="009E5BC1" w:rsidRDefault="00500F03" w:rsidP="00F7686A">
      <w:r>
        <w:lastRenderedPageBreak/>
        <w:t>During the period, 39.1% of publicly reported ASB incidents were attended by Police Scotland. This has increased slightly (</w:t>
      </w:r>
      <w:r w:rsidR="001930DE">
        <w:t xml:space="preserve">up </w:t>
      </w:r>
      <w:r>
        <w:t>0.2% points) from the same period last year.</w:t>
      </w:r>
    </w:p>
    <w:bookmarkEnd w:id="53"/>
    <w:p w14:paraId="75721346" w14:textId="32A9E3AE" w:rsidR="00886504" w:rsidRDefault="00886504" w:rsidP="00974DED">
      <w:pPr>
        <w:pStyle w:val="Heading4"/>
      </w:pPr>
      <w:r w:rsidRPr="007B08FF">
        <w:t>Stop and Search</w:t>
      </w:r>
    </w:p>
    <w:p w14:paraId="7854CA5B" w14:textId="453F0A92" w:rsidR="00F7686A" w:rsidRPr="00F7686A" w:rsidRDefault="00BE38A7" w:rsidP="00F7686A">
      <w:pPr>
        <w:pStyle w:val="KPIPullOutSC"/>
      </w:pPr>
      <w:r>
        <w:t>Compliance with the Stop and Search Code of Practice at 99.0%</w:t>
      </w:r>
    </w:p>
    <w:p w14:paraId="794367EC" w14:textId="56D9ABDB" w:rsidR="00BE38A7" w:rsidRDefault="00511091" w:rsidP="001102B0">
      <w:pPr>
        <w:rPr>
          <w:rFonts w:cs="Arial"/>
        </w:rPr>
      </w:pPr>
      <w:r w:rsidRPr="00511091">
        <w:rPr>
          <w:rFonts w:cs="Arial"/>
          <w:noProof/>
        </w:rPr>
        <w:drawing>
          <wp:inline distT="0" distB="0" distL="0" distR="0" wp14:anchorId="0DBB3644" wp14:editId="26B412BE">
            <wp:extent cx="6188710" cy="791210"/>
            <wp:effectExtent l="0" t="0" r="2540" b="8890"/>
            <wp:docPr id="1025830077" name="Picture 1" descr="Stop and Search&#10;This table shows the stop search compliance rate was 99.0% YTD compared to 98.9% PYTD (up 0.1% points on PYTD); and the stop search compliance rate was 99.0% in the rolling 12 months period compared to 98.9% in the previous rolling 12 months (up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0077" name="Picture 1" descr="Stop and Search&#10;This table shows the stop search compliance rate was 99.0% YTD compared to 98.9% PYTD (up 0.1% points on PYTD); and the stop search compliance rate was 99.0% in the rolling 12 months period compared to 98.9% in the previous rolling 12 months (up 0.1% points on previous period).&#10;"/>
                    <pic:cNvPicPr/>
                  </pic:nvPicPr>
                  <pic:blipFill>
                    <a:blip r:embed="rId41"/>
                    <a:stretch>
                      <a:fillRect/>
                    </a:stretch>
                  </pic:blipFill>
                  <pic:spPr>
                    <a:xfrm>
                      <a:off x="0" y="0"/>
                      <a:ext cx="6188710" cy="791210"/>
                    </a:xfrm>
                    <a:prstGeom prst="rect">
                      <a:avLst/>
                    </a:prstGeom>
                  </pic:spPr>
                </pic:pic>
              </a:graphicData>
            </a:graphic>
          </wp:inline>
        </w:drawing>
      </w:r>
    </w:p>
    <w:p w14:paraId="15523C4F" w14:textId="73FA3B27" w:rsidR="00720C66" w:rsidRDefault="009E5BC1" w:rsidP="00720C66">
      <w:pPr>
        <w:rPr>
          <w:rFonts w:cs="Arial"/>
        </w:rPr>
      </w:pPr>
      <w:r>
        <w:rPr>
          <w:rFonts w:cs="Arial"/>
        </w:rPr>
        <w:t>I</w:t>
      </w:r>
      <w:r w:rsidR="00720C66">
        <w:rPr>
          <w:rFonts w:cs="Arial"/>
        </w:rPr>
        <w:t>ntelligence-led stop and search is a valuable and effective policing tactic that helps us keep people safe.</w:t>
      </w:r>
    </w:p>
    <w:p w14:paraId="0EE06564" w14:textId="77777777" w:rsidR="00720C66" w:rsidRDefault="00720C66" w:rsidP="00720C66">
      <w:pPr>
        <w:rPr>
          <w:rFonts w:cs="Arial"/>
        </w:rPr>
      </w:pPr>
      <w:r>
        <w:rPr>
          <w:rFonts w:cs="Arial"/>
        </w:rPr>
        <w:t>O</w:t>
      </w:r>
      <w:r w:rsidRPr="009720D5">
        <w:rPr>
          <w:rFonts w:cs="Arial"/>
        </w:rPr>
        <w:t>ur approach is guided by the core principle that every person has the right to be treated with dignity and respect.</w:t>
      </w:r>
    </w:p>
    <w:p w14:paraId="519E53C4" w14:textId="78B227A9" w:rsidR="00720C66" w:rsidRDefault="00720C66" w:rsidP="00720C66">
      <w:pPr>
        <w:rPr>
          <w:rFonts w:cs="Arial"/>
        </w:rPr>
      </w:pPr>
      <w:r w:rsidRPr="009720D5">
        <w:rPr>
          <w:rFonts w:cs="Arial"/>
        </w:rPr>
        <w:t>We are committed to transparency and accountability, ensuring that our decisions are objective</w:t>
      </w:r>
      <w:r w:rsidR="009E5BC1">
        <w:rPr>
          <w:rFonts w:cs="Arial"/>
        </w:rPr>
        <w:t xml:space="preserve"> and</w:t>
      </w:r>
      <w:r w:rsidRPr="009720D5">
        <w:rPr>
          <w:rFonts w:cs="Arial"/>
        </w:rPr>
        <w:t xml:space="preserve"> intelligence-led </w:t>
      </w:r>
      <w:r w:rsidR="009E5BC1">
        <w:rPr>
          <w:rFonts w:cs="Arial"/>
        </w:rPr>
        <w:t>grounds</w:t>
      </w:r>
      <w:r w:rsidRPr="009720D5">
        <w:rPr>
          <w:rFonts w:cs="Arial"/>
        </w:rPr>
        <w:t>.</w:t>
      </w:r>
    </w:p>
    <w:p w14:paraId="42006703" w14:textId="1ECF2756" w:rsidR="00720C66" w:rsidRDefault="00720C66" w:rsidP="00720C66">
      <w:pPr>
        <w:rPr>
          <w:rFonts w:cs="Arial"/>
        </w:rPr>
      </w:pPr>
      <w:r w:rsidRPr="009720D5">
        <w:rPr>
          <w:rFonts w:cs="Arial"/>
        </w:rPr>
        <w:t xml:space="preserve">By </w:t>
      </w:r>
      <w:r>
        <w:rPr>
          <w:rFonts w:cs="Arial"/>
        </w:rPr>
        <w:t xml:space="preserve">ensuring that every search is objective, intelligence led and in line with </w:t>
      </w:r>
      <w:r w:rsidR="009E5BC1">
        <w:rPr>
          <w:rFonts w:cs="Arial"/>
        </w:rPr>
        <w:t>the</w:t>
      </w:r>
      <w:r>
        <w:rPr>
          <w:rFonts w:cs="Arial"/>
        </w:rPr>
        <w:t xml:space="preserve"> Code of Practice</w:t>
      </w:r>
      <w:r w:rsidRPr="009720D5">
        <w:rPr>
          <w:rFonts w:cs="Arial"/>
        </w:rPr>
        <w:t xml:space="preserve">, we aim to build public confidence and demonstrate that this tactic is used fairly and proportionately. </w:t>
      </w:r>
    </w:p>
    <w:p w14:paraId="5C3768C0" w14:textId="0C19F724" w:rsidR="00720C66" w:rsidRPr="009720D5" w:rsidRDefault="00720C66" w:rsidP="00720C66">
      <w:pPr>
        <w:rPr>
          <w:rFonts w:cs="Arial"/>
          <w:noProof/>
        </w:rPr>
      </w:pPr>
      <w:bookmarkStart w:id="54" w:name="_Hlk213326928"/>
      <w:r w:rsidRPr="009720D5">
        <w:rPr>
          <w:rFonts w:cs="Arial"/>
          <w:noProof/>
        </w:rPr>
        <w:t xml:space="preserve">During the </w:t>
      </w:r>
      <w:r>
        <w:rPr>
          <w:rFonts w:cs="Arial"/>
          <w:noProof/>
        </w:rPr>
        <w:t>second</w:t>
      </w:r>
      <w:r w:rsidRPr="009720D5">
        <w:rPr>
          <w:rFonts w:cs="Arial"/>
          <w:noProof/>
        </w:rPr>
        <w:t xml:space="preserve"> quarter of 2025/2</w:t>
      </w:r>
      <w:r>
        <w:rPr>
          <w:rFonts w:cs="Arial"/>
          <w:noProof/>
        </w:rPr>
        <w:t>6</w:t>
      </w:r>
      <w:r w:rsidRPr="009720D5">
        <w:rPr>
          <w:rFonts w:cs="Arial"/>
          <w:noProof/>
        </w:rPr>
        <w:t xml:space="preserve">, </w:t>
      </w:r>
      <w:r>
        <w:rPr>
          <w:rFonts w:cs="Arial"/>
          <w:noProof/>
        </w:rPr>
        <w:t>8,487</w:t>
      </w:r>
      <w:r w:rsidRPr="009720D5">
        <w:rPr>
          <w:rFonts w:cs="Arial"/>
          <w:noProof/>
        </w:rPr>
        <w:t xml:space="preserve"> stop and search records were audited</w:t>
      </w:r>
      <w:r>
        <w:rPr>
          <w:rFonts w:cs="Arial"/>
          <w:noProof/>
        </w:rPr>
        <w:t>, bringing the year-to-date figure up to 19,905 records.</w:t>
      </w:r>
      <w:r w:rsidRPr="009720D5">
        <w:rPr>
          <w:rFonts w:cs="Arial"/>
          <w:noProof/>
        </w:rPr>
        <w:t xml:space="preserve"> </w:t>
      </w:r>
      <w:bookmarkEnd w:id="54"/>
      <w:r w:rsidRPr="009720D5">
        <w:rPr>
          <w:rFonts w:cs="Arial"/>
          <w:noProof/>
        </w:rPr>
        <w:t>An audit involves the records being reviewed by line managers and thereafter quality control checked by the National Stop and Search Unit to ensure their adherence to the Stop and Search Code of Practice introduced in May 2017.</w:t>
      </w:r>
    </w:p>
    <w:p w14:paraId="54BA7467" w14:textId="70835379" w:rsidR="00720C66" w:rsidRPr="009720D5" w:rsidRDefault="00720C66" w:rsidP="00720C66">
      <w:pPr>
        <w:rPr>
          <w:rFonts w:cs="Arial"/>
          <w:noProof/>
        </w:rPr>
      </w:pPr>
      <w:bookmarkStart w:id="55" w:name="_Hlk213326954"/>
      <w:r>
        <w:rPr>
          <w:rFonts w:cs="Arial"/>
          <w:noProof/>
        </w:rPr>
        <w:t>445</w:t>
      </w:r>
      <w:r w:rsidRPr="009720D5">
        <w:rPr>
          <w:rFonts w:cs="Arial"/>
          <w:noProof/>
        </w:rPr>
        <w:t xml:space="preserve"> records have been returned to local management for further details and are still awaiting responses</w:t>
      </w:r>
      <w:bookmarkEnd w:id="55"/>
      <w:r w:rsidRPr="009720D5">
        <w:rPr>
          <w:rFonts w:cs="Arial"/>
          <w:noProof/>
        </w:rPr>
        <w:t>.</w:t>
      </w:r>
      <w:r w:rsidR="004F6946">
        <w:rPr>
          <w:rFonts w:cs="Arial"/>
          <w:noProof/>
        </w:rPr>
        <w:t xml:space="preserve"> </w:t>
      </w:r>
      <w:r w:rsidR="004F6946" w:rsidRPr="004F6946">
        <w:rPr>
          <w:rFonts w:cs="Arial"/>
          <w:noProof/>
        </w:rPr>
        <w:t>Suitable guidance and learning is given with each returned record and feedback is regularly provided to divisions in relation to any common issues when these are identified</w:t>
      </w:r>
    </w:p>
    <w:p w14:paraId="1010676A" w14:textId="5D97B1F2" w:rsidR="00720C66" w:rsidRPr="009720D5" w:rsidRDefault="00720C66" w:rsidP="00720C66">
      <w:pPr>
        <w:rPr>
          <w:rFonts w:cs="Arial"/>
          <w:noProof/>
        </w:rPr>
      </w:pPr>
      <w:bookmarkStart w:id="56" w:name="_Hlk213326975"/>
      <w:r w:rsidRPr="009720D5">
        <w:rPr>
          <w:rFonts w:cs="Arial"/>
          <w:noProof/>
        </w:rPr>
        <w:t xml:space="preserve">Of the remaining </w:t>
      </w:r>
      <w:r>
        <w:rPr>
          <w:rFonts w:cs="Arial"/>
          <w:noProof/>
        </w:rPr>
        <w:t>19,460</w:t>
      </w:r>
      <w:r w:rsidRPr="009720D5">
        <w:rPr>
          <w:rFonts w:cs="Arial"/>
          <w:noProof/>
        </w:rPr>
        <w:t xml:space="preserve"> records, 90.</w:t>
      </w:r>
      <w:r>
        <w:rPr>
          <w:rFonts w:cs="Arial"/>
          <w:noProof/>
        </w:rPr>
        <w:t>3</w:t>
      </w:r>
      <w:r w:rsidRPr="009720D5">
        <w:rPr>
          <w:rFonts w:cs="Arial"/>
          <w:noProof/>
        </w:rPr>
        <w:t>% were deemed compliant with the Code of Practice and another 8.</w:t>
      </w:r>
      <w:r>
        <w:rPr>
          <w:rFonts w:cs="Arial"/>
          <w:noProof/>
        </w:rPr>
        <w:t>7</w:t>
      </w:r>
      <w:r w:rsidRPr="009720D5">
        <w:rPr>
          <w:rFonts w:cs="Arial"/>
          <w:noProof/>
        </w:rPr>
        <w:t>% were compliant but required amendment to their details to ensure they were appropriately recorded</w:t>
      </w:r>
      <w:bookmarkEnd w:id="56"/>
      <w:r w:rsidRPr="009720D5">
        <w:rPr>
          <w:rFonts w:cs="Arial"/>
          <w:noProof/>
        </w:rPr>
        <w:t xml:space="preserve">. The total compliance rate for stop and search that have finished the audit process </w:t>
      </w:r>
      <w:r w:rsidR="00C16FFE">
        <w:rPr>
          <w:rFonts w:cs="Arial"/>
          <w:noProof/>
        </w:rPr>
        <w:t>year-to-date</w:t>
      </w:r>
      <w:r w:rsidRPr="009720D5">
        <w:rPr>
          <w:rFonts w:cs="Arial"/>
          <w:noProof/>
        </w:rPr>
        <w:t xml:space="preserve"> was 99.0%.</w:t>
      </w:r>
    </w:p>
    <w:p w14:paraId="605C18BC" w14:textId="6BEC5F0D" w:rsidR="00720C66" w:rsidRPr="009720D5" w:rsidRDefault="00720C66" w:rsidP="00720C66">
      <w:pPr>
        <w:rPr>
          <w:rFonts w:cs="Arial"/>
        </w:rPr>
      </w:pPr>
      <w:bookmarkStart w:id="57" w:name="_Hlk213327116"/>
      <w:r w:rsidRPr="009720D5">
        <w:rPr>
          <w:rFonts w:cs="Arial"/>
        </w:rPr>
        <w:t>1</w:t>
      </w:r>
      <w:r>
        <w:rPr>
          <w:rFonts w:cs="Arial"/>
        </w:rPr>
        <w:t>92</w:t>
      </w:r>
      <w:r w:rsidRPr="009720D5">
        <w:rPr>
          <w:rFonts w:cs="Arial"/>
        </w:rPr>
        <w:t xml:space="preserve"> (1.0%) records were deemed as not recordable under the code of practice or recorded in error and deleted from the database</w:t>
      </w:r>
      <w:bookmarkEnd w:id="57"/>
      <w:r w:rsidRPr="009720D5">
        <w:rPr>
          <w:rFonts w:cs="Arial"/>
        </w:rPr>
        <w:t>. The typical reasons for deletion include where a person is searched after being arrested, as a result of a duplicate record or where no physical search of a person has actually taken place.</w:t>
      </w:r>
    </w:p>
    <w:p w14:paraId="1FFD408D" w14:textId="77777777" w:rsidR="00511091" w:rsidRDefault="00720C66" w:rsidP="00511091">
      <w:pPr>
        <w:rPr>
          <w:rFonts w:cs="Arial"/>
        </w:rPr>
      </w:pPr>
      <w:r w:rsidRPr="009720D5">
        <w:rPr>
          <w:rFonts w:cs="Arial"/>
        </w:rPr>
        <w:t>It should be noted that the total number of records audited for compliance will be lower than the total number of searches raised during the period due to the timescales required to fully review all records.</w:t>
      </w:r>
    </w:p>
    <w:p w14:paraId="07BFD00A" w14:textId="77777777" w:rsidR="00886504" w:rsidRDefault="00886504" w:rsidP="00974DED">
      <w:pPr>
        <w:pStyle w:val="Heading4"/>
      </w:pPr>
      <w:r w:rsidRPr="007B08FF">
        <w:lastRenderedPageBreak/>
        <w:t>Road Traffic Offences</w:t>
      </w:r>
    </w:p>
    <w:p w14:paraId="63CFA95B" w14:textId="35D7A605" w:rsidR="005A2A55" w:rsidRDefault="005A2A55" w:rsidP="00974DED">
      <w:pPr>
        <w:pStyle w:val="KPIPullOutSC"/>
      </w:pPr>
      <w:r w:rsidRPr="0024006B">
        <w:rPr>
          <w:noProof/>
        </w:rPr>
        <w:drawing>
          <wp:inline distT="0" distB="0" distL="0" distR="0" wp14:anchorId="2D08E14A" wp14:editId="184FB4AD">
            <wp:extent cx="6188710" cy="1854200"/>
            <wp:effectExtent l="0" t="0" r="2540" b="0"/>
            <wp:docPr id="1935087845" name="Picture 1" descr="Road Traffic Offences&#10;The first row of this table shows 1,894 positive drug wipes by road traffic YTD compared to 1,496 PYTD (up 26.6% on PYTD); and 3,727 positive drug wipes by road traffic in the rolling 12 months period compared to 3,012 in the previous rolling 12 months (up 23.7% on previous period).&#10;The second row shows 65,878 Group 8 Road Traffic Offences YTD compared to 55,291 PYTD (up 19.1% on PYTD); and 123,295 Group 8 Road Traffic Offences in the rolling 12 months period compared to 109,820 in the previous rolling 12 months (up 12.3% on previous period).&#10;The third row shows the detection rate for Group 8 road traffic offences was 87.3% YTD compared to 87.3% PYTD (no change from PYTD); and the detection rate for Group 8 road traffic offences was 87.7% in the rolling 12 months period compared to 88.0% in the previous rolling 12 months (down 0.3% points on previous period.&#10;The fourth row shows 47,381 safety camera unit detections YTD compared to 44,289 PYTD (up 7.0% on PYTD); and 84,846 safety camera unit detections in the rolling 12 months period compared to 78,719 in the previous rolling 12 months (up 7.8%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87845" name="Picture 1" descr="Road Traffic Offences&#10;The first row of this table shows 1,894 positive drug wipes by road traffic YTD compared to 1,496 PYTD (up 26.6% on PYTD); and 3,727 positive drug wipes by road traffic in the rolling 12 months period compared to 3,012 in the previous rolling 12 months (up 23.7% on previous period).&#10;The second row shows 65,878 Group 8 Road Traffic Offences YTD compared to 55,291 PYTD (up 19.1% on PYTD); and 123,295 Group 8 Road Traffic Offences in the rolling 12 months period compared to 109,820 in the previous rolling 12 months (up 12.3% on previous period).&#10;The third row shows the detection rate for Group 8 road traffic offences was 87.3% YTD compared to 87.3% PYTD (no change from PYTD); and the detection rate for Group 8 road traffic offences was 87.7% in the rolling 12 months period compared to 88.0% in the previous rolling 12 months (down 0.3% points on previous period.&#10;The fourth row shows 47,381 safety camera unit detections YTD compared to 44,289 PYTD (up 7.0% on PYTD); and 84,846 safety camera unit detections in the rolling 12 months period compared to 78,719 in the previous rolling 12 months (up 7.8% on previous period).&#10;"/>
                    <pic:cNvPicPr/>
                  </pic:nvPicPr>
                  <pic:blipFill>
                    <a:blip r:embed="rId42"/>
                    <a:stretch>
                      <a:fillRect/>
                    </a:stretch>
                  </pic:blipFill>
                  <pic:spPr>
                    <a:xfrm>
                      <a:off x="0" y="0"/>
                      <a:ext cx="6188710" cy="1854200"/>
                    </a:xfrm>
                    <a:prstGeom prst="rect">
                      <a:avLst/>
                    </a:prstGeom>
                  </pic:spPr>
                </pic:pic>
              </a:graphicData>
            </a:graphic>
          </wp:inline>
        </w:drawing>
      </w:r>
    </w:p>
    <w:p w14:paraId="5D6F577E" w14:textId="6C7D4BA3" w:rsidR="007B08FF" w:rsidRDefault="00F017BD" w:rsidP="00974DED">
      <w:pPr>
        <w:pStyle w:val="KPIPullOutSC"/>
      </w:pPr>
      <w:r>
        <w:t>Positive drug wipes results continue to rise</w:t>
      </w:r>
    </w:p>
    <w:p w14:paraId="5E2E72A1" w14:textId="7CECE250" w:rsidR="004E0358" w:rsidRDefault="00F017BD" w:rsidP="00886504">
      <w:pPr>
        <w:spacing w:before="0" w:after="160" w:line="259" w:lineRule="auto"/>
      </w:pPr>
      <w:bookmarkStart w:id="58" w:name="_Hlk209602288"/>
      <w:r>
        <w:t xml:space="preserve">Positive drug wipes have increased by 398 (26.6%) in the current period compared to the previous year. This increase is similarly reflected in the </w:t>
      </w:r>
      <w:r w:rsidR="00B47497">
        <w:t xml:space="preserve">rolling </w:t>
      </w:r>
      <w:r>
        <w:t>12 month figures, with 715 more than the preceding year.</w:t>
      </w:r>
    </w:p>
    <w:bookmarkEnd w:id="58"/>
    <w:p w14:paraId="58296C78" w14:textId="7A207B01" w:rsidR="00F017BD" w:rsidRDefault="00F017BD" w:rsidP="00886504">
      <w:pPr>
        <w:spacing w:before="0" w:after="160" w:line="259" w:lineRule="auto"/>
      </w:pPr>
      <w:r>
        <w:t>Please note that not all positive drug wipes equate to a positive lab result or crime having occurred. A positive drug wipe provides an initial indication and grounds for a blood specimen being granted at a police station, which could prove negative at the lab.</w:t>
      </w:r>
    </w:p>
    <w:p w14:paraId="03A986C6" w14:textId="2C6A2D95" w:rsidR="00F017BD" w:rsidRDefault="00F017BD" w:rsidP="00886504">
      <w:pPr>
        <w:spacing w:before="0" w:after="160" w:line="259" w:lineRule="auto"/>
      </w:pPr>
      <w:bookmarkStart w:id="59" w:name="_Hlk213327941"/>
      <w:r>
        <w:t>The increase in the number of positive drug wipes has been due to more drug wipe testing kits being utilised as well as proactive work through our regular campaign work on Scotland’s roads alongside partners</w:t>
      </w:r>
      <w:bookmarkEnd w:id="59"/>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E0358" w:rsidRPr="0003495F" w14:paraId="6BBF5791" w14:textId="77777777" w:rsidTr="008A4F07">
        <w:trPr>
          <w:trHeight w:val="680"/>
          <w:tblHeader/>
        </w:trPr>
        <w:tc>
          <w:tcPr>
            <w:tcW w:w="9862" w:type="dxa"/>
            <w:shd w:val="clear" w:color="auto" w:fill="196B24"/>
            <w:vAlign w:val="center"/>
            <w:hideMark/>
          </w:tcPr>
          <w:p w14:paraId="3344A6CA" w14:textId="2DA33D40" w:rsidR="004E0358" w:rsidRPr="00366718" w:rsidRDefault="004E0358" w:rsidP="008A4F07">
            <w:pPr>
              <w:pStyle w:val="CaseHeaderLeft"/>
              <w:rPr>
                <w:color w:val="FFFFFF" w:themeColor="background1"/>
              </w:rPr>
            </w:pPr>
            <w:bookmarkStart w:id="60" w:name="PP1OpSpotlight"/>
            <w:bookmarkEnd w:id="60"/>
            <w:r w:rsidRPr="00366718">
              <w:rPr>
                <w:color w:val="FFFFFF" w:themeColor="background1"/>
              </w:rPr>
              <w:t xml:space="preserve">Proactive/Preventative Policing – </w:t>
            </w:r>
            <w:r w:rsidR="00C55820">
              <w:rPr>
                <w:color w:val="FFFFFF" w:themeColor="background1"/>
              </w:rPr>
              <w:t>Operation Spotlight</w:t>
            </w:r>
          </w:p>
        </w:tc>
      </w:tr>
      <w:tr w:rsidR="004E0358" w:rsidRPr="0003495F" w14:paraId="5FCDD94D" w14:textId="77777777" w:rsidTr="008A4F07">
        <w:trPr>
          <w:trHeight w:val="680"/>
        </w:trPr>
        <w:tc>
          <w:tcPr>
            <w:tcW w:w="9862" w:type="dxa"/>
            <w:shd w:val="clear" w:color="auto" w:fill="FFF2CC" w:themeFill="accent4" w:themeFillTint="33"/>
            <w:vAlign w:val="center"/>
            <w:hideMark/>
          </w:tcPr>
          <w:p w14:paraId="4BF51906" w14:textId="77777777" w:rsidR="004E0358" w:rsidRDefault="00C55820" w:rsidP="00AA0AFD">
            <w:pPr>
              <w:pStyle w:val="CaseBodyLeft"/>
              <w:rPr>
                <w:color w:val="000000" w:themeColor="text1"/>
              </w:rPr>
            </w:pPr>
            <w:bookmarkStart w:id="61" w:name="_Hlk213328004"/>
            <w:r>
              <w:rPr>
                <w:color w:val="000000" w:themeColor="text1"/>
              </w:rPr>
              <w:t xml:space="preserve">Operation Spotlight is a National Police Chiefs’ Council (NPCC) led UK-wide initiative which ran between 01 to 31 July. This campaign also incorporated our Summer Drink Drug Drive campaign and intended to educate and protect drivers against the risk taking </w:t>
            </w:r>
            <w:bookmarkEnd w:id="61"/>
            <w:r>
              <w:rPr>
                <w:color w:val="000000" w:themeColor="text1"/>
              </w:rPr>
              <w:t>deriving behaviours of drink and drug driving, speeding, using a handheld mobile phone, careless driving and not wearing a seatbelt. Each of these behaviours increase the likelihood of a collision and often its severity/survivability. This was the first occasion Police Scotland has participated throughout the entire duration of this NPCC initiative.</w:t>
            </w:r>
          </w:p>
          <w:p w14:paraId="268F3AC2" w14:textId="7C1AA259" w:rsidR="004E0358" w:rsidRPr="00D87D1B" w:rsidRDefault="00C55820" w:rsidP="00AA0AFD">
            <w:pPr>
              <w:pStyle w:val="CaseBodyLeft"/>
              <w:rPr>
                <w:color w:val="000000" w:themeColor="text1"/>
              </w:rPr>
            </w:pPr>
            <w:bookmarkStart w:id="62" w:name="_Hlk213328033"/>
            <w:r>
              <w:rPr>
                <w:color w:val="000000" w:themeColor="text1"/>
              </w:rPr>
              <w:t>Operation Spotlight saw Scottish officers detecting a total of 3,609 Fatal 5 offences, with Safety Camera Unit colleagues detecting an additional 8,864 speeding offences</w:t>
            </w:r>
            <w:bookmarkEnd w:id="62"/>
            <w:r>
              <w:rPr>
                <w:color w:val="000000" w:themeColor="text1"/>
              </w:rPr>
              <w:t xml:space="preserve">. </w:t>
            </w:r>
            <w:bookmarkStart w:id="63" w:name="_Hlk213328060"/>
            <w:r>
              <w:rPr>
                <w:color w:val="000000" w:themeColor="text1"/>
              </w:rPr>
              <w:t>The Summer Drink and Drug driving campaign, running over the first fortnight of Operation Spotlight, provided a strong focus on two Fatal 5 behaviours, with 421 drink and drug driving offences recorded compared to 357 in the previous year’s campaign, an increase of 64</w:t>
            </w:r>
            <w:bookmarkEnd w:id="63"/>
            <w:r>
              <w:rPr>
                <w:color w:val="000000" w:themeColor="text1"/>
              </w:rPr>
              <w:t>.</w:t>
            </w:r>
          </w:p>
        </w:tc>
      </w:tr>
    </w:tbl>
    <w:p w14:paraId="48973850" w14:textId="77777777" w:rsidR="00B60B60" w:rsidRDefault="00B60B60">
      <w:pPr>
        <w:spacing w:before="0" w:after="160" w:line="259" w:lineRule="auto"/>
        <w:rPr>
          <w:rFonts w:cs="Arial"/>
          <w:b/>
          <w:color w:val="196B24"/>
          <w:szCs w:val="22"/>
        </w:rPr>
      </w:pPr>
      <w:r>
        <w:br w:type="page"/>
      </w:r>
    </w:p>
    <w:p w14:paraId="27488858" w14:textId="5BE057DA" w:rsidR="007B08FF" w:rsidRDefault="00F017BD" w:rsidP="00974DED">
      <w:pPr>
        <w:pStyle w:val="KPIPullOutSC"/>
      </w:pPr>
      <w:r>
        <w:lastRenderedPageBreak/>
        <w:t>Group 8 offences increase by 19.1% on PYTD</w:t>
      </w:r>
    </w:p>
    <w:p w14:paraId="5F61FC3D" w14:textId="740C77B1" w:rsidR="005D47B5" w:rsidRDefault="00F017BD">
      <w:pPr>
        <w:spacing w:before="0" w:after="160" w:line="259" w:lineRule="auto"/>
      </w:pPr>
      <w:r>
        <w:t xml:space="preserve">Group 8 offences have seen an increase of 10,587 (19.1%) compared to the same period last year. Rolling 12 month figures show an increase of </w:t>
      </w:r>
      <w:r w:rsidR="001507B8">
        <w:t>13,475 (12.3%) compared to the same period in the year before.</w:t>
      </w:r>
    </w:p>
    <w:p w14:paraId="69CB4778" w14:textId="32AE3117" w:rsidR="001507B8" w:rsidRDefault="001507B8">
      <w:pPr>
        <w:spacing w:before="0" w:after="160" w:line="259" w:lineRule="auto"/>
      </w:pPr>
      <w:bookmarkStart w:id="64" w:name="_Hlk213328189"/>
      <w:r>
        <w:t xml:space="preserve">Large increases have been noted for vehicle defect offences (1,978 more, 52.5%), speeding offences (1,981 more, 30.9%) and careless/dangerous driving offences (1,322 more, 20.5%). </w:t>
      </w:r>
      <w:bookmarkEnd w:id="64"/>
      <w:r>
        <w:t>Nearly all Group 8 offences have recorded increases in the current YTD compared to last year. This increase can be partly attributed to greater proactivity in policing divisions and extending the period over which Police Scotland’s road safety campaigns have been conducted.</w:t>
      </w:r>
    </w:p>
    <w:p w14:paraId="55CFD257" w14:textId="070ED730" w:rsidR="003008E5" w:rsidRDefault="003008E5">
      <w:pPr>
        <w:spacing w:before="0" w:after="160" w:line="259" w:lineRule="auto"/>
      </w:pPr>
      <w:r>
        <w:br w:type="page"/>
      </w:r>
    </w:p>
    <w:tbl>
      <w:tblPr>
        <w:tblStyle w:val="TableGrid1"/>
        <w:tblW w:w="9865" w:type="dxa"/>
        <w:shd w:val="clear" w:color="auto" w:fill="29AAD1"/>
        <w:tblLook w:val="04A0" w:firstRow="1" w:lastRow="0" w:firstColumn="1" w:lastColumn="0" w:noHBand="0" w:noVBand="1"/>
      </w:tblPr>
      <w:tblGrid>
        <w:gridCol w:w="9865"/>
      </w:tblGrid>
      <w:tr w:rsidR="00886504" w:rsidRPr="007B0D51" w14:paraId="69DA1270" w14:textId="77777777" w:rsidTr="00886504">
        <w:trPr>
          <w:tblHeader/>
        </w:trPr>
        <w:tc>
          <w:tcPr>
            <w:tcW w:w="9865" w:type="dxa"/>
            <w:shd w:val="clear" w:color="auto" w:fill="1F3864" w:themeFill="accent5" w:themeFillShade="80"/>
          </w:tcPr>
          <w:p w14:paraId="5A3134A2" w14:textId="3A3ABE05" w:rsidR="00886504" w:rsidRDefault="00886504" w:rsidP="0034327A">
            <w:pPr>
              <w:pStyle w:val="Heading3"/>
              <w:rPr>
                <w:rFonts w:ascii="Arial" w:hAnsi="Arial" w:cs="Arial"/>
                <w:color w:val="FFFFFF" w:themeColor="background1"/>
              </w:rPr>
            </w:pPr>
            <w:bookmarkStart w:id="65" w:name="_Toc215149609"/>
            <w:r w:rsidRPr="00974DED">
              <w:rPr>
                <w:rFonts w:ascii="Arial" w:hAnsi="Arial" w:cs="Arial"/>
                <w:color w:val="FFFFFF" w:themeColor="background1"/>
              </w:rPr>
              <w:lastRenderedPageBreak/>
              <w:t>Vision 2030: Less Crime</w:t>
            </w:r>
            <w:bookmarkEnd w:id="65"/>
          </w:p>
          <w:p w14:paraId="2CBD00F2" w14:textId="322FBC86" w:rsidR="00886504" w:rsidRPr="00974DED" w:rsidRDefault="00974DED" w:rsidP="00974DED">
            <w:pPr>
              <w:rPr>
                <w:rFonts w:ascii="Arial" w:hAnsi="Arial" w:cs="Arial"/>
                <w:sz w:val="24"/>
                <w:szCs w:val="24"/>
              </w:rPr>
            </w:pPr>
            <w:r>
              <w:rPr>
                <w:rFonts w:ascii="Arial" w:hAnsi="Arial" w:cs="Arial"/>
                <w:sz w:val="24"/>
                <w:szCs w:val="24"/>
              </w:rPr>
              <w:t>We work with partner organisations to prevent harm and reduce demand</w:t>
            </w:r>
          </w:p>
        </w:tc>
      </w:tr>
    </w:tbl>
    <w:p w14:paraId="6EBE49E6" w14:textId="630FB85D" w:rsidR="00886504" w:rsidRPr="001A2508" w:rsidRDefault="00886504" w:rsidP="008409B3">
      <w:pPr>
        <w:pStyle w:val="KPIHeading3LC"/>
      </w:pPr>
      <w:bookmarkStart w:id="66" w:name="_Hlk205889255"/>
      <w:r w:rsidRPr="001A2508">
        <w:t xml:space="preserve">KPI: </w:t>
      </w:r>
      <w:r w:rsidR="008672ED">
        <w:t>Number of crimes/detection rate (by crime group i.e. Non-sexual crimes of violence, Acquisitive crime, Crimes against Society etc.)</w:t>
      </w:r>
    </w:p>
    <w:bookmarkEnd w:id="66"/>
    <w:p w14:paraId="2C40C129" w14:textId="77777777" w:rsidR="00400A47" w:rsidRDefault="00400A47" w:rsidP="00974DED">
      <w:pPr>
        <w:pStyle w:val="Heading4"/>
      </w:pPr>
      <w:r>
        <w:t>Detection Rates</w:t>
      </w:r>
    </w:p>
    <w:p w14:paraId="2DE59780" w14:textId="2C9401A2" w:rsidR="00400A47" w:rsidRDefault="00400A47" w:rsidP="00400A47">
      <w:r>
        <w:t>The crime tables in this section include the detection rate and the percentage changes from previous year to date and in the rolling 12 month period.</w:t>
      </w:r>
    </w:p>
    <w:p w14:paraId="4C1C9F4E" w14:textId="622B24F2" w:rsidR="00400A47" w:rsidRDefault="00400A47" w:rsidP="00400A47">
      <w:r>
        <w:t>Processes around detection rates are multi-faceted and complex. They can be split into three broad headings: Demand; Organisational and Audit. The following could be considered some of the influencing factors both in terms of time to detect, and capability to detect: increases in historical crimes; training; cyber</w:t>
      </w:r>
      <w:r w:rsidR="00E22EA8">
        <w:t>-</w:t>
      </w:r>
      <w:r>
        <w:t>related crime; resourcing challenges; and evidential demand increase</w:t>
      </w:r>
      <w:r w:rsidR="002D009E">
        <w:t>.</w:t>
      </w:r>
    </w:p>
    <w:p w14:paraId="1525F74A" w14:textId="4B3F07D7" w:rsidR="00886504" w:rsidRDefault="008672ED" w:rsidP="00974DED">
      <w:pPr>
        <w:pStyle w:val="Heading4"/>
      </w:pPr>
      <w:r>
        <w:t>Group 1-5 Crimes</w:t>
      </w:r>
    </w:p>
    <w:p w14:paraId="36FAFE65" w14:textId="3EE52ECF" w:rsidR="007B08FF" w:rsidRDefault="00B65F1B" w:rsidP="00974DED">
      <w:pPr>
        <w:pStyle w:val="KPIPullOutLC"/>
      </w:pPr>
      <w:r>
        <w:t>4.2% increase in Overall Violent Crime</w:t>
      </w:r>
    </w:p>
    <w:p w14:paraId="1C4672AE" w14:textId="53AC4223" w:rsidR="00B65F1B" w:rsidRDefault="00511091" w:rsidP="00CB5BF3">
      <w:pPr>
        <w:rPr>
          <w:noProof/>
        </w:rPr>
      </w:pPr>
      <w:r w:rsidRPr="00511091">
        <w:rPr>
          <w:noProof/>
        </w:rPr>
        <w:drawing>
          <wp:inline distT="0" distB="0" distL="0" distR="0" wp14:anchorId="6F45EB98" wp14:editId="6214AA30">
            <wp:extent cx="6188710" cy="1151890"/>
            <wp:effectExtent l="0" t="0" r="2540" b="0"/>
            <wp:docPr id="511687091" name="Picture 1" descr="Overall Violent Crimes&#10;The first row of this table shows 35,183 overall violent crimes YTD compared to 33,753 PYTD (up 4.2% on PYTD); and 65,892 overall violent crimes in the rolling 12 months period compared to 64,272 in the previous rolling 12 months (up 2.5% on previous period).&#10;The second row shows the detection rate for overall violent crimes was 68.7% YTD compared to 70.0% PYTD (down 1.4% points on PYTD); and the detection rate for overall violent crimes was 68.0% in the rolling 12 months period compared to 69.5% in the previous rolling 12 months (down 1.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87091" name="Picture 1" descr="Overall Violent Crimes&#10;The first row of this table shows 35,183 overall violent crimes YTD compared to 33,753 PYTD (up 4.2% on PYTD); and 65,892 overall violent crimes in the rolling 12 months period compared to 64,272 in the previous rolling 12 months (up 2.5% on previous period).&#10;The second row shows the detection rate for overall violent crimes was 68.7% YTD compared to 70.0% PYTD (down 1.4% points on PYTD); and the detection rate for overall violent crimes was 68.0% in the rolling 12 months period compared to 69.5% in the previous rolling 12 months (down 1.5% points on previous period).&#10;"/>
                    <pic:cNvPicPr/>
                  </pic:nvPicPr>
                  <pic:blipFill>
                    <a:blip r:embed="rId43"/>
                    <a:stretch>
                      <a:fillRect/>
                    </a:stretch>
                  </pic:blipFill>
                  <pic:spPr>
                    <a:xfrm>
                      <a:off x="0" y="0"/>
                      <a:ext cx="6188710" cy="1151890"/>
                    </a:xfrm>
                    <a:prstGeom prst="rect">
                      <a:avLst/>
                    </a:prstGeom>
                  </pic:spPr>
                </pic:pic>
              </a:graphicData>
            </a:graphic>
          </wp:inline>
        </w:drawing>
      </w:r>
    </w:p>
    <w:p w14:paraId="440AFBE1" w14:textId="73093A72" w:rsidR="00EB5050" w:rsidRDefault="00D57B40" w:rsidP="00EB5050">
      <w:pPr>
        <w:rPr>
          <w:rFonts w:cs="Arial"/>
        </w:rPr>
      </w:pPr>
      <w:r>
        <w:rPr>
          <w:rFonts w:cs="Arial"/>
        </w:rPr>
        <w:t xml:space="preserve">Overall violent crime </w:t>
      </w:r>
      <w:r w:rsidR="001C19F8">
        <w:rPr>
          <w:rFonts w:cs="Arial"/>
        </w:rPr>
        <w:t xml:space="preserve">has increased, </w:t>
      </w:r>
      <w:bookmarkStart w:id="67" w:name="_Hlk213328424"/>
      <w:r w:rsidR="001C19F8">
        <w:rPr>
          <w:rFonts w:cs="Arial"/>
        </w:rPr>
        <w:t>predominantly driven by higher numbers of common assaults being recorded, which account for 92.5% of all violent crime</w:t>
      </w:r>
      <w:bookmarkEnd w:id="67"/>
      <w:r w:rsidR="001C19F8">
        <w:rPr>
          <w:rFonts w:cs="Arial"/>
        </w:rPr>
        <w:t xml:space="preserve">. Attempted murders have also increased. </w:t>
      </w:r>
      <w:bookmarkStart w:id="68" w:name="_Hlk213328445"/>
      <w:r w:rsidR="001C19F8">
        <w:rPr>
          <w:rFonts w:cs="Arial"/>
        </w:rPr>
        <w:t xml:space="preserve">Homicides have increased compared to the same period last year but are below five-year-mean and last year’s </w:t>
      </w:r>
      <w:r w:rsidR="00B47497">
        <w:rPr>
          <w:rFonts w:cs="Arial"/>
        </w:rPr>
        <w:t xml:space="preserve">rolling </w:t>
      </w:r>
      <w:r w:rsidR="001C19F8">
        <w:rPr>
          <w:rFonts w:cs="Arial"/>
        </w:rPr>
        <w:t>12 month figure</w:t>
      </w:r>
      <w:bookmarkEnd w:id="68"/>
      <w:r w:rsidR="001C19F8">
        <w:rPr>
          <w:rFonts w:cs="Arial"/>
        </w:rPr>
        <w:t>.</w:t>
      </w:r>
    </w:p>
    <w:p w14:paraId="4BB8C458" w14:textId="25268A47" w:rsidR="001C19F8" w:rsidRDefault="001C19F8" w:rsidP="00EB5050">
      <w:pPr>
        <w:rPr>
          <w:rFonts w:cs="Arial"/>
        </w:rPr>
      </w:pPr>
      <w:bookmarkStart w:id="69" w:name="_Hlk213328467"/>
      <w:r>
        <w:rPr>
          <w:rFonts w:cs="Arial"/>
        </w:rPr>
        <w:t>There has been a decrease in the detection rate for violent crime, which sits at 68.7% for the year-to-date period w</w:t>
      </w:r>
      <w:r w:rsidR="007D7499">
        <w:rPr>
          <w:rFonts w:cs="Arial"/>
        </w:rPr>
        <w:t>it</w:t>
      </w:r>
      <w:r>
        <w:rPr>
          <w:rFonts w:cs="Arial"/>
        </w:rPr>
        <w:t>h a decrease in detection rates in all violent crime types. That being said, the overall number of violent crimes detected (24,148) was the highest number for this period in recent years and</w:t>
      </w:r>
      <w:r w:rsidR="00EB5C27">
        <w:rPr>
          <w:rFonts w:cs="Arial"/>
        </w:rPr>
        <w:t xml:space="preserve"> </w:t>
      </w:r>
      <w:r>
        <w:rPr>
          <w:rFonts w:cs="Arial"/>
        </w:rPr>
        <w:t>has increased by 2.2% from last year</w:t>
      </w:r>
      <w:r w:rsidR="00EB5C27">
        <w:rPr>
          <w:rFonts w:cs="Arial"/>
        </w:rPr>
        <w:t>, however the larger increase in crimes being recorded has resulted in the overall detection rate falling.</w:t>
      </w:r>
      <w:bookmarkEnd w:id="69"/>
    </w:p>
    <w:p w14:paraId="1A3CEA9E" w14:textId="6A50E8B6" w:rsidR="00EB5050" w:rsidRDefault="0059453D" w:rsidP="00974DED">
      <w:pPr>
        <w:pStyle w:val="KPIPullOutLC"/>
      </w:pPr>
      <w:bookmarkStart w:id="70" w:name="_Hlk206068513"/>
      <w:r>
        <w:t>Three more homicides YTD compared to last year</w:t>
      </w:r>
    </w:p>
    <w:p w14:paraId="7EFB012E" w14:textId="12722CDB" w:rsidR="00B65F1B" w:rsidRPr="00CB5BF3" w:rsidRDefault="00511091" w:rsidP="00CB5BF3">
      <w:r w:rsidRPr="00511091">
        <w:rPr>
          <w:noProof/>
        </w:rPr>
        <w:drawing>
          <wp:inline distT="0" distB="0" distL="0" distR="0" wp14:anchorId="16A8BF19" wp14:editId="00646AC6">
            <wp:extent cx="6188710" cy="1159510"/>
            <wp:effectExtent l="0" t="0" r="2540" b="2540"/>
            <wp:docPr id="1643904666" name="Picture 1" descr="Homicide Crimes&#10;The first row of this table shows 26 homicide crimes YTD compared to 23 PYTD (up 13.0% on PYTD); and 47 homicide crimes in the rolling 12 months period compared to 50 in the previous rolling 12 months (down 6.0% on previous period).&#10;The second row shows the detection rate for homicide crimes was 107.7% YTD compared to 108.7% PYTD (down 1.0% points on PYTD); and the detection rate for homicide crimes was 102.2% in the rolling 12 months period compared to 110.0% in the previous rolling 12 months (down 7.8%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04666" name="Picture 1" descr="Homicide Crimes&#10;The first row of this table shows 26 homicide crimes YTD compared to 23 PYTD (up 13.0% on PYTD); and 47 homicide crimes in the rolling 12 months period compared to 50 in the previous rolling 12 months (down 6.0% on previous period).&#10;The second row shows the detection rate for homicide crimes was 107.7% YTD compared to 108.7% PYTD (down 1.0% points on PYTD); and the detection rate for homicide crimes was 102.2% in the rolling 12 months period compared to 110.0% in the previous rolling 12 months (down 7.8% points on previous period).&#10;"/>
                    <pic:cNvPicPr/>
                  </pic:nvPicPr>
                  <pic:blipFill>
                    <a:blip r:embed="rId44"/>
                    <a:stretch>
                      <a:fillRect/>
                    </a:stretch>
                  </pic:blipFill>
                  <pic:spPr>
                    <a:xfrm>
                      <a:off x="0" y="0"/>
                      <a:ext cx="6188710" cy="1159510"/>
                    </a:xfrm>
                    <a:prstGeom prst="rect">
                      <a:avLst/>
                    </a:prstGeom>
                  </pic:spPr>
                </pic:pic>
              </a:graphicData>
            </a:graphic>
          </wp:inline>
        </w:drawing>
      </w:r>
    </w:p>
    <w:p w14:paraId="37534F20" w14:textId="7729917B" w:rsidR="00965BFB" w:rsidRPr="007F4CFD" w:rsidRDefault="00B65F1B" w:rsidP="00EB5050">
      <w:pPr>
        <w:rPr>
          <w:rFonts w:cs="Arial"/>
        </w:rPr>
      </w:pPr>
      <w:bookmarkStart w:id="71" w:name="_Hlk213328516"/>
      <w:bookmarkStart w:id="72" w:name="_Hlk206068609"/>
      <w:bookmarkEnd w:id="70"/>
      <w:r w:rsidRPr="007F4CFD">
        <w:rPr>
          <w:rFonts w:cs="Arial"/>
        </w:rPr>
        <w:lastRenderedPageBreak/>
        <w:t>Seventeen murders were recorded during the second quarter of 2025/26, bringing the year-to-date homicide total up to 26. This now represents an increase from last year after having seen a reduction during the first quarter</w:t>
      </w:r>
      <w:bookmarkEnd w:id="71"/>
      <w:r w:rsidRPr="007F4CFD">
        <w:rPr>
          <w:rFonts w:cs="Arial"/>
        </w:rPr>
        <w:t>.</w:t>
      </w:r>
    </w:p>
    <w:p w14:paraId="65C3FA50" w14:textId="774F314A" w:rsidR="007F4CFD" w:rsidRPr="00D37571" w:rsidRDefault="007F4CFD" w:rsidP="007F4CFD">
      <w:pPr>
        <w:rPr>
          <w:rFonts w:cs="Arial"/>
        </w:rPr>
      </w:pPr>
      <w:bookmarkStart w:id="73" w:name="_Hlk213328634"/>
      <w:r w:rsidRPr="00D37571">
        <w:rPr>
          <w:rFonts w:cs="Arial"/>
        </w:rPr>
        <w:t>The second quarter saw four domestic homicides recorded, whereas Q</w:t>
      </w:r>
      <w:r w:rsidR="00CB0007">
        <w:rPr>
          <w:rFonts w:cs="Arial"/>
        </w:rPr>
        <w:t xml:space="preserve">uarter </w:t>
      </w:r>
      <w:r w:rsidRPr="00D37571">
        <w:rPr>
          <w:rFonts w:cs="Arial"/>
        </w:rPr>
        <w:t xml:space="preserve">2 in 2024/25 had none. On average, nine domestic homicides occur each year in Scotland, and although this rate has been declining; it is likely set to rise in 2025/26. </w:t>
      </w:r>
      <w:bookmarkEnd w:id="73"/>
      <w:r w:rsidRPr="00D37571">
        <w:rPr>
          <w:rFonts w:cs="Arial"/>
        </w:rPr>
        <w:t>There was one child (under 18 years of age) homicide recorded during the period.</w:t>
      </w:r>
    </w:p>
    <w:p w14:paraId="6E995DEA" w14:textId="2EF9FD83" w:rsidR="007F4CFD" w:rsidRPr="00D37571" w:rsidRDefault="007F4CFD" w:rsidP="007F4CFD">
      <w:pPr>
        <w:rPr>
          <w:rFonts w:cs="Arial"/>
        </w:rPr>
      </w:pPr>
      <w:r w:rsidRPr="00D37571">
        <w:rPr>
          <w:rFonts w:cs="Arial"/>
        </w:rPr>
        <w:t>No serious organised crime related homicides have been recorded since 2023.</w:t>
      </w:r>
    </w:p>
    <w:p w14:paraId="6D3C5018" w14:textId="53F63FDA" w:rsidR="007F4CFD" w:rsidRDefault="007F4CFD" w:rsidP="007F4CFD">
      <w:pPr>
        <w:rPr>
          <w:rFonts w:cs="Arial"/>
        </w:rPr>
      </w:pPr>
      <w:bookmarkStart w:id="74" w:name="_Hlk213328669"/>
      <w:r w:rsidRPr="00D37571">
        <w:rPr>
          <w:rFonts w:cs="Arial"/>
        </w:rPr>
        <w:t>Seven homicides during the second quarter of 2025/26 were assessed as being alcohol related (five in the same period last year) and one homicide was identified as mental health related (</w:t>
      </w:r>
      <w:r w:rsidR="0093062B">
        <w:rPr>
          <w:rFonts w:cs="Arial"/>
        </w:rPr>
        <w:t>two</w:t>
      </w:r>
      <w:r w:rsidRPr="00D37571">
        <w:rPr>
          <w:rFonts w:cs="Arial"/>
        </w:rPr>
        <w:t xml:space="preserve"> recorded in Q</w:t>
      </w:r>
      <w:r w:rsidR="0093062B">
        <w:rPr>
          <w:rFonts w:cs="Arial"/>
        </w:rPr>
        <w:t xml:space="preserve">uarter </w:t>
      </w:r>
      <w:r w:rsidRPr="00D37571">
        <w:rPr>
          <w:rFonts w:cs="Arial"/>
        </w:rPr>
        <w:t>2 of 2024/25).</w:t>
      </w:r>
    </w:p>
    <w:bookmarkEnd w:id="74"/>
    <w:p w14:paraId="7E20604B" w14:textId="40FA664C" w:rsidR="00A3264E" w:rsidRPr="00D37571" w:rsidRDefault="00A3264E" w:rsidP="007F4CFD">
      <w:pPr>
        <w:rPr>
          <w:rFonts w:cs="Arial"/>
        </w:rPr>
      </w:pPr>
      <w:r>
        <w:rPr>
          <w:rFonts w:cs="Arial"/>
        </w:rPr>
        <w:t>Homicides in Scotland continue to occur predominantly indoors within private urban residential dwellings, and most, as continued to be the case during the most recent quarter, involved the use of a knife or sharp implement.</w:t>
      </w:r>
    </w:p>
    <w:p w14:paraId="213770C7" w14:textId="294070F0" w:rsidR="0059453D" w:rsidRDefault="0059453D" w:rsidP="00EB5050">
      <w:pPr>
        <w:rPr>
          <w:rFonts w:cs="Arial"/>
        </w:rPr>
      </w:pPr>
      <w:bookmarkStart w:id="75" w:name="_Hlk213328766"/>
      <w:r w:rsidRPr="007F4CFD">
        <w:rPr>
          <w:rFonts w:cs="Arial"/>
        </w:rPr>
        <w:t xml:space="preserve">The detection rate for homicides is currently above 100% - this is due to crimes that were recorded in the previous </w:t>
      </w:r>
      <w:r w:rsidR="0093062B">
        <w:rPr>
          <w:rFonts w:cs="Arial"/>
        </w:rPr>
        <w:t>reporting</w:t>
      </w:r>
      <w:r w:rsidRPr="007F4CFD">
        <w:rPr>
          <w:rFonts w:cs="Arial"/>
        </w:rPr>
        <w:t xml:space="preserve"> </w:t>
      </w:r>
      <w:r>
        <w:rPr>
          <w:rFonts w:cs="Arial"/>
        </w:rPr>
        <w:t xml:space="preserve">year being marked as detected during the current year. </w:t>
      </w:r>
      <w:bookmarkEnd w:id="75"/>
      <w:r>
        <w:rPr>
          <w:rFonts w:cs="Arial"/>
        </w:rPr>
        <w:t>This also occurred last year.</w:t>
      </w:r>
      <w:r w:rsidR="007F4CFD">
        <w:rPr>
          <w:rFonts w:cs="Arial"/>
        </w:rPr>
        <w:t xml:space="preserve"> </w:t>
      </w:r>
      <w:bookmarkStart w:id="76" w:name="_Hlk213328803"/>
      <w:r w:rsidR="007F4CFD">
        <w:rPr>
          <w:rFonts w:cs="Arial"/>
        </w:rPr>
        <w:t>All homicides recorded during the quarter have been detected</w:t>
      </w:r>
      <w:bookmarkEnd w:id="76"/>
      <w:r w:rsidR="007F4CFD">
        <w:rPr>
          <w:rFonts w:cs="Arial"/>
        </w:rPr>
        <w:t>.</w:t>
      </w:r>
    </w:p>
    <w:p w14:paraId="21993D42" w14:textId="59D11C0A" w:rsidR="004260C6" w:rsidRPr="009720D5" w:rsidRDefault="0059453D" w:rsidP="004260C6">
      <w:pPr>
        <w:pStyle w:val="KPIPullOutLC"/>
      </w:pPr>
      <w:r>
        <w:t>28.4% increase in attempted murders</w:t>
      </w:r>
    </w:p>
    <w:bookmarkEnd w:id="72"/>
    <w:p w14:paraId="50B6C42D" w14:textId="412F95DD" w:rsidR="00B65F1B" w:rsidRPr="009720D5" w:rsidRDefault="00511091" w:rsidP="00EB5050">
      <w:pPr>
        <w:rPr>
          <w:rFonts w:cs="Arial"/>
        </w:rPr>
      </w:pPr>
      <w:r w:rsidRPr="00511091">
        <w:rPr>
          <w:rFonts w:cs="Arial"/>
          <w:noProof/>
        </w:rPr>
        <w:drawing>
          <wp:inline distT="0" distB="0" distL="0" distR="0" wp14:anchorId="4771D356" wp14:editId="4EE4ED5B">
            <wp:extent cx="6188710" cy="1149985"/>
            <wp:effectExtent l="0" t="0" r="2540" b="0"/>
            <wp:docPr id="992597869" name="Picture 1" descr="Attempted Murder Crimes&#10;The first row of this table shows 172 attempted murder crimes YTD compared to 134 PYTD (up 28.4% on PYTD); and 291 attempted murder crimes in the rolling 12 months period compared to 251 in the previous rolling 12 months (up 15.9% on previous period).&#10;The second row shows the detection rate for attempted murder crimes was 88.4% YTD compared to 99.3% PYTD (down 10.9% points on PYTD); and the detection rate for attempted murder crimes was 89.3% in the rolling 12 months period compared to 100.4% in the previous rolling 12 months (down 11.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97869" name="Picture 1" descr="Attempted Murder Crimes&#10;The first row of this table shows 172 attempted murder crimes YTD compared to 134 PYTD (up 28.4% on PYTD); and 291 attempted murder crimes in the rolling 12 months period compared to 251 in the previous rolling 12 months (up 15.9% on previous period).&#10;The second row shows the detection rate for attempted murder crimes was 88.4% YTD compared to 99.3% PYTD (down 10.9% points on PYTD); and the detection rate for attempted murder crimes was 89.3% in the rolling 12 months period compared to 100.4% in the previous rolling 12 months (down 11.1% points on previous period).&#10;"/>
                    <pic:cNvPicPr/>
                  </pic:nvPicPr>
                  <pic:blipFill>
                    <a:blip r:embed="rId45"/>
                    <a:stretch>
                      <a:fillRect/>
                    </a:stretch>
                  </pic:blipFill>
                  <pic:spPr>
                    <a:xfrm>
                      <a:off x="0" y="0"/>
                      <a:ext cx="6188710" cy="1149985"/>
                    </a:xfrm>
                    <a:prstGeom prst="rect">
                      <a:avLst/>
                    </a:prstGeom>
                  </pic:spPr>
                </pic:pic>
              </a:graphicData>
            </a:graphic>
          </wp:inline>
        </w:drawing>
      </w:r>
    </w:p>
    <w:p w14:paraId="447F2E09" w14:textId="7DCB8AAD" w:rsidR="00EA7D32" w:rsidRDefault="0059453D" w:rsidP="00EB5050">
      <w:pPr>
        <w:rPr>
          <w:rFonts w:cs="Arial"/>
        </w:rPr>
      </w:pPr>
      <w:r>
        <w:rPr>
          <w:rFonts w:cs="Arial"/>
        </w:rPr>
        <w:t>There have been 172 attempted murders recorded during the period. As was the case during the first quarter, this is the highest number of such crimes in recent years.</w:t>
      </w:r>
      <w:r w:rsidR="002B2547">
        <w:rPr>
          <w:rFonts w:cs="Arial"/>
        </w:rPr>
        <w:t xml:space="preserve"> </w:t>
      </w:r>
      <w:bookmarkStart w:id="77" w:name="_Hlk213328931"/>
      <w:r w:rsidR="002B2547">
        <w:rPr>
          <w:rFonts w:cs="Arial"/>
        </w:rPr>
        <w:t>July 2025 saw 36 attempted murders recorded</w:t>
      </w:r>
      <w:r w:rsidR="0093062B">
        <w:rPr>
          <w:rFonts w:cs="Arial"/>
        </w:rPr>
        <w:t>,</w:t>
      </w:r>
      <w:r w:rsidR="002B2547">
        <w:rPr>
          <w:rFonts w:cs="Arial"/>
        </w:rPr>
        <w:t xml:space="preserve"> which is the highest number in any single month in recent years.</w:t>
      </w:r>
    </w:p>
    <w:bookmarkEnd w:id="77"/>
    <w:p w14:paraId="613C8C1B" w14:textId="6D8D3E79" w:rsidR="0059453D" w:rsidRDefault="0059453D" w:rsidP="00EB5050">
      <w:pPr>
        <w:rPr>
          <w:rFonts w:cs="Arial"/>
        </w:rPr>
      </w:pPr>
      <w:r>
        <w:rPr>
          <w:rFonts w:cs="Arial"/>
        </w:rPr>
        <w:t>As was reported on in</w:t>
      </w:r>
      <w:r w:rsidR="00533157">
        <w:rPr>
          <w:rFonts w:cs="Arial"/>
        </w:rPr>
        <w:t xml:space="preserve"> Quarter One’s </w:t>
      </w:r>
      <w:r>
        <w:rPr>
          <w:rFonts w:cs="Arial"/>
        </w:rPr>
        <w:t xml:space="preserve">report, </w:t>
      </w:r>
      <w:bookmarkStart w:id="78" w:name="_Hlk213328950"/>
      <w:r>
        <w:rPr>
          <w:rFonts w:cs="Arial"/>
        </w:rPr>
        <w:t>the use of vehicles in attempted murders remains high.</w:t>
      </w:r>
    </w:p>
    <w:p w14:paraId="5F695212" w14:textId="6B3B81A3" w:rsidR="00D05845" w:rsidRDefault="0059453D" w:rsidP="00EB5050">
      <w:pPr>
        <w:rPr>
          <w:rFonts w:cs="Arial"/>
        </w:rPr>
      </w:pPr>
      <w:bookmarkStart w:id="79" w:name="_Hlk213328986"/>
      <w:bookmarkEnd w:id="78"/>
      <w:r>
        <w:rPr>
          <w:rFonts w:cs="Arial"/>
        </w:rPr>
        <w:t xml:space="preserve">While Lanarkshire Division continues to see the highest number of attempted murders recorded (30), it no longer constitutes such a large proportion of the total number of crimes as it did during </w:t>
      </w:r>
      <w:r w:rsidR="0093062B">
        <w:rPr>
          <w:rFonts w:cs="Arial"/>
        </w:rPr>
        <w:t>Q</w:t>
      </w:r>
      <w:r>
        <w:rPr>
          <w:rFonts w:cs="Arial"/>
        </w:rPr>
        <w:t xml:space="preserve">uarter </w:t>
      </w:r>
      <w:r w:rsidR="0093062B">
        <w:rPr>
          <w:rFonts w:cs="Arial"/>
        </w:rPr>
        <w:t>1</w:t>
      </w:r>
      <w:r>
        <w:rPr>
          <w:rFonts w:cs="Arial"/>
        </w:rPr>
        <w:t xml:space="preserve"> (17.4%, previously 22.9%) with crimes distributed across Scotland.</w:t>
      </w:r>
      <w:r w:rsidR="007E4BD5">
        <w:rPr>
          <w:rFonts w:cs="Arial"/>
        </w:rPr>
        <w:t xml:space="preserve"> Tayside</w:t>
      </w:r>
      <w:r w:rsidR="00587DC4">
        <w:rPr>
          <w:rFonts w:cs="Arial"/>
        </w:rPr>
        <w:t xml:space="preserve"> has</w:t>
      </w:r>
      <w:r w:rsidR="007E4BD5">
        <w:rPr>
          <w:rFonts w:cs="Arial"/>
        </w:rPr>
        <w:t xml:space="preserve"> seen 20 attempted murders recorded which is eight more than last year and 11 more than </w:t>
      </w:r>
      <w:r w:rsidR="00602964">
        <w:rPr>
          <w:rFonts w:cs="Arial"/>
        </w:rPr>
        <w:t>its</w:t>
      </w:r>
      <w:r w:rsidR="007E4BD5">
        <w:rPr>
          <w:rFonts w:cs="Arial"/>
        </w:rPr>
        <w:t xml:space="preserve"> five-year-mean rate. </w:t>
      </w:r>
    </w:p>
    <w:p w14:paraId="793C91A4" w14:textId="13A2834F" w:rsidR="0059453D" w:rsidRDefault="007E4BD5" w:rsidP="00EB5050">
      <w:pPr>
        <w:rPr>
          <w:rFonts w:cs="Arial"/>
        </w:rPr>
      </w:pPr>
      <w:r>
        <w:rPr>
          <w:rFonts w:cs="Arial"/>
        </w:rPr>
        <w:t xml:space="preserve">In Dumfries &amp; Galloway there </w:t>
      </w:r>
      <w:r w:rsidR="00F30DB3">
        <w:rPr>
          <w:rFonts w:cs="Arial"/>
        </w:rPr>
        <w:t>have been</w:t>
      </w:r>
      <w:r>
        <w:rPr>
          <w:rFonts w:cs="Arial"/>
        </w:rPr>
        <w:t xml:space="preserve"> six attempted murders recorded which is higher than usual</w:t>
      </w:r>
      <w:r w:rsidR="00F30DB3">
        <w:rPr>
          <w:rFonts w:cs="Arial"/>
        </w:rPr>
        <w:t xml:space="preserve"> for that division.</w:t>
      </w:r>
      <w:r w:rsidR="00D05845">
        <w:rPr>
          <w:rFonts w:cs="Arial"/>
        </w:rPr>
        <w:t xml:space="preserve"> Four of these involved the use of a vehicle, of which one was against an on-duty police officer.</w:t>
      </w:r>
    </w:p>
    <w:p w14:paraId="72CC9293" w14:textId="567A9C8C" w:rsidR="003B4E06" w:rsidRDefault="007E4BD5" w:rsidP="00974DED">
      <w:pPr>
        <w:pStyle w:val="KPIPullOutLC"/>
      </w:pPr>
      <w:bookmarkStart w:id="80" w:name="_Hlk206068640"/>
      <w:bookmarkEnd w:id="79"/>
      <w:r>
        <w:lastRenderedPageBreak/>
        <w:t>12.4% decrease in serious assaults</w:t>
      </w:r>
    </w:p>
    <w:p w14:paraId="675DB853" w14:textId="599523FD" w:rsidR="00B65F1B" w:rsidRDefault="00511091" w:rsidP="00EB5050">
      <w:pPr>
        <w:rPr>
          <w:rFonts w:cs="Arial"/>
        </w:rPr>
      </w:pPr>
      <w:bookmarkStart w:id="81" w:name="_Hlk205889754"/>
      <w:r w:rsidRPr="00511091">
        <w:rPr>
          <w:rFonts w:cs="Arial"/>
          <w:noProof/>
        </w:rPr>
        <w:drawing>
          <wp:inline distT="0" distB="0" distL="0" distR="0" wp14:anchorId="6C8E2213" wp14:editId="54A2B39C">
            <wp:extent cx="6188710" cy="1169035"/>
            <wp:effectExtent l="0" t="0" r="2540" b="0"/>
            <wp:docPr id="793907335" name="Picture 1" descr="Serious Assault Crimes&#10;The first row of this table shows 1,387 serious assault crimes YTD compared to 1,584 PYTD (down 12.4% on PYTD); and 2,692 serious assault crimes in the rolling 12 months period compared to 3,003 in the previous rolling 12 months (down 10.4% on previous period).&#10;The second row shows the detection rate for serious assault crimes was 75.1% YTD compared to 76.7% PYTD (down 1.6% points on PYTD); and the detection rate for serious assault crimes was 77.6% in the rolling 12 months period compared to 77.7% in the previous rolling 12 months (down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7335" name="Picture 1" descr="Serious Assault Crimes&#10;The first row of this table shows 1,387 serious assault crimes YTD compared to 1,584 PYTD (down 12.4% on PYTD); and 2,692 serious assault crimes in the rolling 12 months period compared to 3,003 in the previous rolling 12 months (down 10.4% on previous period).&#10;The second row shows the detection rate for serious assault crimes was 75.1% YTD compared to 76.7% PYTD (down 1.6% points on PYTD); and the detection rate for serious assault crimes was 77.6% in the rolling 12 months period compared to 77.7% in the previous rolling 12 months (down 0.1% points on previous period).&#10;"/>
                    <pic:cNvPicPr/>
                  </pic:nvPicPr>
                  <pic:blipFill>
                    <a:blip r:embed="rId46"/>
                    <a:stretch>
                      <a:fillRect/>
                    </a:stretch>
                  </pic:blipFill>
                  <pic:spPr>
                    <a:xfrm>
                      <a:off x="0" y="0"/>
                      <a:ext cx="6188710" cy="1169035"/>
                    </a:xfrm>
                    <a:prstGeom prst="rect">
                      <a:avLst/>
                    </a:prstGeom>
                  </pic:spPr>
                </pic:pic>
              </a:graphicData>
            </a:graphic>
          </wp:inline>
        </w:drawing>
      </w:r>
    </w:p>
    <w:p w14:paraId="68F98798" w14:textId="061C3881" w:rsidR="00C01A4A" w:rsidRDefault="00EB5050" w:rsidP="00EB5050">
      <w:pPr>
        <w:rPr>
          <w:rFonts w:cs="Arial"/>
        </w:rPr>
      </w:pPr>
      <w:bookmarkStart w:id="82" w:name="_Hlk213329217"/>
      <w:r w:rsidRPr="009720D5">
        <w:rPr>
          <w:rFonts w:cs="Arial"/>
        </w:rPr>
        <w:t>Serious assault</w:t>
      </w:r>
      <w:r w:rsidR="007E4BD5">
        <w:rPr>
          <w:rFonts w:cs="Arial"/>
        </w:rPr>
        <w:t xml:space="preserve">s continue to be at their lowest level in recent years, with 1,387 crimes recorded </w:t>
      </w:r>
      <w:r w:rsidR="0093062B">
        <w:rPr>
          <w:rFonts w:cs="Arial"/>
        </w:rPr>
        <w:t>YTD (</w:t>
      </w:r>
      <w:r w:rsidR="007E4BD5">
        <w:rPr>
          <w:rFonts w:cs="Arial"/>
        </w:rPr>
        <w:t>a decrease of 12.4% from las</w:t>
      </w:r>
      <w:r w:rsidR="0093062B">
        <w:rPr>
          <w:rFonts w:cs="Arial"/>
        </w:rPr>
        <w:t>t year)</w:t>
      </w:r>
      <w:r w:rsidR="007E4BD5">
        <w:rPr>
          <w:rFonts w:cs="Arial"/>
        </w:rPr>
        <w:t xml:space="preserve"> and </w:t>
      </w:r>
      <w:r w:rsidR="0093062B">
        <w:rPr>
          <w:rFonts w:cs="Arial"/>
        </w:rPr>
        <w:t>2,692 recorded in the rolling 12</w:t>
      </w:r>
      <w:r w:rsidR="00B47497">
        <w:rPr>
          <w:rFonts w:cs="Arial"/>
        </w:rPr>
        <w:t xml:space="preserve"> </w:t>
      </w:r>
      <w:r w:rsidR="0093062B">
        <w:rPr>
          <w:rFonts w:cs="Arial"/>
        </w:rPr>
        <w:t>month period (</w:t>
      </w:r>
      <w:r w:rsidR="007E4BD5">
        <w:rPr>
          <w:rFonts w:cs="Arial"/>
        </w:rPr>
        <w:t xml:space="preserve">a decrease of 10.4% from the </w:t>
      </w:r>
      <w:r w:rsidR="0093062B">
        <w:rPr>
          <w:rFonts w:cs="Arial"/>
        </w:rPr>
        <w:t xml:space="preserve">previous </w:t>
      </w:r>
      <w:r w:rsidR="007E4BD5">
        <w:rPr>
          <w:rFonts w:cs="Arial"/>
        </w:rPr>
        <w:t>rolling 12</w:t>
      </w:r>
      <w:r w:rsidR="00B47497">
        <w:rPr>
          <w:rFonts w:cs="Arial"/>
        </w:rPr>
        <w:t xml:space="preserve"> </w:t>
      </w:r>
      <w:r w:rsidR="007E4BD5">
        <w:rPr>
          <w:rFonts w:cs="Arial"/>
        </w:rPr>
        <w:t>month</w:t>
      </w:r>
      <w:r w:rsidR="0093062B">
        <w:rPr>
          <w:rFonts w:cs="Arial"/>
        </w:rPr>
        <w:t>s)</w:t>
      </w:r>
      <w:r w:rsidR="007E4BD5">
        <w:rPr>
          <w:rFonts w:cs="Arial"/>
        </w:rPr>
        <w:t>.</w:t>
      </w:r>
      <w:bookmarkStart w:id="83" w:name="_Hlk213329254"/>
      <w:bookmarkEnd w:id="82"/>
    </w:p>
    <w:p w14:paraId="786F1144" w14:textId="2AB47BAE" w:rsidR="00F41A3B" w:rsidRDefault="007E4BD5" w:rsidP="00EB5050">
      <w:pPr>
        <w:rPr>
          <w:rFonts w:cs="Arial"/>
        </w:rPr>
      </w:pPr>
      <w:r>
        <w:rPr>
          <w:rFonts w:cs="Arial"/>
        </w:rPr>
        <w:t xml:space="preserve">This reduction has reduced since the </w:t>
      </w:r>
      <w:r w:rsidR="0093062B">
        <w:rPr>
          <w:rFonts w:cs="Arial"/>
        </w:rPr>
        <w:t>Q</w:t>
      </w:r>
      <w:r>
        <w:rPr>
          <w:rFonts w:cs="Arial"/>
        </w:rPr>
        <w:t xml:space="preserve">uarter </w:t>
      </w:r>
      <w:r w:rsidR="0093062B">
        <w:rPr>
          <w:rFonts w:cs="Arial"/>
        </w:rPr>
        <w:t>1</w:t>
      </w:r>
      <w:r>
        <w:rPr>
          <w:rFonts w:cs="Arial"/>
        </w:rPr>
        <w:t xml:space="preserve"> period, however, when crime numbers were down more substantially</w:t>
      </w:r>
      <w:r w:rsidR="00F41A3B">
        <w:rPr>
          <w:rFonts w:cs="Arial"/>
        </w:rPr>
        <w:t>, although September 2025 saw the fewest number of serious assaults recorded in any given month (198 crimes) in recent years.</w:t>
      </w:r>
    </w:p>
    <w:p w14:paraId="315F40FE" w14:textId="5CA4C03D" w:rsidR="00EB5050" w:rsidRDefault="00F41A3B" w:rsidP="00EB5050">
      <w:pPr>
        <w:rPr>
          <w:rFonts w:cs="Arial"/>
        </w:rPr>
      </w:pPr>
      <w:bookmarkStart w:id="84" w:name="_Hlk213329283"/>
      <w:bookmarkEnd w:id="83"/>
      <w:r>
        <w:rPr>
          <w:rFonts w:cs="Arial"/>
        </w:rPr>
        <w:t>While t</w:t>
      </w:r>
      <w:r w:rsidR="00726874">
        <w:rPr>
          <w:rFonts w:cs="Arial"/>
        </w:rPr>
        <w:t>he detection rate for serious assaults has also fallen over the course of the second quarter</w:t>
      </w:r>
      <w:r>
        <w:rPr>
          <w:rFonts w:cs="Arial"/>
        </w:rPr>
        <w:t xml:space="preserve">, the </w:t>
      </w:r>
      <w:r w:rsidR="00B47497">
        <w:rPr>
          <w:rFonts w:cs="Arial"/>
        </w:rPr>
        <w:t xml:space="preserve">rolling </w:t>
      </w:r>
      <w:r>
        <w:rPr>
          <w:rFonts w:cs="Arial"/>
        </w:rPr>
        <w:t>12</w:t>
      </w:r>
      <w:r w:rsidR="00B47497">
        <w:rPr>
          <w:rFonts w:cs="Arial"/>
        </w:rPr>
        <w:t xml:space="preserve"> </w:t>
      </w:r>
      <w:r>
        <w:rPr>
          <w:rFonts w:cs="Arial"/>
        </w:rPr>
        <w:t>month average detection rate remains consistent</w:t>
      </w:r>
      <w:bookmarkEnd w:id="84"/>
      <w:r>
        <w:rPr>
          <w:rFonts w:cs="Arial"/>
        </w:rPr>
        <w:t>.</w:t>
      </w:r>
    </w:p>
    <w:p w14:paraId="398274E1" w14:textId="58DB8220" w:rsidR="003B4E06" w:rsidRDefault="00AE49BB" w:rsidP="00974DED">
      <w:pPr>
        <w:pStyle w:val="KPIPullOutLC"/>
      </w:pPr>
      <w:bookmarkStart w:id="85" w:name="_Hlk206068707"/>
      <w:bookmarkEnd w:id="81"/>
      <w:bookmarkEnd w:id="80"/>
      <w:r>
        <w:t>2.8% decrease in robberies</w:t>
      </w:r>
    </w:p>
    <w:p w14:paraId="61C957E9" w14:textId="49927F8B" w:rsidR="00B65F1B" w:rsidRPr="004A1201" w:rsidRDefault="00511091" w:rsidP="004A1201">
      <w:r w:rsidRPr="00511091">
        <w:rPr>
          <w:noProof/>
        </w:rPr>
        <w:drawing>
          <wp:inline distT="0" distB="0" distL="0" distR="0" wp14:anchorId="022EC66C" wp14:editId="2EB2AE97">
            <wp:extent cx="6188710" cy="1151890"/>
            <wp:effectExtent l="0" t="0" r="2540" b="0"/>
            <wp:docPr id="379676409" name="Picture 1" descr="Robbery Crimes&#10;The first row of this table shows 954 robbery crimes YTD compared to 981 PYTD (down 2.8% on PYTD); and 1,780 robbery crimes in the rolling 12 months period compared to 1,900 in the previous rolling 12 months (down 6.3% on previous period).&#10;The second row shows the detection rate for robbery crimes was 71.3% YTD compared to 76.5% PYTD (down 5.2% points on PYTD); and the detection rate for robbery crimes was 73.0% in the rolling 12 months period compared to 75.4% in the previous rolling 12 months (down 2.4%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76409" name="Picture 1" descr="Robbery Crimes&#10;The first row of this table shows 954 robbery crimes YTD compared to 981 PYTD (down 2.8% on PYTD); and 1,780 robbery crimes in the rolling 12 months period compared to 1,900 in the previous rolling 12 months (down 6.3% on previous period).&#10;The second row shows the detection rate for robbery crimes was 71.3% YTD compared to 76.5% PYTD (down 5.2% points on PYTD); and the detection rate for robbery crimes was 73.0% in the rolling 12 months period compared to 75.4% in the previous rolling 12 months (down 2.4% points on previous period).&#10;"/>
                    <pic:cNvPicPr/>
                  </pic:nvPicPr>
                  <pic:blipFill>
                    <a:blip r:embed="rId47"/>
                    <a:stretch>
                      <a:fillRect/>
                    </a:stretch>
                  </pic:blipFill>
                  <pic:spPr>
                    <a:xfrm>
                      <a:off x="0" y="0"/>
                      <a:ext cx="6188710" cy="1151890"/>
                    </a:xfrm>
                    <a:prstGeom prst="rect">
                      <a:avLst/>
                    </a:prstGeom>
                  </pic:spPr>
                </pic:pic>
              </a:graphicData>
            </a:graphic>
          </wp:inline>
        </w:drawing>
      </w:r>
    </w:p>
    <w:p w14:paraId="1B4CE880" w14:textId="55463E73" w:rsidR="00C01A4A" w:rsidRDefault="00EC144A" w:rsidP="00AA6DFF">
      <w:pPr>
        <w:rPr>
          <w:rFonts w:cs="Arial"/>
        </w:rPr>
      </w:pPr>
      <w:bookmarkStart w:id="86" w:name="_Hlk205889822"/>
      <w:r>
        <w:rPr>
          <w:rFonts w:cs="Arial"/>
        </w:rPr>
        <w:t>Robberies had been showing a slight increase during the first quarter and are now below last year’s level and the rolling 12</w:t>
      </w:r>
      <w:r w:rsidR="00B47497">
        <w:rPr>
          <w:rFonts w:cs="Arial"/>
        </w:rPr>
        <w:t xml:space="preserve"> </w:t>
      </w:r>
      <w:r>
        <w:rPr>
          <w:rFonts w:cs="Arial"/>
        </w:rPr>
        <w:t>month level.</w:t>
      </w:r>
      <w:bookmarkStart w:id="87" w:name="_Hlk213329462"/>
    </w:p>
    <w:p w14:paraId="357C1322" w14:textId="1FA1BFEF" w:rsidR="00AA6DFF" w:rsidRDefault="001D7BB3" w:rsidP="00AA6DFF">
      <w:pPr>
        <w:rPr>
          <w:rFonts w:cs="Arial"/>
        </w:rPr>
      </w:pPr>
      <w:r>
        <w:rPr>
          <w:rFonts w:cs="Arial"/>
        </w:rPr>
        <w:t>Some divisions have noted an increase in opportunistic robberies, robberies targeting employees at commercial locations and domestic robberies.</w:t>
      </w:r>
    </w:p>
    <w:bookmarkEnd w:id="86"/>
    <w:bookmarkEnd w:id="87"/>
    <w:p w14:paraId="09BFFBC2" w14:textId="02D0A9E5" w:rsidR="003B4E06" w:rsidRDefault="00981AF1" w:rsidP="00974DED">
      <w:pPr>
        <w:pStyle w:val="KPIPullOutLC"/>
      </w:pPr>
      <w:r>
        <w:t>5.2% increase in common assault</w:t>
      </w:r>
    </w:p>
    <w:p w14:paraId="55EAC1BE" w14:textId="1433E126" w:rsidR="00B65F1B" w:rsidRDefault="00511091" w:rsidP="003B4E06">
      <w:pPr>
        <w:spacing w:before="0" w:after="160" w:line="259" w:lineRule="auto"/>
        <w:rPr>
          <w:rFonts w:cs="Arial"/>
        </w:rPr>
      </w:pPr>
      <w:bookmarkStart w:id="88" w:name="_Hlk205889956"/>
      <w:r w:rsidRPr="00511091">
        <w:rPr>
          <w:rFonts w:cs="Arial"/>
          <w:noProof/>
        </w:rPr>
        <w:drawing>
          <wp:inline distT="0" distB="0" distL="0" distR="0" wp14:anchorId="26D9B4CC" wp14:editId="09B739BE">
            <wp:extent cx="6188710" cy="1143000"/>
            <wp:effectExtent l="0" t="0" r="2540" b="0"/>
            <wp:docPr id="292751707" name="Picture 1" descr="Common Assault Crimes&#10;The first row of this table shows 32,532 common assault crimes YTD compared to 30,918 PYTD (up 5.2% on PYTD); and 60,844 common assault crimes in the rolling 12 months period compared to 58,853 in the previous rolling 12 months (up 3.4% on previous period).&#10;The second row shows the detection rate for common assault crimes was 68.1% YTD compared to 69.2% PYTD (down 1.2% points on PYTD); and the detection rate for common assault crimes was 68.5% in the rolling 12 months period compared to 70.1% in the previous rolling 12 months (down 1.6%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707" name="Picture 1" descr="Common Assault Crimes&#10;The first row of this table shows 32,532 common assault crimes YTD compared to 30,918 PYTD (up 5.2% on PYTD); and 60,844 common assault crimes in the rolling 12 months period compared to 58,853 in the previous rolling 12 months (up 3.4% on previous period).&#10;The second row shows the detection rate for common assault crimes was 68.1% YTD compared to 69.2% PYTD (down 1.2% points on PYTD); and the detection rate for common assault crimes was 68.5% in the rolling 12 months period compared to 70.1% in the previous rolling 12 months (down 1.6% points on previous period).&#10;"/>
                    <pic:cNvPicPr/>
                  </pic:nvPicPr>
                  <pic:blipFill>
                    <a:blip r:embed="rId48"/>
                    <a:stretch>
                      <a:fillRect/>
                    </a:stretch>
                  </pic:blipFill>
                  <pic:spPr>
                    <a:xfrm>
                      <a:off x="0" y="0"/>
                      <a:ext cx="6188710" cy="1143000"/>
                    </a:xfrm>
                    <a:prstGeom prst="rect">
                      <a:avLst/>
                    </a:prstGeom>
                  </pic:spPr>
                </pic:pic>
              </a:graphicData>
            </a:graphic>
          </wp:inline>
        </w:drawing>
      </w:r>
    </w:p>
    <w:p w14:paraId="689DEB6C" w14:textId="77777777" w:rsidR="00C01A4A" w:rsidRDefault="00D57B40" w:rsidP="00AB3DA7">
      <w:pPr>
        <w:spacing w:before="0" w:after="160" w:line="259" w:lineRule="auto"/>
        <w:rPr>
          <w:rFonts w:cs="Arial"/>
        </w:rPr>
      </w:pPr>
      <w:r>
        <w:rPr>
          <w:rFonts w:cs="Arial"/>
        </w:rPr>
        <w:t>C</w:t>
      </w:r>
      <w:r w:rsidR="003B4E06" w:rsidRPr="009720D5">
        <w:rPr>
          <w:rFonts w:cs="Arial"/>
        </w:rPr>
        <w:t xml:space="preserve">ommon </w:t>
      </w:r>
      <w:r w:rsidR="009B3F31">
        <w:rPr>
          <w:rFonts w:cs="Arial"/>
        </w:rPr>
        <w:t>assaults continue to increase across most police divisions, with Ayrshire and Dumfries &amp; Galloway the only areas to see lower than usual levels.</w:t>
      </w:r>
      <w:r w:rsidR="00AB3DA7">
        <w:rPr>
          <w:rFonts w:cs="Arial"/>
        </w:rPr>
        <w:t xml:space="preserve"> </w:t>
      </w:r>
      <w:bookmarkStart w:id="89" w:name="_Hlk213329549"/>
      <w:r w:rsidR="00AB3DA7">
        <w:rPr>
          <w:rFonts w:cs="Arial"/>
        </w:rPr>
        <w:t>Across Scotland there has been a 9.6% increase in domestic-related common assaults compared to the same period last year.</w:t>
      </w:r>
    </w:p>
    <w:p w14:paraId="323A919C" w14:textId="03D39F96" w:rsidR="00AB3DA7" w:rsidRDefault="00AB3DA7" w:rsidP="00AB3DA7">
      <w:pPr>
        <w:spacing w:before="0" w:after="160" w:line="259" w:lineRule="auto"/>
        <w:rPr>
          <w:rFonts w:cs="Arial"/>
        </w:rPr>
      </w:pPr>
      <w:r>
        <w:rPr>
          <w:rFonts w:cs="Arial"/>
        </w:rPr>
        <w:lastRenderedPageBreak/>
        <w:t>Common assaults of retail workers increased by 7.1% compared to PYTD and accounted for 5.0% of all common assaults. 16.0% of common assaults against retail workers resulted in an injury.</w:t>
      </w:r>
    </w:p>
    <w:p w14:paraId="5CAE3A53" w14:textId="145C579A" w:rsidR="0038412A" w:rsidRDefault="0038412A" w:rsidP="00AB3DA7">
      <w:pPr>
        <w:spacing w:before="0" w:after="160" w:line="259" w:lineRule="auto"/>
        <w:rPr>
          <w:rFonts w:cs="Arial"/>
        </w:rPr>
      </w:pPr>
      <w:bookmarkStart w:id="90" w:name="_Hlk213329585"/>
      <w:bookmarkEnd w:id="89"/>
      <w:r>
        <w:rPr>
          <w:rFonts w:cs="Arial"/>
        </w:rPr>
        <w:t>Forth Valley Division has seen the highest increase in common assaults compared to PYTD, up 25.6%. Analysis conducted prior to the end of the period indicated over half of victims were female and almost a third of these crimes were domestic in nature</w:t>
      </w:r>
      <w:bookmarkEnd w:id="90"/>
      <w:r>
        <w:rPr>
          <w:rFonts w:cs="Arial"/>
        </w:rPr>
        <w:t xml:space="preserve">. The majority occurred in private spaces. </w:t>
      </w:r>
    </w:p>
    <w:p w14:paraId="65E9E777" w14:textId="7D41609E" w:rsidR="0095582C" w:rsidRDefault="00791898" w:rsidP="003B4E06">
      <w:pPr>
        <w:spacing w:before="0" w:after="160" w:line="259" w:lineRule="auto"/>
        <w:rPr>
          <w:rFonts w:cs="Arial"/>
        </w:rPr>
      </w:pPr>
      <w:bookmarkStart w:id="91" w:name="_Hlk213329616"/>
      <w:r>
        <w:rPr>
          <w:rFonts w:cs="Arial"/>
        </w:rPr>
        <w:t xml:space="preserve">Fife has seen </w:t>
      </w:r>
      <w:r w:rsidR="00C17CC1">
        <w:rPr>
          <w:rFonts w:cs="Arial"/>
        </w:rPr>
        <w:t xml:space="preserve">a </w:t>
      </w:r>
      <w:r>
        <w:rPr>
          <w:rFonts w:cs="Arial"/>
        </w:rPr>
        <w:t>16.0% increase in common assaults compared to the same period last year, with domestic common assaults</w:t>
      </w:r>
      <w:r w:rsidR="006F6F1C">
        <w:rPr>
          <w:rFonts w:cs="Arial"/>
        </w:rPr>
        <w:t xml:space="preserve">, </w:t>
      </w:r>
      <w:r>
        <w:rPr>
          <w:rFonts w:cs="Arial"/>
        </w:rPr>
        <w:t>residential (non-domestic) and public space</w:t>
      </w:r>
      <w:r w:rsidR="006F6F1C">
        <w:rPr>
          <w:rFonts w:cs="Arial"/>
        </w:rPr>
        <w:t xml:space="preserve"> (non-domestic)</w:t>
      </w:r>
      <w:r>
        <w:rPr>
          <w:rFonts w:cs="Arial"/>
        </w:rPr>
        <w:t xml:space="preserve"> assaults </w:t>
      </w:r>
      <w:r w:rsidR="006F6F1C">
        <w:rPr>
          <w:rFonts w:cs="Arial"/>
        </w:rPr>
        <w:t>increasing</w:t>
      </w:r>
      <w:bookmarkEnd w:id="91"/>
      <w:r w:rsidR="006F6F1C">
        <w:rPr>
          <w:rFonts w:cs="Arial"/>
        </w:rPr>
        <w:t>.</w:t>
      </w:r>
      <w:r>
        <w:rPr>
          <w:rFonts w:cs="Arial"/>
        </w:rPr>
        <w:t xml:space="preserve"> </w:t>
      </w:r>
      <w:bookmarkStart w:id="92" w:name="_Hlk213329635"/>
      <w:r w:rsidR="006F6F1C">
        <w:rPr>
          <w:rFonts w:cs="Arial"/>
        </w:rPr>
        <w:t>Also rising was the number</w:t>
      </w:r>
      <w:r>
        <w:rPr>
          <w:rFonts w:cs="Arial"/>
        </w:rPr>
        <w:t xml:space="preserve"> retail worker assaults</w:t>
      </w:r>
      <w:r w:rsidR="006F6F1C">
        <w:rPr>
          <w:rFonts w:cs="Arial"/>
        </w:rPr>
        <w:t xml:space="preserve"> recorded,</w:t>
      </w:r>
      <w:r>
        <w:rPr>
          <w:rFonts w:cs="Arial"/>
        </w:rPr>
        <w:t xml:space="preserve"> particularly when retail workers attempt</w:t>
      </w:r>
      <w:r w:rsidR="006F6F1C">
        <w:rPr>
          <w:rFonts w:cs="Arial"/>
        </w:rPr>
        <w:t>ed</w:t>
      </w:r>
      <w:r>
        <w:rPr>
          <w:rFonts w:cs="Arial"/>
        </w:rPr>
        <w:t xml:space="preserve"> to challenge shoplifters</w:t>
      </w:r>
      <w:bookmarkEnd w:id="92"/>
      <w:r>
        <w:rPr>
          <w:rFonts w:cs="Arial"/>
        </w:rPr>
        <w:t>.</w:t>
      </w:r>
    </w:p>
    <w:p w14:paraId="26C93678" w14:textId="4E187830" w:rsidR="000C5022" w:rsidRDefault="000C5022" w:rsidP="003B4E06">
      <w:pPr>
        <w:spacing w:before="0" w:after="160" w:line="259" w:lineRule="auto"/>
        <w:rPr>
          <w:rFonts w:cs="Arial"/>
        </w:rPr>
      </w:pPr>
      <w:bookmarkStart w:id="93" w:name="_Hlk213329654"/>
      <w:r>
        <w:rPr>
          <w:rFonts w:cs="Arial"/>
        </w:rPr>
        <w:t>North East Division has seen</w:t>
      </w:r>
      <w:r w:rsidR="00C17CC1">
        <w:rPr>
          <w:rFonts w:cs="Arial"/>
        </w:rPr>
        <w:t xml:space="preserve"> a</w:t>
      </w:r>
      <w:r>
        <w:rPr>
          <w:rFonts w:cs="Arial"/>
        </w:rPr>
        <w:t xml:space="preserve"> 14.3% increase in common assaults this year, with this increase at least partially linked to an upward-trend in domestic-related assaults</w:t>
      </w:r>
      <w:r w:rsidR="00791898">
        <w:rPr>
          <w:rFonts w:cs="Arial"/>
        </w:rPr>
        <w:t xml:space="preserve"> which account for approximately one-third of common assaults YTD</w:t>
      </w:r>
      <w:bookmarkEnd w:id="93"/>
      <w:r>
        <w:rPr>
          <w:rFonts w:cs="Arial"/>
        </w:rPr>
        <w:t xml:space="preserve">. Governance </w:t>
      </w:r>
      <w:r w:rsidR="00453A74">
        <w:rPr>
          <w:rFonts w:cs="Arial"/>
        </w:rPr>
        <w:t>structures for these crimes have been reviewed by the division</w:t>
      </w:r>
      <w:r w:rsidR="00791898">
        <w:rPr>
          <w:rFonts w:cs="Arial"/>
        </w:rPr>
        <w:t xml:space="preserve"> and are deemed robust however plans for additional resources to address this issue are underway.</w:t>
      </w:r>
    </w:p>
    <w:bookmarkEnd w:id="88"/>
    <w:bookmarkEnd w:id="85"/>
    <w:p w14:paraId="735F0C70" w14:textId="1051777F" w:rsidR="00B95324" w:rsidRDefault="00B95324" w:rsidP="00974DED">
      <w:pPr>
        <w:pStyle w:val="KPIPullOutLC"/>
      </w:pPr>
      <w:r>
        <w:t xml:space="preserve">Possession of </w:t>
      </w:r>
      <w:r w:rsidR="00D57B40">
        <w:t>o</w:t>
      </w:r>
      <w:r>
        <w:t xml:space="preserve">ffensive </w:t>
      </w:r>
      <w:r w:rsidR="00D57B40">
        <w:t>w</w:t>
      </w:r>
      <w:r>
        <w:t>eapons</w:t>
      </w:r>
      <w:r w:rsidR="005661F4">
        <w:t xml:space="preserve"> </w:t>
      </w:r>
      <w:r w:rsidR="001930DE">
        <w:t>up 6.5%</w:t>
      </w:r>
    </w:p>
    <w:p w14:paraId="4A399827" w14:textId="255126A1" w:rsidR="001870FB" w:rsidRDefault="00511091" w:rsidP="00B95324">
      <w:pPr>
        <w:spacing w:before="0" w:after="160" w:line="259" w:lineRule="auto"/>
        <w:rPr>
          <w:noProof/>
        </w:rPr>
      </w:pPr>
      <w:bookmarkStart w:id="94" w:name="_Hlk205890040"/>
      <w:r w:rsidRPr="00511091">
        <w:rPr>
          <w:noProof/>
        </w:rPr>
        <w:drawing>
          <wp:inline distT="0" distB="0" distL="0" distR="0" wp14:anchorId="5F558085" wp14:editId="2FDC898B">
            <wp:extent cx="6188710" cy="1157605"/>
            <wp:effectExtent l="0" t="0" r="2540" b="4445"/>
            <wp:docPr id="505801553" name="Picture 1" descr="Offensive Weapons Crimes&#10;The first row of this table shows 6,369 possession of offensive weapons crimes YTD compared to 5,979 PYTD (up 6.5% on PYTD); and 11,644 possession of offensive weapons crimes in the rolling 12 months period compared to 10,865 in the previous rolling 12 months (up 7.2% on previous period).&#10;The second row shows the detection rate for possession of offensive weapons crimes was 75.7% YTD compared to 78.3% PYTD (down 2.6% points on PYTD); and the detection rate for possession of offensive weapons crimes was 76.6% in the rolling 12 months period compared to 79.4% in the previous rolling 12 months (down 2.8%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01553" name="Picture 1" descr="Offensive Weapons Crimes&#10;The first row of this table shows 6,369 possession of offensive weapons crimes YTD compared to 5,979 PYTD (up 6.5% on PYTD); and 11,644 possession of offensive weapons crimes in the rolling 12 months period compared to 10,865 in the previous rolling 12 months (up 7.2% on previous period).&#10;The second row shows the detection rate for possession of offensive weapons crimes was 75.7% YTD compared to 78.3% PYTD (down 2.6% points on PYTD); and the detection rate for possession of offensive weapons crimes was 76.6% in the rolling 12 months period compared to 79.4% in the previous rolling 12 months (down 2.8% points on previous period).&#10;"/>
                    <pic:cNvPicPr/>
                  </pic:nvPicPr>
                  <pic:blipFill>
                    <a:blip r:embed="rId49"/>
                    <a:stretch>
                      <a:fillRect/>
                    </a:stretch>
                  </pic:blipFill>
                  <pic:spPr>
                    <a:xfrm>
                      <a:off x="0" y="0"/>
                      <a:ext cx="6188710" cy="1157605"/>
                    </a:xfrm>
                    <a:prstGeom prst="rect">
                      <a:avLst/>
                    </a:prstGeom>
                  </pic:spPr>
                </pic:pic>
              </a:graphicData>
            </a:graphic>
          </wp:inline>
        </w:drawing>
      </w:r>
    </w:p>
    <w:p w14:paraId="287DBDD4" w14:textId="0CE50C7D" w:rsidR="001870FB" w:rsidRDefault="001870FB" w:rsidP="00B95324">
      <w:pPr>
        <w:spacing w:before="0" w:after="160" w:line="259" w:lineRule="auto"/>
      </w:pPr>
      <w:bookmarkStart w:id="95" w:name="_Hlk213329829"/>
      <w:bookmarkEnd w:id="94"/>
      <w:r>
        <w:t>Weapons offences, particularly crimes involving the use of a weapon in another crime, continue to increase. Police Divisions in the West such as Ayrshire, Argyll and West Dunbartonshire and Lanarkshire have seen substantial increases in the number of weapons used in other crimes compared to the same period last year. In the East, The Lothians and Scottish Borders, Forth Valley and Edinburgh Divisions are seeing substantial long-term increases.</w:t>
      </w:r>
    </w:p>
    <w:p w14:paraId="4D4CDBE3" w14:textId="1990855D" w:rsidR="001870FB" w:rsidRDefault="001870FB" w:rsidP="00B95324">
      <w:pPr>
        <w:spacing w:before="0" w:after="160" w:line="259" w:lineRule="auto"/>
      </w:pPr>
      <w:r>
        <w:t>There were also 10 crimes relating to corrosive substances recorded during the second quarter, bringing the year-to-date figure up to 16. This is twice the number as the previous year saw. Twelve of these crimes related solely to possession of the substance and the other four involved it being used in another crime.</w:t>
      </w:r>
    </w:p>
    <w:tbl>
      <w:tblPr>
        <w:tblpPr w:leftFromText="180" w:rightFromText="180" w:vertAnchor="text" w:horzAnchor="margin" w:tblpY="15"/>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78"/>
      </w:tblGrid>
      <w:tr w:rsidR="00602964" w:rsidRPr="0003495F" w14:paraId="27ECCDCF" w14:textId="77777777" w:rsidTr="00886A12">
        <w:trPr>
          <w:trHeight w:val="680"/>
          <w:tblHeader/>
        </w:trPr>
        <w:tc>
          <w:tcPr>
            <w:tcW w:w="9778" w:type="dxa"/>
            <w:shd w:val="clear" w:color="auto" w:fill="1F3864" w:themeFill="accent5" w:themeFillShade="80"/>
            <w:vAlign w:val="center"/>
            <w:hideMark/>
          </w:tcPr>
          <w:p w14:paraId="4EA19563" w14:textId="77777777" w:rsidR="00602964" w:rsidRPr="00366718" w:rsidRDefault="00602964" w:rsidP="00886A12">
            <w:pPr>
              <w:pStyle w:val="CaseHeaderLeft"/>
              <w:rPr>
                <w:color w:val="FFFFFF" w:themeColor="background1"/>
              </w:rPr>
            </w:pPr>
            <w:bookmarkStart w:id="96" w:name="PP2ViolencePrevention"/>
            <w:bookmarkEnd w:id="95"/>
            <w:bookmarkEnd w:id="96"/>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Violence Prevention</w:t>
            </w:r>
          </w:p>
        </w:tc>
      </w:tr>
      <w:tr w:rsidR="00602964" w:rsidRPr="0003495F" w14:paraId="484C021E" w14:textId="77777777" w:rsidTr="00886A12">
        <w:trPr>
          <w:trHeight w:val="680"/>
        </w:trPr>
        <w:tc>
          <w:tcPr>
            <w:tcW w:w="9778" w:type="dxa"/>
            <w:shd w:val="clear" w:color="auto" w:fill="FFF2CC" w:themeFill="accent4" w:themeFillTint="33"/>
            <w:vAlign w:val="center"/>
            <w:hideMark/>
          </w:tcPr>
          <w:p w14:paraId="662F59F2" w14:textId="77777777" w:rsidR="00B60B60" w:rsidRDefault="00602964" w:rsidP="00B60B60">
            <w:pPr>
              <w:rPr>
                <w:rFonts w:eastAsia="Aptos" w:cs="Times New Roman"/>
              </w:rPr>
            </w:pPr>
            <w:bookmarkStart w:id="97" w:name="_Hlk213329913"/>
            <w:r w:rsidRPr="008D1329">
              <w:rPr>
                <w:rFonts w:eastAsia="Aptos" w:cs="Times New Roman"/>
              </w:rPr>
              <w:t>As part of our wider violence prevention initiative, the Violence Prevention Licensing and Coordination Unit (VPLCU) have crafted a National Toolkit to guide local policing divisions on incidents involving weapons in schools</w:t>
            </w:r>
            <w:bookmarkEnd w:id="97"/>
            <w:r w:rsidRPr="008D1329">
              <w:rPr>
                <w:rFonts w:eastAsia="Aptos" w:cs="Times New Roman"/>
              </w:rPr>
              <w:t>.</w:t>
            </w:r>
          </w:p>
          <w:p w14:paraId="56FA2A53" w14:textId="77777777" w:rsidR="00B60B60" w:rsidRDefault="00602964" w:rsidP="00B60B60">
            <w:pPr>
              <w:rPr>
                <w:rFonts w:eastAsia="Aptos" w:cs="Times New Roman"/>
              </w:rPr>
            </w:pPr>
            <w:bookmarkStart w:id="98" w:name="_Hlk213329931"/>
            <w:r w:rsidRPr="008D1329">
              <w:rPr>
                <w:rFonts w:eastAsia="Aptos" w:cs="Times New Roman"/>
              </w:rPr>
              <w:lastRenderedPageBreak/>
              <w:t>The VPLCU have engaged with partners in education, and an Advisory Group has been established to form a collective and collaborative approach, focusing on safeguarding children and wider education community as well as prevention and intervention activities</w:t>
            </w:r>
            <w:bookmarkEnd w:id="98"/>
            <w:r w:rsidRPr="008D1329">
              <w:rPr>
                <w:rFonts w:eastAsia="Aptos" w:cs="Times New Roman"/>
              </w:rPr>
              <w:t xml:space="preserve">. </w:t>
            </w:r>
          </w:p>
          <w:p w14:paraId="400D72CB" w14:textId="77777777" w:rsidR="00B60B60" w:rsidRDefault="00602964" w:rsidP="00B60B60">
            <w:pPr>
              <w:rPr>
                <w:rFonts w:eastAsia="Aptos" w:cs="Times New Roman"/>
              </w:rPr>
            </w:pPr>
            <w:r w:rsidRPr="008D1329">
              <w:rPr>
                <w:rFonts w:eastAsia="Aptos" w:cs="Times New Roman"/>
              </w:rPr>
              <w:t>Examples include campaigns like ‘Quit Fighting for Likes, the Street Guardian project in Glasgow and school engagement programmes supported by the SVRU.</w:t>
            </w:r>
          </w:p>
          <w:p w14:paraId="5ECBB783" w14:textId="07576D6C" w:rsidR="00602964" w:rsidRPr="008D1329" w:rsidRDefault="00602964" w:rsidP="00B60B60">
            <w:pPr>
              <w:rPr>
                <w:rFonts w:eastAsia="Aptos" w:cs="Times New Roman"/>
              </w:rPr>
            </w:pPr>
            <w:r w:rsidRPr="008D1329">
              <w:rPr>
                <w:rFonts w:eastAsia="Aptos" w:cs="Times New Roman"/>
              </w:rPr>
              <w:t>These initiatives work with education, health and social work partners to address online harm, promote pro-social behaviours and provide safe spaces.</w:t>
            </w:r>
          </w:p>
        </w:tc>
      </w:tr>
    </w:tbl>
    <w:p w14:paraId="77994965" w14:textId="77777777" w:rsidR="00602964" w:rsidRDefault="00602964" w:rsidP="00B60B60">
      <w:pPr>
        <w:spacing w:before="0" w:after="0" w:line="240" w:lineRule="auto"/>
      </w:pPr>
    </w:p>
    <w:p w14:paraId="2D5B93E9" w14:textId="74B0B89C" w:rsidR="00360A4F" w:rsidRPr="001A2508" w:rsidRDefault="00360A4F" w:rsidP="00FB3737">
      <w:pPr>
        <w:pStyle w:val="KPIHeading3LC"/>
      </w:pPr>
      <w:r w:rsidRPr="001A2508">
        <w:t xml:space="preserve">KPI: </w:t>
      </w:r>
      <w:r w:rsidRPr="00360A4F">
        <w:t>Number/</w:t>
      </w:r>
      <w:r w:rsidR="00E23147">
        <w:t>p</w:t>
      </w:r>
      <w:r w:rsidRPr="00360A4F">
        <w:t xml:space="preserve">roportion of </w:t>
      </w:r>
      <w:r w:rsidR="00E23147">
        <w:t>children accused of</w:t>
      </w:r>
      <w:r w:rsidRPr="00360A4F">
        <w:t xml:space="preserve"> violent crimes</w:t>
      </w:r>
    </w:p>
    <w:p w14:paraId="122D946A" w14:textId="08FDF7ED" w:rsidR="003B4E06" w:rsidRPr="00FF1C4F" w:rsidRDefault="00B7403F" w:rsidP="00FF1C4F">
      <w:pPr>
        <w:pStyle w:val="KPIPullOutLC"/>
      </w:pPr>
      <w:r w:rsidRPr="00FF1C4F">
        <w:t>Overall decrease in children accused of violence, however an increase in the most serious violent crimes remains</w:t>
      </w:r>
    </w:p>
    <w:p w14:paraId="1E60C327" w14:textId="0B829D68" w:rsidR="00B43547" w:rsidRPr="00FF1C4F" w:rsidRDefault="00DC67E1" w:rsidP="00E23147">
      <w:bookmarkStart w:id="99" w:name="_Hlk213330014"/>
      <w:r w:rsidRPr="00FF1C4F">
        <w:t xml:space="preserve">Overall violent crimes where a child (under the age of 18) has been accused continues to show a decrease this year compared to last. For the April to September 2025 period, 3,897 violent crimes have been detected that involved at least one person under 18 being accused. </w:t>
      </w:r>
      <w:r w:rsidR="00B43547" w:rsidRPr="00FF1C4F">
        <w:t>This was a 10.3% reduction in such crimes compared to the same period last year.</w:t>
      </w:r>
    </w:p>
    <w:p w14:paraId="251724D3" w14:textId="0D32BA43" w:rsidR="00B43547" w:rsidRPr="00FF1C4F" w:rsidRDefault="00B43547" w:rsidP="00E23147">
      <w:bookmarkStart w:id="100" w:name="_Hlk213330043"/>
      <w:bookmarkEnd w:id="99"/>
      <w:r w:rsidRPr="00FF1C4F">
        <w:t>Some of these crimes involved multiple accused and, in total, 4,601 children were accused of violent crimes that were recorded over the first two quarters of 2025/26. This was a reduction of 14.3% versus PYTD</w:t>
      </w:r>
      <w:bookmarkEnd w:id="100"/>
      <w:r w:rsidRPr="00FF1C4F">
        <w:t>.</w:t>
      </w:r>
    </w:p>
    <w:p w14:paraId="3F19CA46" w14:textId="090C9AB4" w:rsidR="00DC67E1" w:rsidRPr="00FF1C4F" w:rsidRDefault="00DC67E1" w:rsidP="00E23147">
      <w:bookmarkStart w:id="101" w:name="_Hlk213330064"/>
      <w:r w:rsidRPr="00FF1C4F">
        <w:t xml:space="preserve">The vast majority (93.5%) of </w:t>
      </w:r>
      <w:r w:rsidR="00B43547" w:rsidRPr="00FF1C4F">
        <w:t>violent crimes where a child has been accused so far this year</w:t>
      </w:r>
      <w:r w:rsidRPr="00FF1C4F">
        <w:t xml:space="preserve"> were common assaults.</w:t>
      </w:r>
      <w:r w:rsidR="00B43547" w:rsidRPr="00FF1C4F">
        <w:t xml:space="preserve"> There was also 109 serious assaults for which 131 under 18s were accused (47.4% fewer children than PYTD) and 120 robberies for which 213 under 18s were accused (a decrease of 12.7% children compared to PYTD).</w:t>
      </w:r>
    </w:p>
    <w:bookmarkEnd w:id="101"/>
    <w:p w14:paraId="0DDD8171" w14:textId="77777777" w:rsidR="00C01A4A" w:rsidRDefault="00B43547" w:rsidP="00E23147">
      <w:r w:rsidRPr="00FF1C4F">
        <w:t xml:space="preserve">As was reported in the Quarter </w:t>
      </w:r>
      <w:r w:rsidR="00802D3A">
        <w:t>1</w:t>
      </w:r>
      <w:r w:rsidRPr="00FF1C4F">
        <w:t xml:space="preserve"> report, however, </w:t>
      </w:r>
      <w:bookmarkStart w:id="102" w:name="_Hlk213330090"/>
      <w:r w:rsidRPr="00FF1C4F">
        <w:t>under 18s being accused of attempted murders continues to be higher than usual. Year-to-date there have been 18 attempted murders involving 21 under 18s, compared to 8 crimes and 13 under 18s in the same period last year.</w:t>
      </w:r>
    </w:p>
    <w:p w14:paraId="5DD5A4BA" w14:textId="556B3BAF" w:rsidR="00B43547" w:rsidRPr="00FF1C4F" w:rsidRDefault="00B43547" w:rsidP="00E23147">
      <w:r w:rsidRPr="00FF1C4F">
        <w:t>Most (16) of this year’s crimes were recorded during the first quarter, with two more crimes involving one child being accused for each being recorded in the Edinburgh and G</w:t>
      </w:r>
      <w:r w:rsidR="00802D3A">
        <w:t>reater G</w:t>
      </w:r>
      <w:r w:rsidRPr="00FF1C4F">
        <w:t>lasgow divisions</w:t>
      </w:r>
      <w:r w:rsidR="00C33667">
        <w:t xml:space="preserve"> during the second quarter</w:t>
      </w:r>
      <w:r w:rsidRPr="00FF1C4F">
        <w:t>.</w:t>
      </w:r>
    </w:p>
    <w:bookmarkEnd w:id="102"/>
    <w:p w14:paraId="31D6AC2A" w14:textId="285EDA52" w:rsidR="00AF1E27" w:rsidRPr="006742EA" w:rsidRDefault="00B7403F" w:rsidP="00A95DFF">
      <w:r w:rsidRPr="00FF1C4F">
        <w:t>One homicide was recorded that has had a child accused for it during the second quarter. This was in Edinburgh Division. As a result, the YTD number of homicides for 2025/26 is now three (the same as for this period last year) however the total number of children accused of homicide this year is five compared to three last year.</w:t>
      </w:r>
    </w:p>
    <w:p w14:paraId="3AE1421A" w14:textId="77777777" w:rsidR="006742EA" w:rsidRPr="00A95DFF" w:rsidRDefault="006742EA" w:rsidP="00A95DFF">
      <w:r w:rsidRPr="00A95DFF">
        <w:t>Policing Together have developed the National Violence Prevention Strategy for Police Scotland. It has now been agreed the strategy for 2025/26 will focus on four key themes:</w:t>
      </w:r>
    </w:p>
    <w:p w14:paraId="3390F205" w14:textId="7B7FBA4E" w:rsidR="006742EA" w:rsidRPr="00A95DFF" w:rsidRDefault="006742EA" w:rsidP="00A95DFF">
      <w:pPr>
        <w:pStyle w:val="Bullets"/>
      </w:pPr>
      <w:r w:rsidRPr="00A95DFF">
        <w:t>Violence and ASB at Transport Hubs</w:t>
      </w:r>
    </w:p>
    <w:p w14:paraId="5AA177F7" w14:textId="2F40ECD0" w:rsidR="006742EA" w:rsidRPr="00A95DFF" w:rsidRDefault="006742EA" w:rsidP="00A95DFF">
      <w:pPr>
        <w:pStyle w:val="Bullets"/>
      </w:pPr>
      <w:r w:rsidRPr="00A95DFF">
        <w:lastRenderedPageBreak/>
        <w:t>Violence at Educational and Care Settings</w:t>
      </w:r>
    </w:p>
    <w:p w14:paraId="7F8429E0" w14:textId="6EDF8C8F" w:rsidR="006742EA" w:rsidRPr="00A95DFF" w:rsidRDefault="006742EA" w:rsidP="00A95DFF">
      <w:pPr>
        <w:pStyle w:val="Bullets"/>
      </w:pPr>
      <w:r w:rsidRPr="00A95DFF">
        <w:t>Carriage of Weapons</w:t>
      </w:r>
    </w:p>
    <w:p w14:paraId="0C476CD7" w14:textId="49AB0126" w:rsidR="006742EA" w:rsidRPr="00A95DFF" w:rsidRDefault="006742EA" w:rsidP="00A95DFF">
      <w:pPr>
        <w:pStyle w:val="Bullets"/>
      </w:pPr>
      <w:r w:rsidRPr="00A95DFF">
        <w:t>Preventative Pathways and Interventions</w:t>
      </w:r>
    </w:p>
    <w:p w14:paraId="1929052A" w14:textId="1423BC1A" w:rsidR="006742EA" w:rsidRPr="00A95DFF" w:rsidRDefault="006742EA" w:rsidP="00A95DFF">
      <w:r w:rsidRPr="00A95DFF">
        <w:t>Whilst there is a National Violence, Disorder and Antisocial Behaviour Gold Group, which provides leadership and direction designed to maintain and develop national workstreams, it is recognised that although we have a relatively low youth serious violence crime rate, the impact and wide-reaching consequence</w:t>
      </w:r>
      <w:r>
        <w:t xml:space="preserve"> of it</w:t>
      </w:r>
      <w:r w:rsidRPr="00A95DFF">
        <w:t xml:space="preserve"> is significant.</w:t>
      </w:r>
    </w:p>
    <w:p w14:paraId="73E18508" w14:textId="77777777" w:rsidR="00C01A4A" w:rsidRDefault="006742EA" w:rsidP="00A95DFF">
      <w:bookmarkStart w:id="103" w:name="_Hlk213330215"/>
      <w:r w:rsidRPr="00A95DFF">
        <w:t>Due to national crime and age trends identified, and to help drive thematic activity for both the National Violence Prevention Strategy and the National Violence, Disorder and Antisocial Behaviour Gold Group, the Operation STARDROP group have been tasked with addressing and coordinating work in relation to Youths Affected by Violence</w:t>
      </w:r>
      <w:bookmarkEnd w:id="103"/>
      <w:r w:rsidRPr="00A95DFF">
        <w:t>.</w:t>
      </w:r>
    </w:p>
    <w:p w14:paraId="6C55E0E4" w14:textId="078AD387" w:rsidR="00DD7EFD" w:rsidRPr="00E23147" w:rsidRDefault="006742EA" w:rsidP="00A95DFF">
      <w:pPr>
        <w:rPr>
          <w:rFonts w:cs="Arial"/>
        </w:rPr>
      </w:pPr>
      <w:r w:rsidRPr="00A95DFF">
        <w:t>This group is aligned to the 2030 Vision of Safer Communities, Less Crime, and Supported Victims. Police Scotland are working with Academics, Partners and Campaigners to understand the issues, develop national prevention approaches, inform legislation and government policy.</w:t>
      </w:r>
    </w:p>
    <w:tbl>
      <w:tblPr>
        <w:tblpPr w:leftFromText="180" w:rightFromText="180" w:vertAnchor="text" w:horzAnchor="margin" w:tblpY="15"/>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78"/>
      </w:tblGrid>
      <w:tr w:rsidR="00C235C6" w:rsidRPr="0003495F" w14:paraId="5886543A" w14:textId="77777777" w:rsidTr="00C235C6">
        <w:trPr>
          <w:trHeight w:val="680"/>
          <w:tblHeader/>
        </w:trPr>
        <w:tc>
          <w:tcPr>
            <w:tcW w:w="9778" w:type="dxa"/>
            <w:shd w:val="clear" w:color="auto" w:fill="1F3864" w:themeFill="accent5" w:themeFillShade="80"/>
            <w:vAlign w:val="center"/>
            <w:hideMark/>
          </w:tcPr>
          <w:p w14:paraId="6FBA48C3" w14:textId="2B1857B9" w:rsidR="00C235C6" w:rsidRPr="00366718" w:rsidRDefault="00C235C6" w:rsidP="009720D5">
            <w:pPr>
              <w:pStyle w:val="CaseHeaderLeft"/>
              <w:rPr>
                <w:color w:val="FFFFFF" w:themeColor="background1"/>
              </w:rPr>
            </w:pPr>
            <w:bookmarkStart w:id="104" w:name="PP3YouthEngagement"/>
            <w:bookmarkEnd w:id="104"/>
            <w:r w:rsidRPr="00366718">
              <w:rPr>
                <w:color w:val="FFFFFF" w:themeColor="background1"/>
              </w:rPr>
              <w:t>Proactive/Preventative Policing</w:t>
            </w:r>
            <w:r>
              <w:rPr>
                <w:color w:val="FFFFFF" w:themeColor="background1"/>
              </w:rPr>
              <w:t xml:space="preserve"> </w:t>
            </w:r>
            <w:r w:rsidRPr="00366718">
              <w:rPr>
                <w:color w:val="FFFFFF" w:themeColor="background1"/>
              </w:rPr>
              <w:t>–</w:t>
            </w:r>
            <w:r w:rsidR="00602964">
              <w:rPr>
                <w:color w:val="FFFFFF" w:themeColor="background1"/>
              </w:rPr>
              <w:t>Engagement with Children and Young People</w:t>
            </w:r>
          </w:p>
        </w:tc>
      </w:tr>
      <w:tr w:rsidR="00C235C6" w:rsidRPr="0003495F" w14:paraId="02282236" w14:textId="77777777" w:rsidTr="00C235C6">
        <w:trPr>
          <w:trHeight w:val="680"/>
        </w:trPr>
        <w:tc>
          <w:tcPr>
            <w:tcW w:w="9778" w:type="dxa"/>
            <w:shd w:val="clear" w:color="auto" w:fill="FFF2CC" w:themeFill="accent4" w:themeFillTint="33"/>
            <w:vAlign w:val="center"/>
            <w:hideMark/>
          </w:tcPr>
          <w:p w14:paraId="386C37BD" w14:textId="77777777" w:rsidR="008234C6" w:rsidRPr="008234C6" w:rsidRDefault="008234C6" w:rsidP="00C01A4A">
            <w:pPr>
              <w:pStyle w:val="CaseBodyLeft"/>
            </w:pPr>
            <w:bookmarkStart w:id="105" w:name="_Hlk213330275"/>
            <w:r w:rsidRPr="008234C6">
              <w:t xml:space="preserve">Police Scotland’s Children and Young People (CYP) team </w:t>
            </w:r>
            <w:bookmarkEnd w:id="105"/>
            <w:r w:rsidRPr="008234C6">
              <w:t xml:space="preserve">lead the delivery of Police Scotland’s priorities and commitments to over one million children and young people in Scotland. The CYP Team consult with internal and external stakeholders to influence and direct Police Scotland’s strategies, policies and standard operating procedures in relation to all aspects of policing that affect the lives of children and young people. </w:t>
            </w:r>
          </w:p>
          <w:p w14:paraId="4FE74E68" w14:textId="77777777" w:rsidR="008234C6" w:rsidRPr="008234C6" w:rsidRDefault="008234C6" w:rsidP="00C01A4A">
            <w:pPr>
              <w:pStyle w:val="CaseBodyLeft"/>
            </w:pPr>
            <w:r w:rsidRPr="008234C6">
              <w:t xml:space="preserve">At the heart of what the team do are the principles of Getting It Right for Every Child (GIRFEC), children’s rights and our responsibilities as a corporate parent. The team work closely with partners on a local and national level to assist delivery of guidance to local Policing and specialist departments, to support officers engaging with children and young people or responding to incidents.  </w:t>
            </w:r>
          </w:p>
          <w:p w14:paraId="77B7B91B" w14:textId="77777777" w:rsidR="008234C6" w:rsidRPr="008234C6" w:rsidRDefault="008234C6" w:rsidP="00C01A4A">
            <w:pPr>
              <w:pStyle w:val="CaseBodyLeft"/>
            </w:pPr>
            <w:r w:rsidRPr="008234C6">
              <w:t xml:space="preserve">The CYP team </w:t>
            </w:r>
            <w:bookmarkStart w:id="106" w:name="_Hlk213330289"/>
            <w:r w:rsidRPr="008234C6">
              <w:t xml:space="preserve">develop and collate suitable resources deliverable to children and young people, including: </w:t>
            </w:r>
            <w:bookmarkEnd w:id="106"/>
          </w:p>
          <w:p w14:paraId="1EB7060D" w14:textId="50C14988" w:rsidR="008234C6" w:rsidRPr="008234C6" w:rsidRDefault="008234C6" w:rsidP="00C01A4A">
            <w:pPr>
              <w:pStyle w:val="Bullets"/>
            </w:pPr>
            <w:r w:rsidRPr="008234C6">
              <w:t>Anti-Social Behaviour Resource - developed by Police Scotland in partnership with I Am Me Scotland aimed at P7 age, hosted on the I Am Me learning platform.</w:t>
            </w:r>
          </w:p>
          <w:p w14:paraId="6E6FDDB6" w14:textId="16FD1387" w:rsidR="008234C6" w:rsidRPr="008234C6" w:rsidRDefault="008234C6" w:rsidP="00C01A4A">
            <w:pPr>
              <w:pStyle w:val="Bullets"/>
            </w:pPr>
            <w:r w:rsidRPr="008234C6">
              <w:t>No Knives Better Lives (NKBL) resources are promoted widely to School Engagement Officers and staff to deliver within the schools, providing violence prevention, knife crime and positive masculinity messaging as well as continuous professional development modules for professionals.</w:t>
            </w:r>
          </w:p>
          <w:p w14:paraId="549989C6" w14:textId="5258C1F0" w:rsidR="008234C6" w:rsidRPr="008234C6" w:rsidRDefault="008234C6" w:rsidP="00C01A4A">
            <w:pPr>
              <w:pStyle w:val="Bullets"/>
            </w:pPr>
            <w:r w:rsidRPr="008234C6">
              <w:t>Medics against Violence (MAVS) is another partner promoted to School Engagement Officers, delivering projects within the school setting.</w:t>
            </w:r>
          </w:p>
          <w:p w14:paraId="2147581C" w14:textId="383B58D1" w:rsidR="008234C6" w:rsidRPr="008234C6" w:rsidRDefault="008234C6" w:rsidP="00C01A4A">
            <w:pPr>
              <w:pStyle w:val="Bullets"/>
            </w:pPr>
            <w:r w:rsidRPr="008234C6">
              <w:lastRenderedPageBreak/>
              <w:t xml:space="preserve">Mentors in Violence Prevention is a peer mentoring and leadership programme for secondary school settings.  </w:t>
            </w:r>
          </w:p>
          <w:p w14:paraId="490BE238" w14:textId="38AFB5AA" w:rsidR="008234C6" w:rsidRPr="008234C6" w:rsidRDefault="008234C6" w:rsidP="00C01A4A">
            <w:pPr>
              <w:pStyle w:val="Bullets"/>
            </w:pPr>
            <w:r w:rsidRPr="008234C6">
              <w:t>Quit Fighting for Likes is a joint partnership with Scottish Violence Reduction Unit, No Knives Better Lives and Medics Against Violence to deter young people from anti-social behaviour and knife carrying. Working alongside young people and partners, a suite of packages has been developed to support young people in navigating social media safely and prevent violence.</w:t>
            </w:r>
          </w:p>
          <w:p w14:paraId="67F25316" w14:textId="58015001" w:rsidR="008234C6" w:rsidRPr="008234C6" w:rsidRDefault="008234C6" w:rsidP="00C01A4A">
            <w:pPr>
              <w:pStyle w:val="Bullets"/>
            </w:pPr>
            <w:r w:rsidRPr="008234C6">
              <w:t xml:space="preserve">Police Scotland works alongside Fearless to promote safety messages to children and young people throughout Scotland. Fearless provides children and young people aged 11 – 18 years with key information about crime and give them a safe place to speak up with information 100% anonymously online or by phone.   </w:t>
            </w:r>
          </w:p>
          <w:p w14:paraId="566A5D8A" w14:textId="305D2E96" w:rsidR="008234C6" w:rsidRPr="008234C6" w:rsidRDefault="008234C6" w:rsidP="00C01A4A">
            <w:pPr>
              <w:pStyle w:val="Bullets"/>
            </w:pPr>
            <w:r w:rsidRPr="008234C6">
              <w:t>Secure Children’s House Collaboration: Police and SPA Forensics run a four-day course within secure care settings, building relationships and promoting understanding of forensic work. Programmes have been delivered at Rossie Trust, Kibble, St Mary’s and Good Shepherd with annual roll out to broaden the reach to other Children’s Houses.</w:t>
            </w:r>
          </w:p>
          <w:p w14:paraId="49935C36" w14:textId="4BDDC32D" w:rsidR="008234C6" w:rsidRPr="008234C6" w:rsidRDefault="008234C6" w:rsidP="00C01A4A">
            <w:pPr>
              <w:pStyle w:val="Bullets"/>
            </w:pPr>
            <w:r w:rsidRPr="008234C6">
              <w:t>Let’s Talk Workshops: In 2024, children and young people with care experience or from minority backgrounds participated in a series of workshops. These included stop and search to share insights with Police Scotland to provide more sensitive practices. The launch took place in Summer 2025 at the SVRU School Engagement Officer Event and is subsequently being delivered across the country.</w:t>
            </w:r>
          </w:p>
          <w:p w14:paraId="35455EBB" w14:textId="4DDA1ED1" w:rsidR="008234C6" w:rsidRPr="008234C6" w:rsidRDefault="008234C6" w:rsidP="00C01A4A">
            <w:pPr>
              <w:pStyle w:val="Bullets"/>
            </w:pPr>
            <w:r w:rsidRPr="008234C6">
              <w:t>Pitchin’ In: A programme created following a youth football disorder incident which promotes positive citizenship, decision-making, and reduces offending through partnerships with football organisations and schools.</w:t>
            </w:r>
          </w:p>
          <w:p w14:paraId="415000FA" w14:textId="67D2CAE0" w:rsidR="008234C6" w:rsidRPr="008234C6" w:rsidRDefault="008234C6" w:rsidP="00C01A4A">
            <w:pPr>
              <w:pStyle w:val="Bullets"/>
            </w:pPr>
            <w:r w:rsidRPr="008234C6">
              <w:t>Police Scotland Youth Volunteers (PSYV): Open to 13–15-year-olds, PSYV offers training, certification, and volunteering opportunities, fostering leadership and community safety.</w:t>
            </w:r>
          </w:p>
          <w:p w14:paraId="354256E1" w14:textId="6CAD964B" w:rsidR="008234C6" w:rsidRPr="008234C6" w:rsidRDefault="008234C6" w:rsidP="00C01A4A">
            <w:pPr>
              <w:pStyle w:val="Bullets"/>
            </w:pPr>
            <w:r w:rsidRPr="008234C6">
              <w:t>I Am Me Scotland and Police Scotland’s development of the ‘You are not alone’ Resource focuses on raising awareness of child exploitation.  This comprises of 3 resources, all relating to child exploitation, including gangs and violence:</w:t>
            </w:r>
          </w:p>
          <w:p w14:paraId="4D0BCA55" w14:textId="33AD755D" w:rsidR="008234C6" w:rsidRPr="008234C6" w:rsidRDefault="008234C6" w:rsidP="00C01A4A">
            <w:pPr>
              <w:pStyle w:val="Bullets"/>
              <w:ind w:left="720"/>
            </w:pPr>
            <w:r w:rsidRPr="008234C6">
              <w:t xml:space="preserve">S1-S3 Child Exploitation Resource - for Pupils </w:t>
            </w:r>
          </w:p>
          <w:p w14:paraId="320EC999" w14:textId="2297430F" w:rsidR="008234C6" w:rsidRPr="008234C6" w:rsidRDefault="008234C6" w:rsidP="00C01A4A">
            <w:pPr>
              <w:pStyle w:val="Bullets"/>
              <w:ind w:left="720"/>
            </w:pPr>
            <w:r w:rsidRPr="008234C6">
              <w:t>Child Exploitation Awareness Practitioners Toolkit - For Adults</w:t>
            </w:r>
          </w:p>
          <w:p w14:paraId="31B1FB4C" w14:textId="1DB7DFBB" w:rsidR="008234C6" w:rsidRPr="008234C6" w:rsidRDefault="008234C6" w:rsidP="00C01A4A">
            <w:pPr>
              <w:pStyle w:val="Bullets"/>
              <w:ind w:left="720"/>
            </w:pPr>
            <w:r w:rsidRPr="008234C6">
              <w:t>Polmont Resource - Developed with children from secure children’s houses and young people currently residing within Polmont YOI.</w:t>
            </w:r>
          </w:p>
          <w:p w14:paraId="56D3BCB1" w14:textId="74A6CE11" w:rsidR="008234C6" w:rsidRDefault="008234C6" w:rsidP="00C01A4A">
            <w:pPr>
              <w:pStyle w:val="CaseBodyLeft"/>
            </w:pPr>
            <w:r w:rsidRPr="008234C6">
              <w:t xml:space="preserve">Police Scotland understands that while engagement is vital, police powers must sometimes be used—but always proportionately and with a trauma-informed approach. Recognising the lasting effects of certain interactions, officers are trained to minimise </w:t>
            </w:r>
            <w:r w:rsidRPr="008234C6">
              <w:lastRenderedPageBreak/>
              <w:t>harm and support recovery. In support of this, Police Scotland hosted a workshop in August 2025, bringing together professionals and researchers to improve services for children and young people affected by violence.</w:t>
            </w:r>
          </w:p>
          <w:p w14:paraId="7D63B328" w14:textId="54B24A28" w:rsidR="00602964" w:rsidRPr="008D1329" w:rsidRDefault="00602964" w:rsidP="00C01A4A">
            <w:pPr>
              <w:pStyle w:val="CaseBodyLeft"/>
              <w:rPr>
                <w:rFonts w:cs="Arial"/>
              </w:rPr>
            </w:pPr>
            <w:bookmarkStart w:id="107" w:name="_Hlk213330505"/>
            <w:r w:rsidRPr="008D1329">
              <w:rPr>
                <w:rFonts w:cs="Arial"/>
              </w:rPr>
              <w:t>The Scottish Violence Reduction Unit (SVRU) is involved in a wide range of projects that work with young people to deter them from antisocial behaviour and violence, including</w:t>
            </w:r>
            <w:bookmarkEnd w:id="107"/>
            <w:r w:rsidRPr="008D1329">
              <w:rPr>
                <w:rFonts w:cs="Arial"/>
              </w:rPr>
              <w:t>:</w:t>
            </w:r>
          </w:p>
          <w:p w14:paraId="74DD06C8" w14:textId="77777777" w:rsidR="00602964" w:rsidRPr="008D1329" w:rsidRDefault="00602964" w:rsidP="00C01A4A">
            <w:pPr>
              <w:pStyle w:val="Bullets"/>
            </w:pPr>
            <w:r w:rsidRPr="008D1329">
              <w:t>Supporting Opportunities for Life (SOL): This is a new service delivered by Police Scotland alongside the charity Aid &amp; Abet, working together to support young people in West Lothian aged 10-25 in making meaningful, positive changes in their lives. This will work with those young people who have been identified as benefitting most from receiving this support.</w:t>
            </w:r>
          </w:p>
          <w:p w14:paraId="4851BCAD" w14:textId="5FB27818" w:rsidR="00602964" w:rsidRPr="00602964" w:rsidRDefault="00602964" w:rsidP="00C01A4A">
            <w:pPr>
              <w:pStyle w:val="Bullets"/>
              <w:rPr>
                <w:rFonts w:eastAsia="Aptos" w:cs="Times New Roman"/>
              </w:rPr>
            </w:pPr>
            <w:r w:rsidRPr="008D1329">
              <w:t xml:space="preserve">Glasgow Guardians: In partnership with Common Ground (Barnardos, Action for Children, Aberlour and Right There) the SVRU has been coordinating local organisations including G20, YMCA, Glasgow Girls Club and the Street Pastors to provide safe adults to support young people and reduce </w:t>
            </w:r>
            <w:r w:rsidR="00E95D73" w:rsidRPr="008D1329">
              <w:t>vulnerability</w:t>
            </w:r>
            <w:r w:rsidRPr="008D1329">
              <w:t xml:space="preserve"> through a contextual safeguarding model in the ‘four corners’ area of Glasgow.</w:t>
            </w:r>
          </w:p>
          <w:p w14:paraId="345A2AC9" w14:textId="7DE7FFEA" w:rsidR="003846F0" w:rsidRPr="007D7499" w:rsidRDefault="00602964" w:rsidP="00C01A4A">
            <w:pPr>
              <w:pStyle w:val="Bullets"/>
              <w:rPr>
                <w:rFonts w:eastAsia="Aptos"/>
              </w:rPr>
            </w:pPr>
            <w:r w:rsidRPr="007D7499">
              <w:t xml:space="preserve">The Way We See It: This is a national project led by Police Scotland’s Youth Engagement team in collaboration with the SVRU. The project seeks to enhance understanding of the impact on young people of the media narrative that there have been significant increases in violence amongst young people across Scotland.  </w:t>
            </w:r>
          </w:p>
        </w:tc>
      </w:tr>
    </w:tbl>
    <w:p w14:paraId="0C893BC8" w14:textId="77777777" w:rsidR="00360A4F" w:rsidRDefault="00360A4F" w:rsidP="00B60B60">
      <w:pPr>
        <w:spacing w:before="0" w:after="0" w:line="240" w:lineRule="auto"/>
      </w:pPr>
    </w:p>
    <w:p w14:paraId="07C72DCB" w14:textId="6A76EC17" w:rsidR="00360A4F" w:rsidRPr="001A2508" w:rsidRDefault="00360A4F" w:rsidP="00096020">
      <w:pPr>
        <w:pStyle w:val="KPIHeading3LC"/>
      </w:pPr>
      <w:r w:rsidRPr="001A2508">
        <w:t xml:space="preserve">KPI: </w:t>
      </w:r>
      <w:r>
        <w:t>Number of crimes/detection rate (by crime group i.e. Non-sexual crimes of violence, Acquisitive crime, Crimes against Society etc.) (cont</w:t>
      </w:r>
      <w:r w:rsidR="00B47497">
        <w:t>inued</w:t>
      </w:r>
      <w:r>
        <w:t>)</w:t>
      </w:r>
    </w:p>
    <w:p w14:paraId="68F2C8EA" w14:textId="0D998354" w:rsidR="00886504" w:rsidRDefault="008672ED" w:rsidP="00974DED">
      <w:pPr>
        <w:pStyle w:val="Heading4"/>
      </w:pPr>
      <w:r>
        <w:t>Group 1 Non-sexual Crimes of Violence</w:t>
      </w:r>
    </w:p>
    <w:p w14:paraId="31557394" w14:textId="0BF6B194" w:rsidR="0084045C" w:rsidRDefault="00E23147" w:rsidP="00974DED">
      <w:pPr>
        <w:pStyle w:val="KPIPullOutLC"/>
      </w:pPr>
      <w:r>
        <w:t>Non-sexual crimes of violence up 5.0%</w:t>
      </w:r>
    </w:p>
    <w:p w14:paraId="693245A7" w14:textId="3543AE54" w:rsidR="008B5566" w:rsidRPr="0006774F" w:rsidRDefault="003D3925" w:rsidP="0006774F">
      <w:r w:rsidRPr="003D3925">
        <w:rPr>
          <w:noProof/>
        </w:rPr>
        <w:drawing>
          <wp:inline distT="0" distB="0" distL="0" distR="0" wp14:anchorId="310420B3" wp14:editId="546336CC">
            <wp:extent cx="6188710" cy="1141730"/>
            <wp:effectExtent l="0" t="0" r="2540" b="1270"/>
            <wp:docPr id="130531839" name="Picture 1" descr="Group 1 Non-sexual Crimes of Violence&#10;The first row of this table shows 38,970 Group 1 crimes YTD compared to 37,114 PYTD (up 5.0% on PYTD); and 73,087 Group 1 crimes in the rolling 12 months period compared to 70,760 in the previous rolling 12 months (up 3.3% on previous period).&#10;The second row shows the detection rate for Group 1 crimes was 67.7% YTD compared to 68.8% PYTD (down 1.2% points on PYTD); and the detection rate for Group 1 crimes was 68.0% in the rolling 12 months period compared to 69.5% in the previous rolling 12 months (down 1.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1839" name="Picture 1" descr="Group 1 Non-sexual Crimes of Violence&#10;The first row of this table shows 38,970 Group 1 crimes YTD compared to 37,114 PYTD (up 5.0% on PYTD); and 73,087 Group 1 crimes in the rolling 12 months period compared to 70,760 in the previous rolling 12 months (up 3.3% on previous period).&#10;The second row shows the detection rate for Group 1 crimes was 67.7% YTD compared to 68.8% PYTD (down 1.2% points on PYTD); and the detection rate for Group 1 crimes was 68.0% in the rolling 12 months period compared to 69.5% in the previous rolling 12 months (down 1.5% points on previous period).&#10;"/>
                    <pic:cNvPicPr/>
                  </pic:nvPicPr>
                  <pic:blipFill>
                    <a:blip r:embed="rId50"/>
                    <a:stretch>
                      <a:fillRect/>
                    </a:stretch>
                  </pic:blipFill>
                  <pic:spPr>
                    <a:xfrm>
                      <a:off x="0" y="0"/>
                      <a:ext cx="6188710" cy="1141730"/>
                    </a:xfrm>
                    <a:prstGeom prst="rect">
                      <a:avLst/>
                    </a:prstGeom>
                  </pic:spPr>
                </pic:pic>
              </a:graphicData>
            </a:graphic>
          </wp:inline>
        </w:drawing>
      </w:r>
    </w:p>
    <w:p w14:paraId="2DAD4FF7" w14:textId="77777777" w:rsidR="00C01A4A" w:rsidRDefault="0075147F" w:rsidP="00620386">
      <w:pPr>
        <w:spacing w:before="0" w:after="160" w:line="259" w:lineRule="auto"/>
      </w:pPr>
      <w:bookmarkStart w:id="108" w:name="_Hlk205890669"/>
      <w:r>
        <w:t>Common assaults continue to make up the vast majority of Group 1 crimes and account for 83.5% of this group’s recorded crime over the last 12 months.</w:t>
      </w:r>
    </w:p>
    <w:p w14:paraId="51FBBA7B" w14:textId="13FB6062" w:rsidR="00FF0524" w:rsidRDefault="00E85D88" w:rsidP="00620386">
      <w:pPr>
        <w:spacing w:before="0" w:after="160" w:line="259" w:lineRule="auto"/>
      </w:pPr>
      <w:r>
        <w:t xml:space="preserve">The increase in total Group 1 is predominantly due to the increased numbers of common assaults, however </w:t>
      </w:r>
      <w:bookmarkStart w:id="109" w:name="_Hlk213330967"/>
      <w:r>
        <w:t>there also continues to be an increase in Domestic Abuse Scotland Act crimes for both females and males.</w:t>
      </w:r>
    </w:p>
    <w:p w14:paraId="7DD862C0" w14:textId="77777777" w:rsidR="00B832B6" w:rsidRDefault="003910E4" w:rsidP="00620386">
      <w:pPr>
        <w:spacing w:before="0" w:after="160" w:line="259" w:lineRule="auto"/>
      </w:pPr>
      <w:bookmarkStart w:id="110" w:name="_Hlk213330998"/>
      <w:bookmarkEnd w:id="109"/>
      <w:r>
        <w:lastRenderedPageBreak/>
        <w:t>Threats &amp; extortion crimes (935) have increased by 6.4% from last year and 12.5% from the five-year-mean. Drugging crimes (72) have also increased. There were 73 crimes of slavery or force labour which is the highest number in recent years.</w:t>
      </w:r>
    </w:p>
    <w:p w14:paraId="323F1413" w14:textId="26EA1946" w:rsidR="00E85D88" w:rsidRDefault="00E85D88" w:rsidP="00620386">
      <w:pPr>
        <w:spacing w:before="0" w:after="160" w:line="259" w:lineRule="auto"/>
      </w:pPr>
      <w:r>
        <w:t xml:space="preserve">The number of </w:t>
      </w:r>
      <w:r w:rsidR="00433F84">
        <w:t>c</w:t>
      </w:r>
      <w:r>
        <w:t>ruel &amp;</w:t>
      </w:r>
      <w:r w:rsidR="00433F84">
        <w:t xml:space="preserve"> unnatural treatment of children crimes (383) has reduced by 6.8% from the same period last year, </w:t>
      </w:r>
      <w:r w:rsidR="00587DC4">
        <w:t>however,</w:t>
      </w:r>
      <w:r w:rsidR="00433F84">
        <w:t xml:space="preserve"> remains 21.3% above the five-year-mean. </w:t>
      </w:r>
    </w:p>
    <w:bookmarkEnd w:id="108"/>
    <w:bookmarkEnd w:id="110"/>
    <w:p w14:paraId="790AAD4A" w14:textId="075F321A" w:rsidR="00886504" w:rsidRDefault="007B08FF" w:rsidP="00974DED">
      <w:pPr>
        <w:pStyle w:val="Heading4"/>
      </w:pPr>
      <w:r>
        <w:t>Group 2 Sexual Crimes</w:t>
      </w:r>
    </w:p>
    <w:p w14:paraId="667B4B29" w14:textId="7F12E1FF" w:rsidR="00C8159D" w:rsidRDefault="00380A21" w:rsidP="00974DED">
      <w:pPr>
        <w:pStyle w:val="KPIPullOutLC"/>
      </w:pPr>
      <w:r>
        <w:t>Sexual crime</w:t>
      </w:r>
      <w:r w:rsidR="00541A3C">
        <w:t xml:space="preserve"> </w:t>
      </w:r>
      <w:r w:rsidR="003C118D">
        <w:t xml:space="preserve">is </w:t>
      </w:r>
      <w:r w:rsidR="008D48E8">
        <w:t>up 10.5%</w:t>
      </w:r>
    </w:p>
    <w:p w14:paraId="67DCDD24" w14:textId="77777777" w:rsidR="00B832B6" w:rsidRDefault="00B832B6" w:rsidP="00B832B6">
      <w:r w:rsidRPr="00B832B6">
        <w:rPr>
          <w:noProof/>
        </w:rPr>
        <w:drawing>
          <wp:inline distT="0" distB="0" distL="0" distR="0" wp14:anchorId="01E7AC1A" wp14:editId="760D23D1">
            <wp:extent cx="6188710" cy="1163955"/>
            <wp:effectExtent l="0" t="0" r="2540" b="0"/>
            <wp:docPr id="643979426" name="Picture 1" descr="Group 2 Sexual Crimes&#10;The first row of this table shows 8,378 Group 2 crimes YTD compared to 7,585 PYTD (up 10.5% on PYTD); and 15,737 Group 2 crimes in the rolling 12 months period compared to 14,569 in the previous rolling 12 months (up 8.0% on previous period).&#10;The second row shows the detection rate for Group 2 crimes was 60.1% YTD compared to 57.7% PYTD (up 2.4% points on PYTD); and the detection rate for Group 2 crimes was 58.6% in the rolling 12 months period compared to 58.6% in the previous rolling 12 months (no change from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79426" name="Picture 1" descr="Group 2 Sexual Crimes&#10;The first row of this table shows 8,378 Group 2 crimes YTD compared to 7,585 PYTD (up 10.5% on PYTD); and 15,737 Group 2 crimes in the rolling 12 months period compared to 14,569 in the previous rolling 12 months (up 8.0% on previous period).&#10;The second row shows the detection rate for Group 2 crimes was 60.1% YTD compared to 57.7% PYTD (up 2.4% points on PYTD); and the detection rate for Group 2 crimes was 58.6% in the rolling 12 months period compared to 58.6% in the previous rolling 12 months (no change from previous period)."/>
                    <pic:cNvPicPr/>
                  </pic:nvPicPr>
                  <pic:blipFill>
                    <a:blip r:embed="rId51"/>
                    <a:stretch>
                      <a:fillRect/>
                    </a:stretch>
                  </pic:blipFill>
                  <pic:spPr>
                    <a:xfrm>
                      <a:off x="0" y="0"/>
                      <a:ext cx="6188710" cy="1163955"/>
                    </a:xfrm>
                    <a:prstGeom prst="rect">
                      <a:avLst/>
                    </a:prstGeom>
                  </pic:spPr>
                </pic:pic>
              </a:graphicData>
            </a:graphic>
          </wp:inline>
        </w:drawing>
      </w:r>
    </w:p>
    <w:p w14:paraId="4EDB7AA8" w14:textId="5B5F08AE" w:rsidR="006C3EE6" w:rsidRPr="006C3EE6" w:rsidRDefault="006C3EE6" w:rsidP="00B832B6">
      <w:r w:rsidRPr="006C3EE6">
        <w:t>Group 2 crime</w:t>
      </w:r>
      <w:r w:rsidR="008D48E8">
        <w:t>s continue to note high levels of reporting, up 1</w:t>
      </w:r>
      <w:r w:rsidR="00DC7B82">
        <w:t>0</w:t>
      </w:r>
      <w:r w:rsidR="008D48E8">
        <w:t xml:space="preserve">.5% on last year and 8.0% on the rolling 12 months. </w:t>
      </w:r>
    </w:p>
    <w:p w14:paraId="53B563B2" w14:textId="74D7852C" w:rsidR="008D48E8" w:rsidRPr="006C3EE6" w:rsidRDefault="008D48E8" w:rsidP="00B832B6">
      <w:bookmarkStart w:id="111" w:name="_Hlk213331419"/>
      <w:r>
        <w:t>The detection rate has also increased in the year to date, however the rolling 12 month remains consistent</w:t>
      </w:r>
      <w:bookmarkEnd w:id="111"/>
      <w:r>
        <w:t>.</w:t>
      </w:r>
    </w:p>
    <w:p w14:paraId="0BA0B65E" w14:textId="3A3BBD0F" w:rsidR="00A001BE" w:rsidRPr="00A001BE" w:rsidRDefault="00A001BE" w:rsidP="00B832B6">
      <w:r w:rsidRPr="00950361">
        <w:t xml:space="preserve">The increase in Group 2 sexual crime </w:t>
      </w:r>
      <w:r w:rsidR="00950361">
        <w:t>continues to be</w:t>
      </w:r>
      <w:r w:rsidRPr="00950361">
        <w:t xml:space="preserve"> driven by rape</w:t>
      </w:r>
      <w:r w:rsidR="00950361" w:rsidRPr="00950361">
        <w:t xml:space="preserve"> of a female over 16</w:t>
      </w:r>
      <w:r w:rsidRPr="00950361">
        <w:t>, communicating indecently, and taking</w:t>
      </w:r>
      <w:r w:rsidRPr="00A001BE">
        <w:t>, distribution, possession etc. of indecent photos of children (from Apr 2011).</w:t>
      </w:r>
    </w:p>
    <w:p w14:paraId="66A90F8B" w14:textId="0D803A08" w:rsidR="0095513D" w:rsidRDefault="007B08FF" w:rsidP="00974DED">
      <w:pPr>
        <w:pStyle w:val="KPIPullOutLC"/>
      </w:pPr>
      <w:bookmarkStart w:id="112" w:name="_Hlk206071453"/>
      <w:r>
        <w:t>Rape</w:t>
      </w:r>
      <w:r w:rsidR="00622DF1">
        <w:t xml:space="preserve"> crime</w:t>
      </w:r>
      <w:r w:rsidR="001B2CEF">
        <w:t>s increase 8.1%</w:t>
      </w:r>
    </w:p>
    <w:bookmarkEnd w:id="112"/>
    <w:p w14:paraId="1369BF76" w14:textId="347F9CCA" w:rsidR="00DD7AA8" w:rsidRPr="00321E83" w:rsidRDefault="003D3925" w:rsidP="00321E83">
      <w:r w:rsidRPr="003D3925">
        <w:rPr>
          <w:noProof/>
        </w:rPr>
        <w:drawing>
          <wp:inline distT="0" distB="0" distL="0" distR="0" wp14:anchorId="619A2233" wp14:editId="755CA863">
            <wp:extent cx="6188710" cy="1167765"/>
            <wp:effectExtent l="0" t="0" r="2540" b="0"/>
            <wp:docPr id="1531695024" name="Picture 1" descr="Rape Crimes&#10;The first row of this table shows 1,531 rape crimes YTD compared to 1,416 PYTD (up 8.1% on PYTD); and 2,881 rape crimes in the rolling 12 months period compared to 2,618 in the previous rolling 12 months (up 10.0% on previous period).&#10;The second row shows the detection rate for rape crimes was 56.3% YTD compared to 53.2% PYTD (up 3.1% points on PYTD); and the detection rate for rape crimes was 54.3% in the rolling 12 months period compared to 54.8% in the previous rolling 12 months (down 0.5%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5024" name="Picture 1" descr="Rape Crimes&#10;The first row of this table shows 1,531 rape crimes YTD compared to 1,416 PYTD (up 8.1% on PYTD); and 2,881 rape crimes in the rolling 12 months period compared to 2,618 in the previous rolling 12 months (up 10.0% on previous period).&#10;The second row shows the detection rate for rape crimes was 56.3% YTD compared to 53.2% PYTD (up 3.1% points on PYTD); and the detection rate for rape crimes was 54.3% in the rolling 12 months period compared to 54.8% in the previous rolling 12 months (down 0.5% points on previous period).&#10;"/>
                    <pic:cNvPicPr/>
                  </pic:nvPicPr>
                  <pic:blipFill>
                    <a:blip r:embed="rId52"/>
                    <a:stretch>
                      <a:fillRect/>
                    </a:stretch>
                  </pic:blipFill>
                  <pic:spPr>
                    <a:xfrm>
                      <a:off x="0" y="0"/>
                      <a:ext cx="6188710" cy="1167765"/>
                    </a:xfrm>
                    <a:prstGeom prst="rect">
                      <a:avLst/>
                    </a:prstGeom>
                  </pic:spPr>
                </pic:pic>
              </a:graphicData>
            </a:graphic>
          </wp:inline>
        </w:drawing>
      </w:r>
    </w:p>
    <w:p w14:paraId="106A0BD6" w14:textId="2B6C0AE2" w:rsidR="00D86606" w:rsidRDefault="00D86606" w:rsidP="00D86606">
      <w:pPr>
        <w:spacing w:before="0" w:after="160" w:line="259" w:lineRule="auto"/>
      </w:pPr>
      <w:r w:rsidRPr="0008553D">
        <w:t xml:space="preserve">Rape continues on an upward trajectory, up </w:t>
      </w:r>
      <w:r>
        <w:t>8.1</w:t>
      </w:r>
      <w:r w:rsidRPr="0008553D">
        <w:t xml:space="preserve">% on </w:t>
      </w:r>
      <w:r>
        <w:t xml:space="preserve">the </w:t>
      </w:r>
      <w:r w:rsidRPr="0008553D">
        <w:t>previous year</w:t>
      </w:r>
      <w:r>
        <w:t>,</w:t>
      </w:r>
      <w:r w:rsidRPr="0008553D">
        <w:t xml:space="preserve"> and notes an increase in the rolling 12 month figures. </w:t>
      </w:r>
    </w:p>
    <w:p w14:paraId="6FA4720A" w14:textId="5F62E60D" w:rsidR="00531957" w:rsidRDefault="00614C32" w:rsidP="00531957">
      <w:pPr>
        <w:spacing w:before="0" w:after="160" w:line="259" w:lineRule="auto"/>
      </w:pPr>
      <w:r>
        <w:t xml:space="preserve">Overall rape is driven by the increase </w:t>
      </w:r>
      <w:r w:rsidR="00531957">
        <w:t>in females over 16 years, up by 11</w:t>
      </w:r>
      <w:r w:rsidR="001B2CEF">
        <w:t>.0</w:t>
      </w:r>
      <w:r w:rsidR="00531957">
        <w:t>%</w:t>
      </w:r>
      <w:r w:rsidR="001B2CEF">
        <w:t xml:space="preserve"> (107 crimes)</w:t>
      </w:r>
      <w:r w:rsidR="00531957">
        <w:t xml:space="preserve"> compared to the previous year. </w:t>
      </w:r>
      <w:bookmarkStart w:id="113" w:name="_Hlk213331552"/>
      <w:r w:rsidR="001B2CEF">
        <w:t>Rape of a female under 13 years has increased by 17.5% (10 crimes) and rape of a female 13-15 years has increased by 11.8% (17 crimes).</w:t>
      </w:r>
      <w:bookmarkEnd w:id="113"/>
    </w:p>
    <w:p w14:paraId="4AD37498" w14:textId="290E224C" w:rsidR="00531957" w:rsidRDefault="00531957" w:rsidP="00531957">
      <w:pPr>
        <w:spacing w:before="0" w:after="160" w:line="259" w:lineRule="auto"/>
      </w:pPr>
      <w:r>
        <w:t>Non-recent rapes account for 4</w:t>
      </w:r>
      <w:r w:rsidR="00B67F97">
        <w:t>1</w:t>
      </w:r>
      <w:r>
        <w:t>.</w:t>
      </w:r>
      <w:r w:rsidR="00B67F97">
        <w:t>1</w:t>
      </w:r>
      <w:r>
        <w:t xml:space="preserve">% of all rapes reported, this is a slight </w:t>
      </w:r>
      <w:r w:rsidR="00B67F97">
        <w:t xml:space="preserve">increase of 1.3 percentage points </w:t>
      </w:r>
      <w:r>
        <w:t xml:space="preserve">when compared to the previous year.  </w:t>
      </w:r>
    </w:p>
    <w:p w14:paraId="4122291E" w14:textId="2CB4D417" w:rsidR="00EA0420" w:rsidRDefault="00EA0420" w:rsidP="00531957">
      <w:pPr>
        <w:spacing w:before="0" w:after="160" w:line="259" w:lineRule="auto"/>
      </w:pPr>
      <w:bookmarkStart w:id="114" w:name="_Hlk213331608"/>
      <w:r>
        <w:t xml:space="preserve">The detection rate for rape </w:t>
      </w:r>
      <w:r w:rsidR="00DD2B53">
        <w:t>has increased by 3.1 percentage points compared to the same period last year</w:t>
      </w:r>
      <w:bookmarkEnd w:id="114"/>
      <w:r w:rsidR="00DD2B53">
        <w:t>.</w:t>
      </w:r>
    </w:p>
    <w:p w14:paraId="6FE72FFB" w14:textId="6E3687A8" w:rsidR="0095513D" w:rsidRDefault="007B08FF" w:rsidP="00974DED">
      <w:pPr>
        <w:pStyle w:val="KPIPullOutLC"/>
      </w:pPr>
      <w:r>
        <w:lastRenderedPageBreak/>
        <w:t xml:space="preserve">Sexual </w:t>
      </w:r>
      <w:r w:rsidR="009D3B83">
        <w:t>a</w:t>
      </w:r>
      <w:r>
        <w:t>ssault</w:t>
      </w:r>
      <w:r w:rsidR="00622DF1">
        <w:t xml:space="preserve"> </w:t>
      </w:r>
      <w:r w:rsidR="003D6A80">
        <w:t xml:space="preserve">crimes </w:t>
      </w:r>
    </w:p>
    <w:p w14:paraId="05CD518F" w14:textId="2EA4C3FA" w:rsidR="00E57DC2" w:rsidRDefault="003D3925" w:rsidP="003C118D">
      <w:pPr>
        <w:pStyle w:val="KPIPullOutLC"/>
        <w:rPr>
          <w:rFonts w:cstheme="minorBidi"/>
          <w:b w:val="0"/>
          <w:color w:val="auto"/>
          <w:szCs w:val="24"/>
        </w:rPr>
      </w:pPr>
      <w:r w:rsidRPr="003D3925">
        <w:rPr>
          <w:noProof/>
        </w:rPr>
        <w:drawing>
          <wp:inline distT="0" distB="0" distL="0" distR="0" wp14:anchorId="2CB460AD" wp14:editId="4B457D09">
            <wp:extent cx="6188710" cy="1151890"/>
            <wp:effectExtent l="0" t="0" r="2540" b="0"/>
            <wp:docPr id="1413686419" name="Picture 1" descr="Sexual Assault Crimes&#10;The first row of this table shows 2,665 sexual assault crimes YTD compared to 2,628 PYTD (up 1.4% on PYTD); and 5,209 sexual assault crimes in the rolling 12 months period compared to 5,003 in the previous rolling 12 months (up 4.1% on previous period).&#10;The second row shows the detection rate for sexual assault crimes was 59.2% YTD compared to 57.7% PYTD (up 1.5% points on PYTD); and the detection rate for sexual assault crimes was 56.2% in the rolling 12 months period compared to 57.9% in the previous rolling 12 months (down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6419" name="Picture 1" descr="Sexual Assault Crimes&#10;The first row of this table shows 2,665 sexual assault crimes YTD compared to 2,628 PYTD (up 1.4% on PYTD); and 5,209 sexual assault crimes in the rolling 12 months period compared to 5,003 in the previous rolling 12 months (up 4.1% on previous period).&#10;The second row shows the detection rate for sexual assault crimes was 59.2% YTD compared to 57.7% PYTD (up 1.5% points on PYTD); and the detection rate for sexual assault crimes was 56.2% in the rolling 12 months period compared to 57.9% in the previous rolling 12 months (down 1.7% points on previous period).&#10;"/>
                    <pic:cNvPicPr/>
                  </pic:nvPicPr>
                  <pic:blipFill>
                    <a:blip r:embed="rId53"/>
                    <a:stretch>
                      <a:fillRect/>
                    </a:stretch>
                  </pic:blipFill>
                  <pic:spPr>
                    <a:xfrm>
                      <a:off x="0" y="0"/>
                      <a:ext cx="6188710" cy="1151890"/>
                    </a:xfrm>
                    <a:prstGeom prst="rect">
                      <a:avLst/>
                    </a:prstGeom>
                  </pic:spPr>
                </pic:pic>
              </a:graphicData>
            </a:graphic>
          </wp:inline>
        </w:drawing>
      </w:r>
      <w:r w:rsidR="003C118D" w:rsidRPr="003C118D">
        <w:rPr>
          <w:rFonts w:cstheme="minorBidi"/>
          <w:b w:val="0"/>
          <w:color w:val="auto"/>
          <w:szCs w:val="24"/>
        </w:rPr>
        <w:t xml:space="preserve"> </w:t>
      </w:r>
    </w:p>
    <w:p w14:paraId="418EB2DA" w14:textId="6A503159" w:rsidR="003C118D" w:rsidRDefault="003C118D" w:rsidP="00B60B60">
      <w:pPr>
        <w:rPr>
          <w:b/>
        </w:rPr>
      </w:pPr>
      <w:r w:rsidRPr="003C118D">
        <w:t xml:space="preserve">Overall, sexual assault crimes </w:t>
      </w:r>
      <w:r>
        <w:t>have increased against both last year (up 1.4%) and the 12 month rolling period (up 4.1%).</w:t>
      </w:r>
    </w:p>
    <w:p w14:paraId="7BE1448F" w14:textId="263214AE" w:rsidR="003C118D" w:rsidRDefault="003C118D" w:rsidP="00B60B60">
      <w:pPr>
        <w:rPr>
          <w:b/>
        </w:rPr>
      </w:pPr>
      <w:bookmarkStart w:id="115" w:name="_Hlk213331699"/>
      <w:bookmarkStart w:id="116" w:name="_Hlk206071651"/>
      <w:r>
        <w:t>T</w:t>
      </w:r>
      <w:r w:rsidRPr="003C118D">
        <w:t xml:space="preserve">he </w:t>
      </w:r>
      <w:r>
        <w:t xml:space="preserve">increase in </w:t>
      </w:r>
      <w:r w:rsidRPr="003C118D">
        <w:t>sexual assault</w:t>
      </w:r>
      <w:r>
        <w:t xml:space="preserve"> crime</w:t>
      </w:r>
      <w:r w:rsidRPr="003C118D">
        <w:t xml:space="preserve">s </w:t>
      </w:r>
      <w:r>
        <w:t xml:space="preserve">is driven by </w:t>
      </w:r>
      <w:r w:rsidR="000F3988">
        <w:t xml:space="preserve">crimes </w:t>
      </w:r>
      <w:r w:rsidRPr="003C118D">
        <w:t xml:space="preserve">committed against a female over </w:t>
      </w:r>
      <w:r>
        <w:t xml:space="preserve">the age of </w:t>
      </w:r>
      <w:r w:rsidRPr="003C118D">
        <w:t>16</w:t>
      </w:r>
      <w:r w:rsidR="000F3988">
        <w:t xml:space="preserve"> which</w:t>
      </w:r>
      <w:r>
        <w:t xml:space="preserve"> has increased by 4.1% (41 crimes) compared to the same period</w:t>
      </w:r>
      <w:r w:rsidRPr="003C118D">
        <w:t xml:space="preserve"> last year.</w:t>
      </w:r>
    </w:p>
    <w:bookmarkEnd w:id="115"/>
    <w:p w14:paraId="16601970" w14:textId="1A8A0435" w:rsidR="0095513D" w:rsidRPr="003C118D" w:rsidRDefault="007B08FF" w:rsidP="00974DED">
      <w:pPr>
        <w:pStyle w:val="KPIPullOutLC"/>
        <w:rPr>
          <w:rFonts w:cstheme="minorBidi"/>
          <w:b w:val="0"/>
          <w:color w:val="auto"/>
          <w:szCs w:val="24"/>
        </w:rPr>
      </w:pPr>
      <w:r>
        <w:t xml:space="preserve">Online </w:t>
      </w:r>
      <w:r w:rsidR="009D3B83">
        <w:t>c</w:t>
      </w:r>
      <w:r>
        <w:t xml:space="preserve">hild </w:t>
      </w:r>
      <w:r w:rsidR="009D3B83">
        <w:t>s</w:t>
      </w:r>
      <w:r>
        <w:t xml:space="preserve">exual </w:t>
      </w:r>
      <w:r w:rsidR="009D3B83">
        <w:t>a</w:t>
      </w:r>
      <w:r>
        <w:t>buse</w:t>
      </w:r>
    </w:p>
    <w:p w14:paraId="4F7C9CA5" w14:textId="09F750D8" w:rsidR="00E57DC2" w:rsidRPr="00660E76" w:rsidRDefault="003D3925" w:rsidP="00660E76">
      <w:r w:rsidRPr="003D3925">
        <w:rPr>
          <w:noProof/>
        </w:rPr>
        <w:drawing>
          <wp:inline distT="0" distB="0" distL="0" distR="0" wp14:anchorId="5BBF8016" wp14:editId="27B98CE2">
            <wp:extent cx="6188710" cy="1153795"/>
            <wp:effectExtent l="0" t="0" r="2540" b="8255"/>
            <wp:docPr id="527478575" name="Picture 1" descr="Online Child Sexual Abuse Crimes&#10;The first row of this table shows 1,207 online child sexual abuse crimes YTD compared to 1,004 PYTD (up 20.2% on PYTD); and 2,183 online child sexual abuse crimes in the rolling 12 months period compared to 2,085 in the previous rolling 12 months (up 4.7% on previous period).&#10;The second row shows the detection rate for online child sexual abuse crimes was 71.8% YTD compared to 71.9% PYTD (down 0.1% points on PYTD); and the detection rate for online child sexual abuse crimes was 73.3% in the rolling 12 months period compared to 71.6% in the previous rolling 12 months (up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8575" name="Picture 1" descr="Online Child Sexual Abuse Crimes&#10;The first row of this table shows 1,207 online child sexual abuse crimes YTD compared to 1,004 PYTD (up 20.2% on PYTD); and 2,183 online child sexual abuse crimes in the rolling 12 months period compared to 2,085 in the previous rolling 12 months (up 4.7% on previous period).&#10;The second row shows the detection rate for online child sexual abuse crimes was 71.8% YTD compared to 71.9% PYTD (down 0.1% points on PYTD); and the detection rate for online child sexual abuse crimes was 73.3% in the rolling 12 months period compared to 71.6% in the previous rolling 12 months (up 1.7% points on previous period).&#10;"/>
                    <pic:cNvPicPr/>
                  </pic:nvPicPr>
                  <pic:blipFill>
                    <a:blip r:embed="rId54"/>
                    <a:stretch>
                      <a:fillRect/>
                    </a:stretch>
                  </pic:blipFill>
                  <pic:spPr>
                    <a:xfrm>
                      <a:off x="0" y="0"/>
                      <a:ext cx="6188710" cy="1153795"/>
                    </a:xfrm>
                    <a:prstGeom prst="rect">
                      <a:avLst/>
                    </a:prstGeom>
                  </pic:spPr>
                </pic:pic>
              </a:graphicData>
            </a:graphic>
          </wp:inline>
        </w:drawing>
      </w:r>
    </w:p>
    <w:p w14:paraId="22C8347E" w14:textId="66282E88" w:rsidR="00D86606" w:rsidRDefault="00D86606" w:rsidP="00D86606">
      <w:pPr>
        <w:spacing w:before="0" w:after="160" w:line="259" w:lineRule="auto"/>
      </w:pPr>
      <w:bookmarkStart w:id="117" w:name="_Hlk206071707"/>
      <w:bookmarkEnd w:id="116"/>
      <w:r>
        <w:t xml:space="preserve">Online Child Sexual Abuse crimes have increased by 20.2% compared to the previous year and by 4.7% compared to the previous rolling 12 month period. </w:t>
      </w:r>
    </w:p>
    <w:p w14:paraId="07B90DF2" w14:textId="77777777" w:rsidR="00C01A4A" w:rsidRDefault="00F169E0" w:rsidP="00D86606">
      <w:pPr>
        <w:spacing w:before="0" w:after="160" w:line="259" w:lineRule="auto"/>
      </w:pPr>
      <w:r>
        <w:t>Taking, distribution, possession etc. of indecent photos of children (from Apr 2011) is the main driver for the increase in online child sexual abuse crimes, up 31.2% (110 crimes) compared to the previous year.</w:t>
      </w:r>
      <w:bookmarkStart w:id="118" w:name="_Hlk213331770"/>
    </w:p>
    <w:p w14:paraId="2F624264" w14:textId="249F20C6" w:rsidR="00F169E0" w:rsidRDefault="00F169E0" w:rsidP="00D86606">
      <w:pPr>
        <w:spacing w:before="0" w:after="160" w:line="259" w:lineRule="auto"/>
      </w:pPr>
      <w:r>
        <w:t>Communicating Indecently/cause see/hear indecent communications for male and female both 13-15 years and under 13 years has also noted increases against the previous year of 26.5% and 25.2% respectively</w:t>
      </w:r>
      <w:bookmarkEnd w:id="118"/>
      <w:r>
        <w:t>.</w:t>
      </w:r>
    </w:p>
    <w:p w14:paraId="01902DA3" w14:textId="53FE4A72" w:rsidR="00A24D8D" w:rsidRDefault="00597964" w:rsidP="00FF1C4F">
      <w:pPr>
        <w:pStyle w:val="KPIPullOutLC"/>
      </w:pPr>
      <w:r>
        <w:lastRenderedPageBreak/>
        <w:t xml:space="preserve">Domestic </w:t>
      </w:r>
      <w:r w:rsidR="000C764F">
        <w:t>a</w:t>
      </w:r>
      <w:r>
        <w:t xml:space="preserve">buse </w:t>
      </w:r>
      <w:r w:rsidR="000D3A46">
        <w:t>crimes</w:t>
      </w:r>
      <w:r w:rsidR="00004AC4">
        <w:t xml:space="preserve"> increase by </w:t>
      </w:r>
      <w:r w:rsidR="000D3A46">
        <w:t>10.0%</w:t>
      </w:r>
      <w:bookmarkEnd w:id="117"/>
    </w:p>
    <w:p w14:paraId="0B4CE2DA" w14:textId="77777777" w:rsidR="007052E8" w:rsidRDefault="007052E8" w:rsidP="000D3A46">
      <w:pPr>
        <w:spacing w:before="0" w:after="160" w:line="259" w:lineRule="auto"/>
      </w:pPr>
      <w:r w:rsidRPr="007052E8">
        <w:rPr>
          <w:noProof/>
        </w:rPr>
        <w:drawing>
          <wp:inline distT="0" distB="0" distL="0" distR="0" wp14:anchorId="6950432D" wp14:editId="0AB930EC">
            <wp:extent cx="6188710" cy="2577465"/>
            <wp:effectExtent l="0" t="0" r="2540" b="0"/>
            <wp:docPr id="1825116189" name="Picture 1" descr="Domestic Abuse&#10;The first row of this table shows 33,962 domestic abuse incidents YTD compared to 32,766 PYTD (up 3.7% on PYTD); and 66,163 domestic abuse incidents in the rolling 12 months period compared to 63,091 in the previous rolling 12 months (up 4.9% on previous period).&#10;The second row shows 22,046 domestic abuse crimes YTD compared to 20,042 PYTD (up 10.0% on PYTD); and 41,742 domestic abuse crimes in the rolling 12 months period compared to 37,336 in the previous rolling 12 months (up 11.8% on previous period).&#10;The third row shows the detection rate for domestic abuse crimes was 71.5% YTD compared to 64.2% PYTD (up 7.3% points on PYTD); and the detection rate for domestic abuse crimes was 69.8% in the rolling 12 months period compared to 62.0% in the previous rolling 12 months (up 7.9% points on previous period).&#10;The fourth row shows the proportion of domestic abuse incidents resulting in a crime was 41.3% YTD compared to 39.8% PYTD (up 1.4% points on PYTD); and the proportion of domestic abuse incidents resulting in a crime was 40.3% in the rolling 12 months period compared to 41.0% in the previous rolling 12 months (down 0.7% points on previous period).&#10;The fifth row shows 1,395 DASA of female crimes YTD compared to 1,177 PYTD (up 18.5% on PYTD); and 2,629 DASA of female crimes in the rolling 12 months period compared to 2,161 in the previous rolling 12 months (up 21.7% on previous period).&#10;The sixth row shows 106 DASA of male crimes YTD compared to 72 PYTD (up 47.2% on PYTD); and 197 DASA of male crimes in the rolling 12 months period compared to 132 in the previous rolling 12 months (up 49.2%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6189" name="Picture 1" descr="Domestic Abuse&#10;The first row of this table shows 33,962 domestic abuse incidents YTD compared to 32,766 PYTD (up 3.7% on PYTD); and 66,163 domestic abuse incidents in the rolling 12 months period compared to 63,091 in the previous rolling 12 months (up 4.9% on previous period).&#10;The second row shows 22,046 domestic abuse crimes YTD compared to 20,042 PYTD (up 10.0% on PYTD); and 41,742 domestic abuse crimes in the rolling 12 months period compared to 37,336 in the previous rolling 12 months (up 11.8% on previous period).&#10;The third row shows the detection rate for domestic abuse crimes was 71.5% YTD compared to 64.2% PYTD (up 7.3% points on PYTD); and the detection rate for domestic abuse crimes was 69.8% in the rolling 12 months period compared to 62.0% in the previous rolling 12 months (up 7.9% points on previous period).&#10;The fourth row shows the proportion of domestic abuse incidents resulting in a crime was 41.3% YTD compared to 39.8% PYTD (up 1.4% points on PYTD); and the proportion of domestic abuse incidents resulting in a crime was 40.3% in the rolling 12 months period compared to 41.0% in the previous rolling 12 months (down 0.7% points on previous period).&#10;The fifth row shows 1,395 DASA of female crimes YTD compared to 1,177 PYTD (up 18.5% on PYTD); and 2,629 DASA of female crimes in the rolling 12 months period compared to 2,161 in the previous rolling 12 months (up 21.7% on previous period).&#10;The sixth row shows 106 DASA of male crimes YTD compared to 72 PYTD (up 47.2% on PYTD); and 197 DASA of male crimes in the rolling 12 months period compared to 132 in the previous rolling 12 months (up 49.2% on previous period).&#10;"/>
                    <pic:cNvPicPr/>
                  </pic:nvPicPr>
                  <pic:blipFill>
                    <a:blip r:embed="rId55"/>
                    <a:stretch>
                      <a:fillRect/>
                    </a:stretch>
                  </pic:blipFill>
                  <pic:spPr>
                    <a:xfrm>
                      <a:off x="0" y="0"/>
                      <a:ext cx="6188710" cy="2577465"/>
                    </a:xfrm>
                    <a:prstGeom prst="rect">
                      <a:avLst/>
                    </a:prstGeom>
                  </pic:spPr>
                </pic:pic>
              </a:graphicData>
            </a:graphic>
          </wp:inline>
        </w:drawing>
      </w:r>
    </w:p>
    <w:p w14:paraId="41F9D846" w14:textId="7008590B" w:rsidR="000D3A46" w:rsidRPr="00FF1C4F" w:rsidRDefault="000D3A46" w:rsidP="000D3A46">
      <w:pPr>
        <w:spacing w:before="0" w:after="160" w:line="259" w:lineRule="auto"/>
      </w:pPr>
      <w:bookmarkStart w:id="119" w:name="_Hlk213331814"/>
      <w:r w:rsidRPr="00FF1C4F">
        <w:t xml:space="preserve">During the reporting period, domestic abuse incidents and crimes have both increased against the previous year and the rolling 12 months. </w:t>
      </w:r>
      <w:r w:rsidR="00315768">
        <w:t>The number of d</w:t>
      </w:r>
      <w:r w:rsidRPr="00FF1C4F">
        <w:t>omestic abuse incidents has increased by 3.7% (1,196 incidents) and domestic abuse crimes has increased by 10.0% (2,004 crimes)</w:t>
      </w:r>
      <w:r>
        <w:t xml:space="preserve"> when compared to the previous year</w:t>
      </w:r>
      <w:r w:rsidRPr="00FF1C4F">
        <w:t>.</w:t>
      </w:r>
    </w:p>
    <w:p w14:paraId="3CC6C60F" w14:textId="6A90F6E0" w:rsidR="006914FA" w:rsidRPr="000D3A46" w:rsidRDefault="006914FA" w:rsidP="003D6A80">
      <w:pPr>
        <w:spacing w:before="0" w:after="160" w:line="259" w:lineRule="auto"/>
      </w:pPr>
      <w:r w:rsidRPr="000D3A46">
        <w:t xml:space="preserve">The detection rate for domestic abuse crimes has increased by </w:t>
      </w:r>
      <w:r w:rsidR="000D3A46" w:rsidRPr="00FF1C4F">
        <w:t>7.3</w:t>
      </w:r>
      <w:r w:rsidRPr="000D3A46">
        <w:t xml:space="preserve"> percentage points compared to the previous year and by 7.9 percentage points compared to the </w:t>
      </w:r>
      <w:r w:rsidR="00B47497">
        <w:t xml:space="preserve">rolling </w:t>
      </w:r>
      <w:r w:rsidRPr="000D3A46">
        <w:t>12 month period.</w:t>
      </w:r>
    </w:p>
    <w:p w14:paraId="375D6112" w14:textId="7FA0B22D" w:rsidR="003D6A80" w:rsidRPr="0037687D" w:rsidRDefault="006914FA" w:rsidP="003D6A80">
      <w:pPr>
        <w:spacing w:before="0" w:after="160" w:line="259" w:lineRule="auto"/>
      </w:pPr>
      <w:r w:rsidRPr="0037687D">
        <w:t>T</w:t>
      </w:r>
      <w:r w:rsidR="003D6A80" w:rsidRPr="0037687D">
        <w:t>he proportion of domestic abuse incidents resulting in a crime has increased in comparison to the previous year</w:t>
      </w:r>
      <w:r w:rsidRPr="0037687D">
        <w:t xml:space="preserve"> by </w:t>
      </w:r>
      <w:r w:rsidR="0037687D" w:rsidRPr="00FF1C4F">
        <w:t>3.7</w:t>
      </w:r>
      <w:r w:rsidRPr="0037687D">
        <w:t xml:space="preserve"> percentage points</w:t>
      </w:r>
      <w:r w:rsidR="003D6A80" w:rsidRPr="0037687D">
        <w:t xml:space="preserve">. </w:t>
      </w:r>
    </w:p>
    <w:p w14:paraId="1461CF86" w14:textId="15CE50A5" w:rsidR="003D6A80" w:rsidRPr="006914FA" w:rsidRDefault="003D6A80" w:rsidP="003D6A80">
      <w:pPr>
        <w:spacing w:before="0" w:after="160" w:line="259" w:lineRule="auto"/>
      </w:pPr>
      <w:r w:rsidRPr="006914FA">
        <w:t xml:space="preserve">Domestic Abuse (Scotland) Act 2018 (DASA) crimes have increased </w:t>
      </w:r>
      <w:r w:rsidR="006914FA" w:rsidRPr="006914FA">
        <w:t>20</w:t>
      </w:r>
      <w:r w:rsidRPr="006914FA">
        <w:t>.</w:t>
      </w:r>
      <w:r w:rsidR="006914FA" w:rsidRPr="006914FA">
        <w:t>2</w:t>
      </w:r>
      <w:r w:rsidRPr="006914FA">
        <w:t xml:space="preserve">% overall with DASA of a female being the main driver for the rise (up </w:t>
      </w:r>
      <w:r w:rsidR="006914FA" w:rsidRPr="006914FA">
        <w:t>18</w:t>
      </w:r>
      <w:r w:rsidRPr="006914FA">
        <w:t>.</w:t>
      </w:r>
      <w:r w:rsidR="006914FA" w:rsidRPr="006914FA">
        <w:t>5</w:t>
      </w:r>
      <w:r w:rsidRPr="006914FA">
        <w:t xml:space="preserve">%, </w:t>
      </w:r>
      <w:r w:rsidR="006914FA" w:rsidRPr="006914FA">
        <w:t>218</w:t>
      </w:r>
      <w:r w:rsidRPr="006914FA">
        <w:t xml:space="preserve"> crimes). DASA crimes over the rolling 12 month period has also increased, up by 2</w:t>
      </w:r>
      <w:r w:rsidR="0027766B">
        <w:t>3.2</w:t>
      </w:r>
      <w:r w:rsidRPr="006914FA">
        <w:t>% overall.</w:t>
      </w:r>
    </w:p>
    <w:p w14:paraId="66E03FF7" w14:textId="77777777" w:rsidR="00C01A4A" w:rsidRDefault="003D6A80" w:rsidP="003D6A80">
      <w:pPr>
        <w:spacing w:before="0" w:after="160" w:line="259" w:lineRule="auto"/>
      </w:pPr>
      <w:bookmarkStart w:id="120" w:name="_Hlk206071841"/>
      <w:r w:rsidRPr="00004AC4">
        <w:t>Disclosure Scheme Domestic Abuse Scotland (DSDAS) applications have increased by 1</w:t>
      </w:r>
      <w:r w:rsidR="00004AC4" w:rsidRPr="00004AC4">
        <w:t>4</w:t>
      </w:r>
      <w:r w:rsidRPr="00004AC4">
        <w:t>.</w:t>
      </w:r>
      <w:r w:rsidR="00004AC4" w:rsidRPr="00004AC4">
        <w:t>4</w:t>
      </w:r>
      <w:r w:rsidRPr="00004AC4">
        <w:t>% compared to the previous year. Both Power to Tell and Right to Ask application types have increased, with Right to Ask increasing by 3</w:t>
      </w:r>
      <w:r w:rsidR="00004AC4" w:rsidRPr="00004AC4">
        <w:t>0</w:t>
      </w:r>
      <w:r w:rsidRPr="00004AC4">
        <w:t>.2% over the period.</w:t>
      </w:r>
    </w:p>
    <w:p w14:paraId="3D0F65BD" w14:textId="22991C52" w:rsidR="003D6A80" w:rsidRPr="00004AC4" w:rsidRDefault="003D6A80" w:rsidP="003D6A80">
      <w:pPr>
        <w:spacing w:before="0" w:after="160" w:line="259" w:lineRule="auto"/>
      </w:pPr>
      <w:r w:rsidRPr="00004AC4">
        <w:t>This increase in DSDAS applications highlights our continued use and greater awareness of the scheme aiding our ability to enhance prevention of domestic abuse in Scotland.</w:t>
      </w:r>
    </w:p>
    <w:bookmarkEnd w:id="119"/>
    <w:p w14:paraId="47934FDD" w14:textId="7E8A28B5" w:rsidR="00B946E3" w:rsidRDefault="000C764F" w:rsidP="00974DED">
      <w:pPr>
        <w:pStyle w:val="KPIPullOutLC"/>
      </w:pPr>
      <w:r>
        <w:t>Violence against women and girls</w:t>
      </w:r>
    </w:p>
    <w:p w14:paraId="796BAF64" w14:textId="410F8FD9" w:rsidR="00E57DC2" w:rsidRDefault="003D3925" w:rsidP="00E57DC2">
      <w:r w:rsidRPr="003D3925">
        <w:rPr>
          <w:noProof/>
        </w:rPr>
        <w:drawing>
          <wp:inline distT="0" distB="0" distL="0" distR="0" wp14:anchorId="182A848C" wp14:editId="3058356B">
            <wp:extent cx="6188710" cy="1155065"/>
            <wp:effectExtent l="0" t="0" r="2540" b="6985"/>
            <wp:docPr id="378617953" name="Picture 1" descr="Violence against Women and Girls Crimes&#10;The first row of this table shows 38,345 VAWG crimes YTD compared to 37,025 PYTD (up 3.6% on PYTD).&#10;The second row of this table shows 17,571 VAWG crimes (domestic) YTD compared to 16,425 PYTD (up 7.0%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7953" name="Picture 1" descr="Violence against Women and Girls Crimes&#10;The first row of this table shows 38,345 VAWG crimes YTD compared to 37,025 PYTD (up 3.6% on PYTD).&#10;The second row of this table shows 17,571 VAWG crimes (domestic) YTD compared to 16,425 PYTD (up 7.0% on PYTD).&#10;"/>
                    <pic:cNvPicPr/>
                  </pic:nvPicPr>
                  <pic:blipFill>
                    <a:blip r:embed="rId56"/>
                    <a:stretch>
                      <a:fillRect/>
                    </a:stretch>
                  </pic:blipFill>
                  <pic:spPr>
                    <a:xfrm>
                      <a:off x="0" y="0"/>
                      <a:ext cx="6188710" cy="1155065"/>
                    </a:xfrm>
                    <a:prstGeom prst="rect">
                      <a:avLst/>
                    </a:prstGeom>
                  </pic:spPr>
                </pic:pic>
              </a:graphicData>
            </a:graphic>
          </wp:inline>
        </w:drawing>
      </w:r>
    </w:p>
    <w:p w14:paraId="68796C42" w14:textId="35B86F76" w:rsidR="00004AC4" w:rsidRPr="00FF1C4F" w:rsidRDefault="00004AC4" w:rsidP="00004AC4">
      <w:pPr>
        <w:spacing w:before="0" w:after="160" w:line="259" w:lineRule="auto"/>
        <w:rPr>
          <w:color w:val="000000" w:themeColor="text1"/>
        </w:rPr>
      </w:pPr>
      <w:r w:rsidRPr="00FF1C4F">
        <w:rPr>
          <w:color w:val="000000" w:themeColor="text1"/>
        </w:rPr>
        <w:lastRenderedPageBreak/>
        <w:t xml:space="preserve">During Quarter 1 </w:t>
      </w:r>
      <w:r w:rsidR="00FC097C" w:rsidRPr="00FF1C4F">
        <w:rPr>
          <w:color w:val="000000" w:themeColor="text1"/>
        </w:rPr>
        <w:t xml:space="preserve">and 2 </w:t>
      </w:r>
      <w:r w:rsidRPr="00FF1C4F">
        <w:rPr>
          <w:color w:val="000000" w:themeColor="text1"/>
        </w:rPr>
        <w:t xml:space="preserve">of 2025/26, crimes of violence against women and girls (VAWG) has increased </w:t>
      </w:r>
      <w:r w:rsidR="00FC097C" w:rsidRPr="00FF1C4F">
        <w:rPr>
          <w:color w:val="000000" w:themeColor="text1"/>
        </w:rPr>
        <w:t>3.6</w:t>
      </w:r>
      <w:r w:rsidRPr="00FF1C4F">
        <w:rPr>
          <w:color w:val="000000" w:themeColor="text1"/>
        </w:rPr>
        <w:t xml:space="preserve">% compared to the previous year. The number of VAWG crimes with a domestic element has increased by </w:t>
      </w:r>
      <w:r w:rsidR="00FC097C" w:rsidRPr="00FF1C4F">
        <w:rPr>
          <w:color w:val="000000" w:themeColor="text1"/>
        </w:rPr>
        <w:t>7.0</w:t>
      </w:r>
      <w:r w:rsidRPr="00FF1C4F">
        <w:rPr>
          <w:color w:val="000000" w:themeColor="text1"/>
        </w:rPr>
        <w:t>% compared to the previous year.</w:t>
      </w:r>
    </w:p>
    <w:bookmarkEnd w:id="120"/>
    <w:p w14:paraId="132A175F" w14:textId="77777777" w:rsidR="00C01A4A" w:rsidRDefault="00004AC4" w:rsidP="00004AC4">
      <w:pPr>
        <w:spacing w:before="0" w:after="160" w:line="259" w:lineRule="auto"/>
        <w:rPr>
          <w:color w:val="000000" w:themeColor="text1"/>
        </w:rPr>
      </w:pPr>
      <w:r w:rsidRPr="00FF1C4F">
        <w:rPr>
          <w:color w:val="000000" w:themeColor="text1"/>
        </w:rPr>
        <w:t>Of all crimes committed against a female victim, 61.</w:t>
      </w:r>
      <w:r w:rsidR="00FC097C" w:rsidRPr="00FF1C4F">
        <w:rPr>
          <w:color w:val="000000" w:themeColor="text1"/>
        </w:rPr>
        <w:t>6</w:t>
      </w:r>
      <w:r w:rsidRPr="00FF1C4F">
        <w:rPr>
          <w:color w:val="000000" w:themeColor="text1"/>
        </w:rPr>
        <w:t xml:space="preserve">% were violent in nature, a slight increase compared to the previous year. This equates to </w:t>
      </w:r>
      <w:r w:rsidR="00FC097C" w:rsidRPr="00FF1C4F">
        <w:rPr>
          <w:color w:val="000000" w:themeColor="text1"/>
        </w:rPr>
        <w:t>an average of</w:t>
      </w:r>
      <w:r w:rsidRPr="00FF1C4F">
        <w:rPr>
          <w:color w:val="000000" w:themeColor="text1"/>
        </w:rPr>
        <w:t xml:space="preserve"> 2</w:t>
      </w:r>
      <w:r w:rsidR="00FC097C" w:rsidRPr="00FF1C4F">
        <w:rPr>
          <w:color w:val="000000" w:themeColor="text1"/>
        </w:rPr>
        <w:t>1</w:t>
      </w:r>
      <w:r w:rsidRPr="00FF1C4F">
        <w:rPr>
          <w:color w:val="000000" w:themeColor="text1"/>
        </w:rPr>
        <w:t>0 crimes of violence being committed against a woman or girl in Scotland each day.</w:t>
      </w:r>
    </w:p>
    <w:p w14:paraId="6D0DE70B" w14:textId="3D5F7C23" w:rsidR="00004AC4" w:rsidRPr="00FF1C4F" w:rsidRDefault="00004AC4" w:rsidP="00004AC4">
      <w:pPr>
        <w:spacing w:before="0" w:after="160" w:line="259" w:lineRule="auto"/>
        <w:rPr>
          <w:color w:val="000000" w:themeColor="text1"/>
        </w:rPr>
      </w:pPr>
      <w:r w:rsidRPr="00FF1C4F">
        <w:rPr>
          <w:color w:val="000000" w:themeColor="text1"/>
        </w:rPr>
        <w:t>Common assault, threatening or abusive behaviour, and sexual assault are the most common crime types committed.</w:t>
      </w:r>
    </w:p>
    <w:p w14:paraId="711E7570" w14:textId="2570338C" w:rsidR="0095513D" w:rsidRDefault="0095513D" w:rsidP="00974DED">
      <w:pPr>
        <w:pStyle w:val="Heading4"/>
      </w:pPr>
      <w:r>
        <w:t>Group 3 Crimes of Dishonesty</w:t>
      </w:r>
    </w:p>
    <w:p w14:paraId="388C3223" w14:textId="363B89D0" w:rsidR="0095513D" w:rsidRDefault="00CC280D" w:rsidP="00974DED">
      <w:pPr>
        <w:pStyle w:val="KPIPullOutLC"/>
      </w:pPr>
      <w:r>
        <w:t>59,572</w:t>
      </w:r>
      <w:r w:rsidRPr="00CC280D">
        <w:t xml:space="preserve"> Crimes of Dishonesty YTD (up </w:t>
      </w:r>
      <w:r>
        <w:t>4.3</w:t>
      </w:r>
      <w:r w:rsidRPr="00CC280D">
        <w:t>%)</w:t>
      </w:r>
    </w:p>
    <w:p w14:paraId="458DFA4B" w14:textId="63EB981E" w:rsidR="00AD5E14" w:rsidRDefault="00ED6EEA" w:rsidP="00A01939">
      <w:pPr>
        <w:rPr>
          <w:noProof/>
        </w:rPr>
      </w:pPr>
      <w:r w:rsidRPr="00ED6EEA">
        <w:rPr>
          <w:noProof/>
        </w:rPr>
        <w:drawing>
          <wp:inline distT="0" distB="0" distL="0" distR="0" wp14:anchorId="6037A8B6" wp14:editId="0FFF193D">
            <wp:extent cx="6188710" cy="1172210"/>
            <wp:effectExtent l="0" t="0" r="2540" b="8890"/>
            <wp:docPr id="1279038331" name="Picture 1" descr="Group 3 Crimes of Dishonesty&#10;The first row of this table shows 59,572 Group 3 crimes YTD compared to 57,094 PYTD (up 4.3% on PYTD); and 113,037 Group 3 crimes in the rolling 12 months period compared to 110,869 in the previous rolling 12 months (up 2.0% on previous period).&#10;The second row shows the detection rate for Group 3 crimes was 35.1% YTD compared to 34.8% PYTD (up 0.3% points on PYTD); and the detection rate for Group 3 crimes was 35.5% in the rolling 12 months period compared to 34.9% in the previous rolling 12 months (up 0.6%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38331" name="Picture 1" descr="Group 3 Crimes of Dishonesty&#10;The first row of this table shows 59,572 Group 3 crimes YTD compared to 57,094 PYTD (up 4.3% on PYTD); and 113,037 Group 3 crimes in the rolling 12 months period compared to 110,869 in the previous rolling 12 months (up 2.0% on previous period).&#10;The second row shows the detection rate for Group 3 crimes was 35.1% YTD compared to 34.8% PYTD (up 0.3% points on PYTD); and the detection rate for Group 3 crimes was 35.5% in the rolling 12 months period compared to 34.9% in the previous rolling 12 months (up 0.6% points on previous period).&#10;"/>
                    <pic:cNvPicPr/>
                  </pic:nvPicPr>
                  <pic:blipFill>
                    <a:blip r:embed="rId57"/>
                    <a:stretch>
                      <a:fillRect/>
                    </a:stretch>
                  </pic:blipFill>
                  <pic:spPr>
                    <a:xfrm>
                      <a:off x="0" y="0"/>
                      <a:ext cx="6188710" cy="1172210"/>
                    </a:xfrm>
                    <a:prstGeom prst="rect">
                      <a:avLst/>
                    </a:prstGeom>
                  </pic:spPr>
                </pic:pic>
              </a:graphicData>
            </a:graphic>
          </wp:inline>
        </w:drawing>
      </w:r>
    </w:p>
    <w:p w14:paraId="6E874157" w14:textId="4BF363FF" w:rsidR="00AD5E14" w:rsidRDefault="00AD5E14" w:rsidP="00AD5E14">
      <w:pPr>
        <w:rPr>
          <w:noProof/>
        </w:rPr>
      </w:pPr>
      <w:r>
        <w:rPr>
          <w:noProof/>
        </w:rPr>
        <w:t>Crimes of Dishonesty have increased 4.3% compared to the same period last year, primarily driven by the rise in Shoplifting offences.</w:t>
      </w:r>
    </w:p>
    <w:p w14:paraId="55E2902E" w14:textId="3BBBE67A" w:rsidR="00AD5E14" w:rsidRDefault="00AD5E14" w:rsidP="00AD5E14">
      <w:pPr>
        <w:rPr>
          <w:noProof/>
        </w:rPr>
      </w:pPr>
      <w:r>
        <w:rPr>
          <w:noProof/>
        </w:rPr>
        <w:t>When Shoplifting is excluded, the remaining Crimes of Dishonesty show a 3.7% decrease.</w:t>
      </w:r>
    </w:p>
    <w:p w14:paraId="7DC829B6" w14:textId="4D39ECC6" w:rsidR="00BC00C0" w:rsidRPr="00A01939" w:rsidRDefault="00AD5E14" w:rsidP="00AD5E14">
      <w:r>
        <w:rPr>
          <w:noProof/>
        </w:rPr>
        <w:t>Shoplifting, Fraud, and Common Theft crimes make up the largest proportion of Crimes of Dishonesty, collectively accounting for 78.2% of all Group 3 crimes YTD.</w:t>
      </w:r>
    </w:p>
    <w:p w14:paraId="0ACFE62F" w14:textId="42FE285B" w:rsidR="00AD5E14" w:rsidRDefault="0095513D" w:rsidP="00974DED">
      <w:pPr>
        <w:pStyle w:val="KPIPullOutLC"/>
      </w:pPr>
      <w:r>
        <w:t>Fraud Crime</w:t>
      </w:r>
      <w:r w:rsidR="00B247E4">
        <w:t xml:space="preserve"> </w:t>
      </w:r>
      <w:r w:rsidR="00C05019">
        <w:t>up 3.4% on PYTD</w:t>
      </w:r>
    </w:p>
    <w:p w14:paraId="7D3A74DF" w14:textId="38D0634F" w:rsidR="00AD5E14" w:rsidRDefault="00ED6EEA" w:rsidP="00A01939">
      <w:pPr>
        <w:rPr>
          <w:noProof/>
        </w:rPr>
      </w:pPr>
      <w:r w:rsidRPr="00ED6EEA">
        <w:rPr>
          <w:noProof/>
        </w:rPr>
        <w:drawing>
          <wp:inline distT="0" distB="0" distL="0" distR="0" wp14:anchorId="2D7EA72A" wp14:editId="51F3DB72">
            <wp:extent cx="6188710" cy="1163955"/>
            <wp:effectExtent l="0" t="0" r="2540" b="0"/>
            <wp:docPr id="161731018" name="Picture 1" descr="Fraud Crimes&#10;The first row of this table shows 7,655 fraud crimes YTD compared to 7,403 PYTD (up 3.4% on PYTD); and 15,294 fraud crimes in the rolling 12 months period compared to 15,482 in the previous rolling 12 months (down 1.2% on previous period).&#10;The second row shows the detection rate for fraud crimes was 17.1% YTD compared to 18.8% PYTD (down 1.7% points on PYTD); and the detection rate for fraud crimes was 18.6% in the rolling 12 months period compared to 18.5% in the previous rolling 12 months (up 0.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1018" name="Picture 1" descr="Fraud Crimes&#10;The first row of this table shows 7,655 fraud crimes YTD compared to 7,403 PYTD (up 3.4% on PYTD); and 15,294 fraud crimes in the rolling 12 months period compared to 15,482 in the previous rolling 12 months (down 1.2% on previous period).&#10;The second row shows the detection rate for fraud crimes was 17.1% YTD compared to 18.8% PYTD (down 1.7% points on PYTD); and the detection rate for fraud crimes was 18.6% in the rolling 12 months period compared to 18.5% in the previous rolling 12 months (up 0.1% points on previous period).&#10;"/>
                    <pic:cNvPicPr/>
                  </pic:nvPicPr>
                  <pic:blipFill>
                    <a:blip r:embed="rId58"/>
                    <a:stretch>
                      <a:fillRect/>
                    </a:stretch>
                  </pic:blipFill>
                  <pic:spPr>
                    <a:xfrm>
                      <a:off x="0" y="0"/>
                      <a:ext cx="6188710" cy="1163955"/>
                    </a:xfrm>
                    <a:prstGeom prst="rect">
                      <a:avLst/>
                    </a:prstGeom>
                  </pic:spPr>
                </pic:pic>
              </a:graphicData>
            </a:graphic>
          </wp:inline>
        </w:drawing>
      </w:r>
    </w:p>
    <w:p w14:paraId="6E6F5683" w14:textId="39EFA492" w:rsidR="00AD5E14" w:rsidRDefault="00697833" w:rsidP="00AD5E14">
      <w:pPr>
        <w:rPr>
          <w:noProof/>
        </w:rPr>
      </w:pPr>
      <w:bookmarkStart w:id="121" w:name="_Hlk213332103"/>
      <w:r>
        <w:rPr>
          <w:noProof/>
        </w:rPr>
        <w:t>During the Quarter 2 period, Fraud crimes increased 3.4% compared to the same period last year</w:t>
      </w:r>
      <w:r w:rsidR="00AD5E14">
        <w:rPr>
          <w:noProof/>
        </w:rPr>
        <w:t>.</w:t>
      </w:r>
      <w:r>
        <w:rPr>
          <w:noProof/>
        </w:rPr>
        <w:t xml:space="preserve"> Despite this rise, levels stabilised overall and remain 6.9% lower than the peak of 8,226 crimes recorded in 2022/23</w:t>
      </w:r>
      <w:bookmarkEnd w:id="121"/>
      <w:r>
        <w:rPr>
          <w:noProof/>
        </w:rPr>
        <w:t>.</w:t>
      </w:r>
    </w:p>
    <w:p w14:paraId="705353B5" w14:textId="0B7B157F" w:rsidR="000F2D90" w:rsidRPr="000F2D90" w:rsidRDefault="000F2D90" w:rsidP="00974DED">
      <w:pPr>
        <w:pStyle w:val="KPIPullOutLC"/>
      </w:pPr>
      <w:r w:rsidRPr="000F2D90">
        <w:t>The Banking Protocol</w:t>
      </w:r>
      <w:r w:rsidR="00E0216B">
        <w:t xml:space="preserve"> </w:t>
      </w:r>
      <w:r w:rsidR="00C05019">
        <w:t>prevented over £600,000 of fraud in Quarter 2</w:t>
      </w:r>
    </w:p>
    <w:p w14:paraId="368C5EF9" w14:textId="7BCB4857" w:rsidR="006320BC" w:rsidRDefault="006320BC" w:rsidP="006320BC">
      <w:pPr>
        <w:spacing w:before="0" w:after="160" w:line="259" w:lineRule="auto"/>
      </w:pPr>
      <w:r>
        <w:t xml:space="preserve">The Banking Protocol is a multi-agency initiative between law enforcement, banking institutions and Trading Standards. Its aim is to identify vulnerable victims at the earliest opportunity, who are in the process of being defrauded of funds from their bank accounts by unscrupulous criminals and to intervene to prevent these crimes. </w:t>
      </w:r>
    </w:p>
    <w:p w14:paraId="422434DF" w14:textId="77777777" w:rsidR="006320BC" w:rsidRDefault="006320BC" w:rsidP="006320BC">
      <w:pPr>
        <w:spacing w:before="0" w:after="160" w:line="259" w:lineRule="auto"/>
      </w:pPr>
      <w:r>
        <w:t xml:space="preserve">If staff suspect customers are being coerced or the transaction is a result of fraud, the transaction is stopped, and Police are contacted. </w:t>
      </w:r>
    </w:p>
    <w:p w14:paraId="4FA85090" w14:textId="5D2B8D19" w:rsidR="006320BC" w:rsidRDefault="006320BC" w:rsidP="006320BC">
      <w:pPr>
        <w:spacing w:before="0" w:after="160" w:line="259" w:lineRule="auto"/>
      </w:pPr>
      <w:bookmarkStart w:id="122" w:name="_Hlk213332157"/>
      <w:r>
        <w:lastRenderedPageBreak/>
        <w:t>In terms of Quarter 2 of the reporting year 2025/26, the Banking Protocol recorded 296 incidents accounting for £615,759 of fraud being prevented.</w:t>
      </w:r>
    </w:p>
    <w:p w14:paraId="072782E1" w14:textId="77777777" w:rsidR="006320BC" w:rsidRDefault="006320BC" w:rsidP="006320BC">
      <w:pPr>
        <w:spacing w:before="0" w:after="160" w:line="259" w:lineRule="auto"/>
      </w:pPr>
      <w:bookmarkStart w:id="123" w:name="_Hlk213332135"/>
      <w:bookmarkEnd w:id="122"/>
      <w:r>
        <w:t xml:space="preserve">This initiative continues to succeed in protecting the vulnerable victims of fraud and its success demonstrates the value of the public / private partnership model. </w:t>
      </w:r>
    </w:p>
    <w:p w14:paraId="11D49EB3" w14:textId="1A6E7966" w:rsidR="006320BC" w:rsidRDefault="006320BC" w:rsidP="006320BC">
      <w:pPr>
        <w:spacing w:before="0" w:after="160" w:line="259" w:lineRule="auto"/>
      </w:pPr>
      <w:bookmarkStart w:id="124" w:name="_Hlk213332181"/>
      <w:bookmarkEnd w:id="123"/>
      <w:r>
        <w:t xml:space="preserve">Since April 2025, there have been 597 incidents accounting for £1,244,232 of fraud prevented. </w:t>
      </w:r>
    </w:p>
    <w:bookmarkEnd w:id="124"/>
    <w:p w14:paraId="689E50B5" w14:textId="4A847E5D" w:rsidR="0095513D" w:rsidRDefault="00614C32" w:rsidP="0095513D">
      <w:pPr>
        <w:spacing w:before="0" w:after="160" w:line="259" w:lineRule="auto"/>
      </w:pPr>
      <w:r>
        <w:t>A recent example during September, an individual attended the branch to transfer £2,800 having just taken out a loan</w:t>
      </w:r>
      <w:r w:rsidR="006320BC">
        <w:t>. The customer wished to transfer to a third party however a Fraud was identified, and the transfer was prevented. A crime report and IVPD was raised.</w:t>
      </w:r>
    </w:p>
    <w:p w14:paraId="1C8B0E04" w14:textId="2984626C" w:rsidR="0095513D" w:rsidRDefault="0095513D" w:rsidP="00974DED">
      <w:pPr>
        <w:pStyle w:val="KPIPullOutLC"/>
      </w:pPr>
      <w:r>
        <w:t xml:space="preserve">Shoplifting </w:t>
      </w:r>
      <w:r w:rsidR="00C05019">
        <w:t>crimes continue to rise (up 16.5% on PYTD)</w:t>
      </w:r>
    </w:p>
    <w:p w14:paraId="1B9E3731" w14:textId="5463B2B7" w:rsidR="00AD5E14" w:rsidRDefault="00ED6EEA" w:rsidP="00BC00C0">
      <w:pPr>
        <w:rPr>
          <w:noProof/>
        </w:rPr>
      </w:pPr>
      <w:r w:rsidRPr="00ED6EEA">
        <w:rPr>
          <w:noProof/>
        </w:rPr>
        <w:drawing>
          <wp:inline distT="0" distB="0" distL="0" distR="0" wp14:anchorId="0FCBF21F" wp14:editId="3AFC5C60">
            <wp:extent cx="6188710" cy="1879600"/>
            <wp:effectExtent l="0" t="0" r="2540" b="6350"/>
            <wp:docPr id="1111687465" name="Picture 1" descr="Retail Crimes&#10;The first row of this table shows 26,556 shoplifting crimes YTD compared to 22,804 PYTD (up 16.5% on PYTD); and 48,695 shoplifting crimes in the rolling 12 months period compared to 42,245 in the previous rolling 12 months (up 15.3% on previous period).&#10;The second row shows 3,560 crimes against retail workers YTD compared to 3,248 PYTD (up 9.6% on PYTD); and 6,527 crimes against retail workers in the rolling 12 months period compared to 5,995 in the previous rolling 12 months (up 8.9% on previous period).&#10;The third row shows the detection rate for shoplifting crimes was 48.5% YTD compared to 48.3% PYTD (up 0.2% points on PYTD); and the detection rate for shoplifting crimes was 49.0% in the rolling 12 months period compared to 50.1% in the previous rolling 12 months (down 1.1% points on previous period).&#10;The fourth row shows the detection rate for crimes against retail workers was 59.8% YTD compared to 61.8% PYTD (down 2.0% points on PYTD); and the detection rate for crimes against retail workers was 60.9% in the rolling 12 months period compared to 62.6% in the previous rolling 12 months (down 1.7%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87465" name="Picture 1" descr="Retail Crimes&#10;The first row of this table shows 26,556 shoplifting crimes YTD compared to 22,804 PYTD (up 16.5% on PYTD); and 48,695 shoplifting crimes in the rolling 12 months period compared to 42,245 in the previous rolling 12 months (up 15.3% on previous period).&#10;The second row shows 3,560 crimes against retail workers YTD compared to 3,248 PYTD (up 9.6% on PYTD); and 6,527 crimes against retail workers in the rolling 12 months period compared to 5,995 in the previous rolling 12 months (up 8.9% on previous period).&#10;The third row shows the detection rate for shoplifting crimes was 48.5% YTD compared to 48.3% PYTD (up 0.2% points on PYTD); and the detection rate for shoplifting crimes was 49.0% in the rolling 12 months period compared to 50.1% in the previous rolling 12 months (down 1.1% points on previous period).&#10;The fourth row shows the detection rate for crimes against retail workers was 59.8% YTD compared to 61.8% PYTD (down 2.0% points on PYTD); and the detection rate for crimes against retail workers was 60.9% in the rolling 12 months period compared to 62.6% in the previous rolling 12 months (down 1.7% points on previous period).&#10;"/>
                    <pic:cNvPicPr/>
                  </pic:nvPicPr>
                  <pic:blipFill>
                    <a:blip r:embed="rId59"/>
                    <a:stretch>
                      <a:fillRect/>
                    </a:stretch>
                  </pic:blipFill>
                  <pic:spPr>
                    <a:xfrm>
                      <a:off x="0" y="0"/>
                      <a:ext cx="6188710" cy="1879600"/>
                    </a:xfrm>
                    <a:prstGeom prst="rect">
                      <a:avLst/>
                    </a:prstGeom>
                  </pic:spPr>
                </pic:pic>
              </a:graphicData>
            </a:graphic>
          </wp:inline>
        </w:drawing>
      </w:r>
    </w:p>
    <w:p w14:paraId="13AD3F79" w14:textId="5173E38C" w:rsidR="00AB6F35" w:rsidRDefault="00AB6F35" w:rsidP="00AB6F35">
      <w:pPr>
        <w:spacing w:before="0" w:after="160" w:line="259" w:lineRule="auto"/>
      </w:pPr>
      <w:bookmarkStart w:id="125" w:name="_Hlk204768791"/>
      <w:r>
        <w:t>Shoplifting has continued to increase over recent years, remaining at an all-time high and now accounting for 44.</w:t>
      </w:r>
      <w:r w:rsidR="008B7D30">
        <w:t>6</w:t>
      </w:r>
      <w:r>
        <w:t xml:space="preserve">% of all Crimes of Dishonesty.  </w:t>
      </w:r>
    </w:p>
    <w:p w14:paraId="7868AF97" w14:textId="4935998E" w:rsidR="00AB6F35" w:rsidRDefault="00AB6F35" w:rsidP="00AB6F35">
      <w:pPr>
        <w:spacing w:before="0" w:after="160" w:line="259" w:lineRule="auto"/>
      </w:pPr>
      <w:bookmarkStart w:id="126" w:name="_Hlk213332239"/>
      <w:r>
        <w:t xml:space="preserve">Common Assault of a Retail Worker has increased </w:t>
      </w:r>
      <w:r w:rsidR="00783E51">
        <w:t>8.5</w:t>
      </w:r>
      <w:r>
        <w:t>% (</w:t>
      </w:r>
      <w:r w:rsidR="00783E51">
        <w:t>128</w:t>
      </w:r>
      <w:r>
        <w:t xml:space="preserve"> crimes) compared to the same period last year and Serious Assault of a Retail Worker has </w:t>
      </w:r>
      <w:r w:rsidR="00783E51">
        <w:t>increased 150%</w:t>
      </w:r>
      <w:r>
        <w:t xml:space="preserve"> </w:t>
      </w:r>
      <w:r w:rsidR="00783E51">
        <w:t xml:space="preserve">from </w:t>
      </w:r>
      <w:r>
        <w:t>four crimes</w:t>
      </w:r>
      <w:r w:rsidR="00783E51">
        <w:t xml:space="preserve"> to ten crimes</w:t>
      </w:r>
      <w:r>
        <w:t xml:space="preserve">. </w:t>
      </w:r>
    </w:p>
    <w:p w14:paraId="63251B41" w14:textId="3BBDB3CE" w:rsidR="00AB6F35" w:rsidRDefault="00AB6F35" w:rsidP="00AB6F35">
      <w:pPr>
        <w:spacing w:before="0" w:after="160" w:line="259" w:lineRule="auto"/>
      </w:pPr>
      <w:r>
        <w:t xml:space="preserve">Threatening or Abusive Behaviour of a Retail Worker continue to make up the majority of these crimes with </w:t>
      </w:r>
      <w:r w:rsidR="00783E51">
        <w:t>1,913</w:t>
      </w:r>
      <w:r>
        <w:t xml:space="preserve"> crimes in Quarter </w:t>
      </w:r>
      <w:r w:rsidR="00783E51">
        <w:t>2</w:t>
      </w:r>
      <w:r>
        <w:t xml:space="preserve">, a </w:t>
      </w:r>
      <w:r w:rsidR="00783E51">
        <w:t>10.3</w:t>
      </w:r>
      <w:r>
        <w:t>% increase on last year.</w:t>
      </w:r>
    </w:p>
    <w:p w14:paraId="672D81BC" w14:textId="67CBC90F" w:rsidR="002B47CF" w:rsidRPr="00B54ED2" w:rsidRDefault="00EB52E6" w:rsidP="00AB6F35">
      <w:pPr>
        <w:spacing w:before="0" w:after="160" w:line="259" w:lineRule="auto"/>
      </w:pPr>
      <w:r>
        <w:t>The</w:t>
      </w:r>
      <w:r w:rsidR="00AB6F35">
        <w:t xml:space="preserve"> detection rate for Crimes Against Retail Workers has </w:t>
      </w:r>
      <w:r>
        <w:t>decreased</w:t>
      </w:r>
      <w:r w:rsidR="00AB6F35">
        <w:t xml:space="preserve"> </w:t>
      </w:r>
      <w:r>
        <w:t>to 59.8</w:t>
      </w:r>
      <w:r w:rsidR="00AB6F35">
        <w:t>% d</w:t>
      </w:r>
      <w:r>
        <w:t>espite</w:t>
      </w:r>
      <w:r w:rsidR="00AB6F35">
        <w:t xml:space="preserve"> a </w:t>
      </w:r>
      <w:r>
        <w:t>5.0</w:t>
      </w:r>
      <w:r w:rsidR="00AB6F35">
        <w:t>% increase in detection</w:t>
      </w:r>
      <w:r>
        <w:t>s</w:t>
      </w:r>
      <w:bookmarkEnd w:id="126"/>
      <w: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B54ED2" w:rsidRPr="0003495F" w14:paraId="459392F3" w14:textId="77777777" w:rsidTr="007E1A06">
        <w:trPr>
          <w:trHeight w:val="680"/>
          <w:tblHeader/>
        </w:trPr>
        <w:tc>
          <w:tcPr>
            <w:tcW w:w="9862" w:type="dxa"/>
            <w:shd w:val="clear" w:color="auto" w:fill="1F3864" w:themeFill="accent5" w:themeFillShade="80"/>
            <w:vAlign w:val="center"/>
            <w:hideMark/>
          </w:tcPr>
          <w:p w14:paraId="53001788" w14:textId="2A8EFE5C" w:rsidR="00B54ED2" w:rsidRPr="00366718" w:rsidRDefault="00B54ED2" w:rsidP="007E1A06">
            <w:pPr>
              <w:pStyle w:val="CaseHeaderLeft"/>
              <w:rPr>
                <w:color w:val="FFFFFF" w:themeColor="background1"/>
              </w:rPr>
            </w:pPr>
            <w:bookmarkStart w:id="127" w:name="PP4RetailCrime"/>
            <w:bookmarkEnd w:id="125"/>
            <w:bookmarkEnd w:id="127"/>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Retail Crime Taskforce</w:t>
            </w:r>
            <w:r w:rsidR="00722580">
              <w:rPr>
                <w:color w:val="FFFFFF" w:themeColor="background1"/>
              </w:rPr>
              <w:t xml:space="preserve"> (RCTF)</w:t>
            </w:r>
          </w:p>
        </w:tc>
      </w:tr>
      <w:tr w:rsidR="00B54ED2" w:rsidRPr="0003495F" w14:paraId="5592D172" w14:textId="77777777" w:rsidTr="007E1A06">
        <w:trPr>
          <w:trHeight w:val="680"/>
        </w:trPr>
        <w:tc>
          <w:tcPr>
            <w:tcW w:w="9862" w:type="dxa"/>
            <w:shd w:val="clear" w:color="auto" w:fill="FFF2CC" w:themeFill="accent4" w:themeFillTint="33"/>
            <w:vAlign w:val="center"/>
            <w:hideMark/>
          </w:tcPr>
          <w:p w14:paraId="5EAE0A30" w14:textId="211C5AB8" w:rsidR="00BC3430" w:rsidRDefault="00BC3430" w:rsidP="00BC3430">
            <w:pPr>
              <w:pStyle w:val="CaseBodyLeft"/>
              <w:rPr>
                <w:color w:val="000000" w:themeColor="text1"/>
              </w:rPr>
            </w:pPr>
            <w:bookmarkStart w:id="128" w:name="_Hlk213332288"/>
            <w:r w:rsidRPr="00BC3430">
              <w:rPr>
                <w:color w:val="000000" w:themeColor="text1"/>
              </w:rPr>
              <w:t xml:space="preserve">Police Scotland has established a dedicated unit to tackle retail crime across the country. The Retail Crime Taskforce </w:t>
            </w:r>
            <w:r>
              <w:rPr>
                <w:color w:val="000000" w:themeColor="text1"/>
              </w:rPr>
              <w:t>is</w:t>
            </w:r>
            <w:r w:rsidRPr="00BC3430">
              <w:rPr>
                <w:color w:val="000000" w:themeColor="text1"/>
              </w:rPr>
              <w:t xml:space="preserve"> now fully embedded and progressing key workstreams aligned to the 4Ps</w:t>
            </w:r>
            <w:r>
              <w:rPr>
                <w:color w:val="000000" w:themeColor="text1"/>
              </w:rPr>
              <w:t xml:space="preserve"> (Prevent, Pursue, Protect, Prepare)</w:t>
            </w:r>
            <w:r w:rsidRPr="00BC3430">
              <w:rPr>
                <w:color w:val="000000" w:themeColor="text1"/>
              </w:rPr>
              <w:t xml:space="preserve"> approach and bespoke workplan</w:t>
            </w:r>
            <w:bookmarkEnd w:id="128"/>
            <w:r w:rsidRPr="00BC3430">
              <w:rPr>
                <w:color w:val="000000" w:themeColor="text1"/>
              </w:rPr>
              <w:t>.</w:t>
            </w:r>
          </w:p>
          <w:p w14:paraId="677343D8" w14:textId="01E58F10" w:rsidR="00BC3430" w:rsidRPr="00BC3430" w:rsidRDefault="00BC3430" w:rsidP="00BC3430">
            <w:pPr>
              <w:pStyle w:val="CaseBodyLeft"/>
              <w:rPr>
                <w:color w:val="000000" w:themeColor="text1"/>
              </w:rPr>
            </w:pPr>
            <w:bookmarkStart w:id="129" w:name="_Hlk213332304"/>
            <w:r w:rsidRPr="00BC3430">
              <w:rPr>
                <w:color w:val="000000" w:themeColor="text1"/>
              </w:rPr>
              <w:t>Over 500 shopliftings and Protection of Retail Workers Act offences have been detected as a result of Retail Crime Taskforce supported activity in the last six months.</w:t>
            </w:r>
          </w:p>
          <w:p w14:paraId="0948B724" w14:textId="77777777" w:rsidR="00B54ED2" w:rsidRDefault="00BC3430" w:rsidP="00BC3430">
            <w:pPr>
              <w:pStyle w:val="CaseBodyLeft"/>
              <w:rPr>
                <w:color w:val="000000" w:themeColor="text1"/>
              </w:rPr>
            </w:pPr>
            <w:r w:rsidRPr="00BC3430">
              <w:rPr>
                <w:color w:val="000000" w:themeColor="text1"/>
              </w:rPr>
              <w:lastRenderedPageBreak/>
              <w:t>In total 352 shopliftings across the country have been detected, as part of this work along with 157 retail worker offences, including assaults.</w:t>
            </w:r>
            <w:r>
              <w:rPr>
                <w:color w:val="000000" w:themeColor="text1"/>
              </w:rPr>
              <w:t xml:space="preserve"> </w:t>
            </w:r>
            <w:r w:rsidRPr="00BC3430">
              <w:rPr>
                <w:color w:val="000000" w:themeColor="text1"/>
              </w:rPr>
              <w:t>Sixty-five arrests have been made as a result of Taskforce supported activity.</w:t>
            </w:r>
          </w:p>
          <w:bookmarkEnd w:id="129"/>
          <w:p w14:paraId="24970725" w14:textId="468049EA" w:rsidR="00BC3430" w:rsidRPr="00BC3430" w:rsidRDefault="00BC3430" w:rsidP="00BC3430">
            <w:pPr>
              <w:pStyle w:val="CaseBodyLeft"/>
              <w:rPr>
                <w:color w:val="000000" w:themeColor="text1"/>
              </w:rPr>
            </w:pPr>
            <w:r w:rsidRPr="00BC3430">
              <w:rPr>
                <w:color w:val="000000" w:themeColor="text1"/>
              </w:rPr>
              <w:t xml:space="preserve">On 26 August </w:t>
            </w:r>
            <w:r w:rsidR="00297B08">
              <w:rPr>
                <w:color w:val="000000" w:themeColor="text1"/>
              </w:rPr>
              <w:t xml:space="preserve">2025 </w:t>
            </w:r>
            <w:r w:rsidRPr="00BC3430">
              <w:rPr>
                <w:color w:val="000000" w:themeColor="text1"/>
              </w:rPr>
              <w:t>the City Centre Community Policing Team</w:t>
            </w:r>
            <w:r>
              <w:rPr>
                <w:color w:val="000000" w:themeColor="text1"/>
              </w:rPr>
              <w:t xml:space="preserve"> </w:t>
            </w:r>
            <w:r w:rsidRPr="00BC3430">
              <w:rPr>
                <w:color w:val="000000" w:themeColor="text1"/>
              </w:rPr>
              <w:t>worked with Retailers Against Crime (RAC) to deliver a Day</w:t>
            </w:r>
            <w:r>
              <w:rPr>
                <w:color w:val="000000" w:themeColor="text1"/>
              </w:rPr>
              <w:t xml:space="preserve"> </w:t>
            </w:r>
            <w:r w:rsidRPr="00BC3430">
              <w:rPr>
                <w:color w:val="000000" w:themeColor="text1"/>
              </w:rPr>
              <w:t>of Action. This resulted in:</w:t>
            </w:r>
          </w:p>
          <w:p w14:paraId="50F9DAB3" w14:textId="77777777" w:rsidR="00BC3430" w:rsidRPr="00BC3430" w:rsidRDefault="00BC3430" w:rsidP="007B2719">
            <w:pPr>
              <w:pStyle w:val="Bullets"/>
            </w:pPr>
            <w:r w:rsidRPr="00BC3430">
              <w:t>7 arrests, 4 of which were for shoplifting</w:t>
            </w:r>
          </w:p>
          <w:p w14:paraId="1C47F114" w14:textId="77777777" w:rsidR="00BC3430" w:rsidRPr="00BC3430" w:rsidRDefault="00BC3430" w:rsidP="007B2719">
            <w:pPr>
              <w:pStyle w:val="Bullets"/>
            </w:pPr>
            <w:r w:rsidRPr="00BC3430">
              <w:t>12 stop searches conducted</w:t>
            </w:r>
          </w:p>
          <w:p w14:paraId="0EF83CE6" w14:textId="77777777" w:rsidR="00BC3430" w:rsidRPr="00BC3430" w:rsidRDefault="00BC3430" w:rsidP="007B2719">
            <w:pPr>
              <w:pStyle w:val="Bullets"/>
            </w:pPr>
            <w:r w:rsidRPr="00BC3430">
              <w:t>Numerous intelligence logs submitted</w:t>
            </w:r>
          </w:p>
          <w:p w14:paraId="6444F29C" w14:textId="77777777" w:rsidR="00BC3430" w:rsidRPr="00BC3430" w:rsidRDefault="00BC3430" w:rsidP="007B2719">
            <w:pPr>
              <w:pStyle w:val="Bullets"/>
            </w:pPr>
            <w:r w:rsidRPr="00BC3430">
              <w:t>15 proactive visits to retail premises</w:t>
            </w:r>
          </w:p>
          <w:p w14:paraId="441C2735" w14:textId="77777777" w:rsidR="00BC3430" w:rsidRPr="00BC3430" w:rsidRDefault="00BC3430" w:rsidP="007B2719">
            <w:pPr>
              <w:pStyle w:val="Bullets"/>
            </w:pPr>
            <w:r w:rsidRPr="00BC3430">
              <w:t>3 crime reports raised for Protection of Workers offences</w:t>
            </w:r>
          </w:p>
          <w:p w14:paraId="0719029C" w14:textId="77777777" w:rsidR="00BC3430" w:rsidRPr="00BC3430" w:rsidRDefault="00BC3430" w:rsidP="007B2719">
            <w:pPr>
              <w:pStyle w:val="Bullets"/>
            </w:pPr>
            <w:r w:rsidRPr="00BC3430">
              <w:t>1 crime report raised for another matter</w:t>
            </w:r>
          </w:p>
          <w:p w14:paraId="6585D2CB" w14:textId="77777777" w:rsidR="00BC3430" w:rsidRPr="00BC3430" w:rsidRDefault="00BC3430" w:rsidP="007B2719">
            <w:pPr>
              <w:pStyle w:val="Bullets"/>
            </w:pPr>
            <w:r w:rsidRPr="00BC3430">
              <w:t>1 warning issued for noise</w:t>
            </w:r>
          </w:p>
          <w:p w14:paraId="7B004CE4" w14:textId="59F49175" w:rsidR="00B54ED2" w:rsidRPr="00D87D1B" w:rsidRDefault="00BC3430" w:rsidP="007B2719">
            <w:pPr>
              <w:pStyle w:val="Bullets"/>
            </w:pPr>
            <w:r w:rsidRPr="00BC3430">
              <w:t>2 missing persons traced and returned home</w:t>
            </w:r>
          </w:p>
        </w:tc>
      </w:tr>
    </w:tbl>
    <w:p w14:paraId="1D24123C" w14:textId="0A9B19DE" w:rsidR="0095513D" w:rsidRDefault="0095513D" w:rsidP="00974DED">
      <w:pPr>
        <w:pStyle w:val="Heading4"/>
      </w:pPr>
      <w:r>
        <w:lastRenderedPageBreak/>
        <w:t>Group 4 Damage and Reckless Behaviour</w:t>
      </w:r>
    </w:p>
    <w:p w14:paraId="28361F85" w14:textId="214DD182" w:rsidR="00FC2B2F" w:rsidRPr="00FC2B2F" w:rsidRDefault="00026D59" w:rsidP="00974DED">
      <w:pPr>
        <w:pStyle w:val="KPIPullOutLC"/>
      </w:pPr>
      <w:r>
        <w:t>S</w:t>
      </w:r>
      <w:r w:rsidR="008731B0">
        <w:t>light</w:t>
      </w:r>
      <w:r>
        <w:t xml:space="preserve"> YTD decrease in </w:t>
      </w:r>
      <w:r w:rsidR="00FC2B2F">
        <w:t>Group 4 crime</w:t>
      </w:r>
      <w:r>
        <w:t>s</w:t>
      </w:r>
    </w:p>
    <w:p w14:paraId="18481231" w14:textId="00E135FB" w:rsidR="003F6CC7" w:rsidRDefault="00ED6EEA" w:rsidP="00026D59">
      <w:pPr>
        <w:spacing w:before="0" w:after="160" w:line="259" w:lineRule="auto"/>
      </w:pPr>
      <w:r w:rsidRPr="00ED6EEA">
        <w:rPr>
          <w:noProof/>
        </w:rPr>
        <w:drawing>
          <wp:inline distT="0" distB="0" distL="0" distR="0" wp14:anchorId="5AE0A178" wp14:editId="5EB40F36">
            <wp:extent cx="6188710" cy="1149985"/>
            <wp:effectExtent l="0" t="0" r="2540" b="0"/>
            <wp:docPr id="336747369" name="Picture 1" descr="Group 4 Damage and Reckless Behaviour Crimes&#10;The first row of this table shows 20,256 Group 4 crimes YTD compared to 20,421 PYTD (down 0.8% on PYTD); and 38,616 Group 4 crimes in the rolling 12 months period compared to 39,782 in the previous rolling 12 months (down 2.9% on previous period).&#10;The second row shows the detection rate for Group 4 crimes was 32.3% YTD compared to 31.1% PYTD (up 1.2% points on PYTD); and the detection rate for Group 4 crimes was 31.7% in the rolling 12 months period compared to 30.6% in the previous rolling 12 months (up 1.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7369" name="Picture 1" descr="Group 4 Damage and Reckless Behaviour Crimes&#10;The first row of this table shows 20,256 Group 4 crimes YTD compared to 20,421 PYTD (down 0.8% on PYTD); and 38,616 Group 4 crimes in the rolling 12 months period compared to 39,782 in the previous rolling 12 months (down 2.9% on previous period).&#10;The second row shows the detection rate for Group 4 crimes was 32.3% YTD compared to 31.1% PYTD (up 1.2% points on PYTD); and the detection rate for Group 4 crimes was 31.7% in the rolling 12 months period compared to 30.6% in the previous rolling 12 months (up 1.1% points on previous period).&#10;"/>
                    <pic:cNvPicPr/>
                  </pic:nvPicPr>
                  <pic:blipFill>
                    <a:blip r:embed="rId60"/>
                    <a:stretch>
                      <a:fillRect/>
                    </a:stretch>
                  </pic:blipFill>
                  <pic:spPr>
                    <a:xfrm>
                      <a:off x="0" y="0"/>
                      <a:ext cx="6188710" cy="1149985"/>
                    </a:xfrm>
                    <a:prstGeom prst="rect">
                      <a:avLst/>
                    </a:prstGeom>
                  </pic:spPr>
                </pic:pic>
              </a:graphicData>
            </a:graphic>
          </wp:inline>
        </w:drawing>
      </w:r>
    </w:p>
    <w:p w14:paraId="46FDA65F" w14:textId="2900A1B3" w:rsidR="00026D59" w:rsidRDefault="00026D59" w:rsidP="00026D59">
      <w:pPr>
        <w:spacing w:before="0" w:after="160" w:line="259" w:lineRule="auto"/>
      </w:pPr>
      <w:r>
        <w:t>The volume of Group 4 crimes have decreased by 165 crimes in the YTD compared to the previous year, a decrease of 0.8%. There has also been a decrease in the rolling 12 month figures, with 1,166 fewer crimes than the corresponding 12 month period. Small increases are noted in the detection rates comparisons across both time periods.</w:t>
      </w:r>
    </w:p>
    <w:p w14:paraId="26DBF347" w14:textId="77777777" w:rsidR="00B035F1" w:rsidRDefault="00026D59" w:rsidP="00026D59">
      <w:pPr>
        <w:spacing w:before="0" w:after="160" w:line="259" w:lineRule="auto"/>
      </w:pPr>
      <w:bookmarkStart w:id="130" w:name="_Hlk213332529"/>
      <w:r>
        <w:t xml:space="preserve">The main </w:t>
      </w:r>
      <w:r w:rsidR="00BD7DA3">
        <w:t xml:space="preserve">factor </w:t>
      </w:r>
      <w:r>
        <w:t>is a drop in the number of vandalism crimes recorde</w:t>
      </w:r>
      <w:r w:rsidR="00BD7DA3">
        <w:t xml:space="preserve">d (down 3.3%, 577 fewer crimes) in the YTD comparison, </w:t>
      </w:r>
      <w:r w:rsidR="00B035F1">
        <w:t>which is down considerably in both the North and West regions</w:t>
      </w:r>
      <w:r w:rsidR="00BD7DA3">
        <w:t>.</w:t>
      </w:r>
    </w:p>
    <w:p w14:paraId="6B23615A" w14:textId="77777777" w:rsidR="007D7499" w:rsidRDefault="00BD7DA3" w:rsidP="00026D59">
      <w:pPr>
        <w:spacing w:before="0" w:after="160" w:line="259" w:lineRule="auto"/>
      </w:pPr>
      <w:bookmarkStart w:id="131" w:name="_Hlk213332545"/>
      <w:bookmarkEnd w:id="130"/>
      <w:r>
        <w:t>Increases continue however to be noted in</w:t>
      </w:r>
      <w:r w:rsidR="00026D59">
        <w:t xml:space="preserve"> Fireraising (up </w:t>
      </w:r>
      <w:r>
        <w:t>16.8</w:t>
      </w:r>
      <w:r w:rsidR="00026D59">
        <w:t xml:space="preserve">%, </w:t>
      </w:r>
      <w:r>
        <w:t>217</w:t>
      </w:r>
      <w:r w:rsidR="00026D59">
        <w:t xml:space="preserve"> more crimes), </w:t>
      </w:r>
      <w:r w:rsidR="00B21AD7">
        <w:t>primarily due to a combination of serious organised crime activity and youth antisocial behaviour</w:t>
      </w:r>
      <w:bookmarkEnd w:id="131"/>
      <w:r w:rsidR="00B21AD7">
        <w:t>.</w:t>
      </w:r>
    </w:p>
    <w:p w14:paraId="1CBDA861" w14:textId="143A43B2" w:rsidR="0095513D" w:rsidRDefault="00026D59" w:rsidP="00026D59">
      <w:pPr>
        <w:spacing w:before="0" w:after="160" w:line="259" w:lineRule="auto"/>
      </w:pPr>
      <w:bookmarkStart w:id="132" w:name="_Hlk213332561"/>
      <w:r>
        <w:t xml:space="preserve">Culpable &amp; reckless conduct – not firearms (up </w:t>
      </w:r>
      <w:r w:rsidR="00BD7DA3">
        <w:t>9.6</w:t>
      </w:r>
      <w:r>
        <w:t>%, 1</w:t>
      </w:r>
      <w:r w:rsidR="00BD7DA3">
        <w:t xml:space="preserve">33 </w:t>
      </w:r>
      <w:r>
        <w:t xml:space="preserve">more crimes) and Other Group 4 crimes (up </w:t>
      </w:r>
      <w:r w:rsidR="00BD7DA3">
        <w:t>244.8</w:t>
      </w:r>
      <w:r>
        <w:t xml:space="preserve">%, </w:t>
      </w:r>
      <w:r w:rsidR="00BD7DA3">
        <w:t>71</w:t>
      </w:r>
      <w:r>
        <w:t xml:space="preserve"> more crimes)</w:t>
      </w:r>
      <w:r w:rsidR="00D51C7B">
        <w:t xml:space="preserve"> have also both increased on PYTD</w:t>
      </w:r>
      <w:r>
        <w:t>.</w:t>
      </w:r>
    </w:p>
    <w:bookmarkEnd w:id="132"/>
    <w:p w14:paraId="2B42D0A2" w14:textId="0EE4B9ED" w:rsidR="0095513D" w:rsidRDefault="0095513D" w:rsidP="00974DED">
      <w:pPr>
        <w:pStyle w:val="Heading4"/>
      </w:pPr>
      <w:r>
        <w:lastRenderedPageBreak/>
        <w:t>Group 5 Crimes Against Society</w:t>
      </w:r>
    </w:p>
    <w:p w14:paraId="39061B8B" w14:textId="6054A744" w:rsidR="00C8159D" w:rsidRDefault="00C8159D" w:rsidP="00974DED">
      <w:pPr>
        <w:pStyle w:val="KPIPullOutLC"/>
      </w:pPr>
      <w:r>
        <w:t>Group 5 Crime</w:t>
      </w:r>
      <w:r w:rsidR="00BD7DA3">
        <w:t>s up 9.4% on PYTD</w:t>
      </w:r>
    </w:p>
    <w:p w14:paraId="76DCD3D8" w14:textId="19B47E74" w:rsidR="00BC00C0" w:rsidRPr="00D400BD" w:rsidRDefault="003D3925" w:rsidP="00D400BD">
      <w:r w:rsidRPr="003D3925">
        <w:rPr>
          <w:noProof/>
        </w:rPr>
        <w:drawing>
          <wp:inline distT="0" distB="0" distL="0" distR="0" wp14:anchorId="50BDB704" wp14:editId="59941543">
            <wp:extent cx="6188710" cy="1155065"/>
            <wp:effectExtent l="0" t="0" r="2540" b="6985"/>
            <wp:docPr id="1772396595" name="Picture 1" descr="Group 5 Crimes Against Society&#10;The first row of this table shows 34,945 Group 5 crimes YTD compared to 31,944 PYTD (up 9.4% on PYTD); and 65,780 Group 5 crimes in the rolling 12 months period compared to 60,617 in the previous rolling 12 months (up 8.5% on previous period).&#10;The second row shows the detection rate for Group 5 crimes was 90.3% YTD compared to 94.4% PYTD (down 4.0% points on PYTD); and the detection rate for Group 5 crimes was 92.5% in the rolling 12 months period compared to 94.5% in the previous rolling 12 months (down 2.0%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96595" name="Picture 1" descr="Group 5 Crimes Against Society&#10;The first row of this table shows 34,945 Group 5 crimes YTD compared to 31,944 PYTD (up 9.4% on PYTD); and 65,780 Group 5 crimes in the rolling 12 months period compared to 60,617 in the previous rolling 12 months (up 8.5% on previous period).&#10;The second row shows the detection rate for Group 5 crimes was 90.3% YTD compared to 94.4% PYTD (down 4.0% points on PYTD); and the detection rate for Group 5 crimes was 92.5% in the rolling 12 months period compared to 94.5% in the previous rolling 12 months (down 2.0% points on previous period).&#10;"/>
                    <pic:cNvPicPr/>
                  </pic:nvPicPr>
                  <pic:blipFill>
                    <a:blip r:embed="rId61"/>
                    <a:stretch>
                      <a:fillRect/>
                    </a:stretch>
                  </pic:blipFill>
                  <pic:spPr>
                    <a:xfrm>
                      <a:off x="0" y="0"/>
                      <a:ext cx="6188710" cy="1155065"/>
                    </a:xfrm>
                    <a:prstGeom prst="rect">
                      <a:avLst/>
                    </a:prstGeom>
                  </pic:spPr>
                </pic:pic>
              </a:graphicData>
            </a:graphic>
          </wp:inline>
        </w:drawing>
      </w:r>
    </w:p>
    <w:p w14:paraId="0E05B35C" w14:textId="77777777" w:rsidR="006A3A90" w:rsidRDefault="006A3A90" w:rsidP="00BD7DA3">
      <w:bookmarkStart w:id="133" w:name="_Hlk213332600"/>
      <w:r w:rsidRPr="006A3A90">
        <w:t>Policing proactivity has a positive impact on the crime types within Group 5 crimes, with YTD increases noted in 12 of the 13 local policing divisions</w:t>
      </w:r>
      <w:bookmarkEnd w:id="133"/>
      <w:r w:rsidRPr="006A3A90">
        <w:t>. This is particularly prevalent for bail offences, bringing drugs into prison, offences relating to serious and organised crime, other crimes against public justice and other crimes against society.</w:t>
      </w:r>
    </w:p>
    <w:p w14:paraId="43760602" w14:textId="20E435F6" w:rsidR="00BD7DA3" w:rsidRDefault="00BD7DA3" w:rsidP="00BD7DA3">
      <w:r>
        <w:t>The number of Group 5 crimes has increased by 3,001 compared to the PYTD, an increase of 9.4%. There has also been an increase in the rolling 12 month figures, with 5,163 more crimes than the previous 12 month period.</w:t>
      </w:r>
      <w:r w:rsidR="00DB68DC">
        <w:t xml:space="preserve"> </w:t>
      </w:r>
    </w:p>
    <w:p w14:paraId="21D15B16" w14:textId="0CADC9A7" w:rsidR="00BD7DA3" w:rsidRDefault="00BD7DA3" w:rsidP="00BD7DA3">
      <w:bookmarkStart w:id="134" w:name="_Hlk213332643"/>
      <w:r>
        <w:t xml:space="preserve">Drugs offences feature prominently amongst the main drivers for this increase. Production, manufacture or cultivation of drugs is up 19.0% on PYTD (40 more crimes); Supply of drugs is up 20.2% (367 more crimes); Bringing drugs into prison is up </w:t>
      </w:r>
      <w:r w:rsidR="00DB68DC">
        <w:t>48.3</w:t>
      </w:r>
      <w:r>
        <w:t>% (</w:t>
      </w:r>
      <w:r w:rsidR="00DB68DC">
        <w:t>28</w:t>
      </w:r>
      <w:r>
        <w:t xml:space="preserve"> more crimes); Other drugs offences is up </w:t>
      </w:r>
      <w:r w:rsidR="00DB68DC">
        <w:t>10.4</w:t>
      </w:r>
      <w:r>
        <w:t>% (</w:t>
      </w:r>
      <w:r w:rsidR="00DB68DC">
        <w:t>seven</w:t>
      </w:r>
      <w:r>
        <w:t xml:space="preserve"> more crimes); and Possession of drugs is up </w:t>
      </w:r>
      <w:r w:rsidR="00DB68DC">
        <w:t>3.7</w:t>
      </w:r>
      <w:r>
        <w:t>% (</w:t>
      </w:r>
      <w:r w:rsidR="00DB68DC">
        <w:t>379</w:t>
      </w:r>
      <w:r>
        <w:t xml:space="preserve"> more crimes).</w:t>
      </w:r>
    </w:p>
    <w:p w14:paraId="63D7505C" w14:textId="27AFDDFF" w:rsidR="00C8159D" w:rsidRDefault="00BD7DA3" w:rsidP="00BD7DA3">
      <w:bookmarkStart w:id="135" w:name="_Hlk213332655"/>
      <w:bookmarkEnd w:id="134"/>
      <w:r>
        <w:t xml:space="preserve">Other crimes against public justice also note an increase of </w:t>
      </w:r>
      <w:r w:rsidR="00DB68DC">
        <w:t>16.9</w:t>
      </w:r>
      <w:r>
        <w:t>% (</w:t>
      </w:r>
      <w:r w:rsidR="00DB68DC">
        <w:t>1,163</w:t>
      </w:r>
      <w:r>
        <w:t xml:space="preserve"> more crimes). This crime type is impacted by increased offending for Failing to appear after undertaking to police; General attempts to defeat/pervert the course ends of justice; and resisting arrest</w:t>
      </w:r>
      <w:bookmarkEnd w:id="135"/>
      <w:r>
        <w:t>.</w:t>
      </w:r>
    </w:p>
    <w:p w14:paraId="3D4A91E5" w14:textId="11DA6443" w:rsidR="0095513D" w:rsidRDefault="00E42E48" w:rsidP="00974DED">
      <w:pPr>
        <w:pStyle w:val="KPIPullOutLC"/>
      </w:pPr>
      <w:r>
        <w:t xml:space="preserve">20.2% increase in </w:t>
      </w:r>
      <w:r w:rsidR="0095513D">
        <w:t xml:space="preserve">Supply of </w:t>
      </w:r>
      <w:r w:rsidR="003644F7">
        <w:t>d</w:t>
      </w:r>
      <w:r w:rsidR="0095513D">
        <w:t>rugs</w:t>
      </w:r>
      <w:r w:rsidR="00116DAD">
        <w:t xml:space="preserve"> </w:t>
      </w:r>
      <w:r>
        <w:t>crimes</w:t>
      </w:r>
    </w:p>
    <w:p w14:paraId="13A05272" w14:textId="4CB31B9B" w:rsidR="00F930B3" w:rsidRDefault="003D3925" w:rsidP="0095513D">
      <w:pPr>
        <w:spacing w:before="0" w:after="160" w:line="259" w:lineRule="auto"/>
      </w:pPr>
      <w:r w:rsidRPr="003D3925">
        <w:rPr>
          <w:noProof/>
        </w:rPr>
        <w:drawing>
          <wp:inline distT="0" distB="0" distL="0" distR="0" wp14:anchorId="6F674AE7" wp14:editId="3BC726C9">
            <wp:extent cx="6188710" cy="1141730"/>
            <wp:effectExtent l="0" t="0" r="2540" b="1270"/>
            <wp:docPr id="1754462417" name="Picture 1" descr="Supply of Drugs Crimes&#10;The first row of this table shows 2,186 supply of drugs crimes YTD compared to 1,819 PYTD (up 20.2% on PYTD); and 4,235 supply of drugs crimes in the rolling 12 months period compared to 3,470 in the previous rolling 12 months (up 22.0% on previous period).&#10;The second row shows the detection rate for supply of drugs crimes was 91.3% YTD compared to 94.9% PYTD (down 3.7% points on PYTD); and the detection rate for supply of drugs crimes was 91.2% in the rolling 12 months period compared to 96.2% in the previous rolling 12 months (down 5.1%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2417" name="Picture 1" descr="Supply of Drugs Crimes&#10;The first row of this table shows 2,186 supply of drugs crimes YTD compared to 1,819 PYTD (up 20.2% on PYTD); and 4,235 supply of drugs crimes in the rolling 12 months period compared to 3,470 in the previous rolling 12 months (up 22.0% on previous period).&#10;The second row shows the detection rate for supply of drugs crimes was 91.3% YTD compared to 94.9% PYTD (down 3.7% points on PYTD); and the detection rate for supply of drugs crimes was 91.2% in the rolling 12 months period compared to 96.2% in the previous rolling 12 months (down 5.1% points on previous period).&#10;"/>
                    <pic:cNvPicPr/>
                  </pic:nvPicPr>
                  <pic:blipFill>
                    <a:blip r:embed="rId62"/>
                    <a:stretch>
                      <a:fillRect/>
                    </a:stretch>
                  </pic:blipFill>
                  <pic:spPr>
                    <a:xfrm>
                      <a:off x="0" y="0"/>
                      <a:ext cx="6188710" cy="1141730"/>
                    </a:xfrm>
                    <a:prstGeom prst="rect">
                      <a:avLst/>
                    </a:prstGeom>
                  </pic:spPr>
                </pic:pic>
              </a:graphicData>
            </a:graphic>
          </wp:inline>
        </w:drawing>
      </w:r>
    </w:p>
    <w:p w14:paraId="50C25A08" w14:textId="3022AB9F" w:rsidR="00CE4752" w:rsidRDefault="00CE4752" w:rsidP="0095513D">
      <w:pPr>
        <w:spacing w:before="0" w:after="160" w:line="259" w:lineRule="auto"/>
      </w:pPr>
      <w:r>
        <w:t>Supply of drugs crimes have increased by 367 (up 20.2%) compared to the PYTD, with the rolling 12 month figures also showing an increase of 22.0%. The detection rate has seen decreases of 3.7 percentage points from PYTD and 5.1 percentage points from previous rolling 12 months.</w:t>
      </w:r>
    </w:p>
    <w:p w14:paraId="42BBEA12" w14:textId="51399104" w:rsidR="00D070B5" w:rsidRDefault="00D33A90" w:rsidP="0095513D">
      <w:pPr>
        <w:spacing w:before="0" w:after="160" w:line="259" w:lineRule="auto"/>
      </w:pPr>
      <w:bookmarkStart w:id="136" w:name="_Hlk213332729"/>
      <w:r>
        <w:t xml:space="preserve">In July of this year Police Scotland uncovered the largest cannabis cultivation found in Scotland to date, valued at almost £12 million. </w:t>
      </w:r>
      <w:r w:rsidR="00294B42">
        <w:t>Officers</w:t>
      </w:r>
      <w:r>
        <w:t xml:space="preserve"> </w:t>
      </w:r>
      <w:r w:rsidR="00294B42">
        <w:t>executed</w:t>
      </w:r>
      <w:r>
        <w:t xml:space="preserve"> a warrant at a derelict building in Kirkcaldy</w:t>
      </w:r>
      <w:r w:rsidR="00294B42">
        <w:t xml:space="preserve"> with around 5,000 plants recovered, having an estimated weight totalling over 1,000kg</w:t>
      </w:r>
      <w:bookmarkEnd w:id="136"/>
      <w:r w:rsidR="00294B42">
        <w:t>.</w:t>
      </w:r>
    </w:p>
    <w:p w14:paraId="644C8368" w14:textId="5DFE293D" w:rsidR="00294B42" w:rsidRDefault="00294B42" w:rsidP="0095513D">
      <w:pPr>
        <w:spacing w:before="0" w:after="160" w:line="259" w:lineRule="auto"/>
      </w:pPr>
      <w:bookmarkStart w:id="137" w:name="_Hlk213332789"/>
      <w:r>
        <w:t xml:space="preserve">In August three men were arrested and charged in connection with the supply of Class A drugs as part of an operation targeting serious and organised crime in Aberdeen and </w:t>
      </w:r>
      <w:r>
        <w:lastRenderedPageBreak/>
        <w:t>Aberdeenshire. This formed part of an ongoing operation, launched in January 2025, which has seen 21 arrests in relation to the supply of Class A drugs and the recovery of heroin and cocaine with total estimated street value of over £1.3 million.</w:t>
      </w:r>
    </w:p>
    <w:p w14:paraId="3E96DCE7" w14:textId="4F4C02C4" w:rsidR="00294B42" w:rsidRDefault="00294B42" w:rsidP="0095513D">
      <w:pPr>
        <w:spacing w:before="0" w:after="160" w:line="259" w:lineRule="auto"/>
      </w:pPr>
      <w:r>
        <w:t xml:space="preserve">At the end of the </w:t>
      </w:r>
      <w:r w:rsidR="00636520">
        <w:t>q</w:t>
      </w:r>
      <w:r>
        <w:t>uarter in September of this year officers executed a warrant at a property in Glasgow where a large quantity of cocaine with an estimated street value of £3.68 million was discovered. Enquiries are ongoing to identify and trace those involved</w:t>
      </w:r>
      <w:bookmarkEnd w:id="137"/>
      <w:r>
        <w:t>.</w:t>
      </w:r>
    </w:p>
    <w:p w14:paraId="57EEF3C8" w14:textId="11341150" w:rsidR="0095513D" w:rsidRDefault="0095513D" w:rsidP="00974DED">
      <w:pPr>
        <w:pStyle w:val="KPIPullOutLC"/>
      </w:pPr>
      <w:bookmarkStart w:id="138" w:name="_Hlk212017613"/>
      <w:r>
        <w:t xml:space="preserve">Bail </w:t>
      </w:r>
      <w:r w:rsidR="003644F7">
        <w:t>o</w:t>
      </w:r>
      <w:r>
        <w:t>ffences</w:t>
      </w:r>
      <w:r w:rsidR="00116DAD">
        <w:t xml:space="preserve"> </w:t>
      </w:r>
      <w:r w:rsidR="00610C4B">
        <w:t>up on PYTD and rolling 12 months comparisons</w:t>
      </w:r>
    </w:p>
    <w:p w14:paraId="4221CE84" w14:textId="6A002BA1" w:rsidR="00F930B3" w:rsidRDefault="003D3925" w:rsidP="0095513D">
      <w:pPr>
        <w:spacing w:before="0" w:after="160" w:line="259" w:lineRule="auto"/>
      </w:pPr>
      <w:r w:rsidRPr="003D3925">
        <w:rPr>
          <w:noProof/>
        </w:rPr>
        <w:drawing>
          <wp:inline distT="0" distB="0" distL="0" distR="0" wp14:anchorId="1B7FC076" wp14:editId="0A1BF3A0">
            <wp:extent cx="6188710" cy="1151890"/>
            <wp:effectExtent l="0" t="0" r="2540" b="0"/>
            <wp:docPr id="1381206325" name="Picture 1" descr="Bail Offences&#10;The first row of this table shows 7,079 bail offences YTD compared to 6,519 PYTD (up 8.6% on PYTD); and 13,255 bail offences in the rolling 12 months period compared to 12,643 in the previous rolling 12 months (up 4.8% on previous period).&#10;The second row shows the detection rate for bail offences was 93.0% YTD compared to 95.7% PYTD (down 2.7% points on PYTD); and the detection rate for bail offences was 94.9% in the rolling 12 months period compared to 96.1% in the previous rolling 12 months (down 1.2% points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06325" name="Picture 1" descr="Bail Offences&#10;The first row of this table shows 7,079 bail offences YTD compared to 6,519 PYTD (up 8.6% on PYTD); and 13,255 bail offences in the rolling 12 months period compared to 12,643 in the previous rolling 12 months (up 4.8% on previous period).&#10;The second row shows the detection rate for bail offences was 93.0% YTD compared to 95.7% PYTD (down 2.7% points on PYTD); and the detection rate for bail offences was 94.9% in the rolling 12 months period compared to 96.1% in the previous rolling 12 months (down 1.2% points on previous period).&#10;"/>
                    <pic:cNvPicPr/>
                  </pic:nvPicPr>
                  <pic:blipFill>
                    <a:blip r:embed="rId63"/>
                    <a:stretch>
                      <a:fillRect/>
                    </a:stretch>
                  </pic:blipFill>
                  <pic:spPr>
                    <a:xfrm>
                      <a:off x="0" y="0"/>
                      <a:ext cx="6188710" cy="1151890"/>
                    </a:xfrm>
                    <a:prstGeom prst="rect">
                      <a:avLst/>
                    </a:prstGeom>
                  </pic:spPr>
                </pic:pic>
              </a:graphicData>
            </a:graphic>
          </wp:inline>
        </w:drawing>
      </w:r>
    </w:p>
    <w:p w14:paraId="65A508ED" w14:textId="35C1B350" w:rsidR="00A57745" w:rsidRDefault="00A57745" w:rsidP="00A57745">
      <w:r>
        <w:t xml:space="preserve">Bail offences are up </w:t>
      </w:r>
      <w:r w:rsidR="00610C4B">
        <w:t>8.6</w:t>
      </w:r>
      <w:r>
        <w:t>% on the previous YTD (</w:t>
      </w:r>
      <w:r w:rsidR="00610C4B">
        <w:t>560</w:t>
      </w:r>
      <w:r>
        <w:t xml:space="preserve"> more offences), whilst a 4.</w:t>
      </w:r>
      <w:r w:rsidR="00610C4B">
        <w:t>8</w:t>
      </w:r>
      <w:r>
        <w:t>% increase is noted in the rolling 12 month figures comparison (</w:t>
      </w:r>
      <w:r w:rsidR="00610C4B">
        <w:t>612</w:t>
      </w:r>
      <w:r>
        <w:t xml:space="preserve"> more offences).</w:t>
      </w:r>
      <w:r w:rsidR="0026340D">
        <w:t xml:space="preserve"> </w:t>
      </w:r>
      <w:bookmarkStart w:id="139" w:name="_Hlk213332917"/>
      <w:r w:rsidR="0026340D">
        <w:t xml:space="preserve">YTD, there have been 1,716 repeat offenders </w:t>
      </w:r>
      <w:r w:rsidR="00DA67AF">
        <w:t>(</w:t>
      </w:r>
      <w:r w:rsidR="0026340D">
        <w:t>with a reoffending rate of 47.6%</w:t>
      </w:r>
      <w:r w:rsidR="00DA67AF">
        <w:t>)</w:t>
      </w:r>
      <w:r w:rsidR="0026340D">
        <w:t xml:space="preserve"> and 488 new offenders</w:t>
      </w:r>
      <w:bookmarkEnd w:id="139"/>
      <w:r w:rsidR="0026340D">
        <w:t>.</w:t>
      </w:r>
    </w:p>
    <w:p w14:paraId="2D02BD74" w14:textId="77777777" w:rsidR="00535B29" w:rsidRDefault="00535B29" w:rsidP="00A57745">
      <w:bookmarkStart w:id="140" w:name="_Hlk213332944"/>
      <w:r>
        <w:t>Criminal Justice Services Division note that the following factors may have a bearing on the increase of bail offences being recorded:</w:t>
      </w:r>
    </w:p>
    <w:p w14:paraId="627EF1A9" w14:textId="340C103C" w:rsidR="00535B29" w:rsidRDefault="00535B29" w:rsidP="00535B29">
      <w:pPr>
        <w:pStyle w:val="Bullets"/>
      </w:pPr>
      <w:r>
        <w:t>An increase in the number of offenders being released on undertaking will naturally lead to greater numbers of people in the community who are subject to bail conditions.</w:t>
      </w:r>
    </w:p>
    <w:p w14:paraId="2935BDF1" w14:textId="1A961170" w:rsidR="00535B29" w:rsidRDefault="00535B29" w:rsidP="00535B29">
      <w:pPr>
        <w:pStyle w:val="Bullets"/>
      </w:pPr>
      <w:r>
        <w:t>An increase in G4S EM bail reporting, with subsequent breaches occurring.</w:t>
      </w:r>
    </w:p>
    <w:p w14:paraId="369E28DD" w14:textId="70969FB4" w:rsidR="00535B29" w:rsidRPr="00535B29" w:rsidRDefault="00535B29" w:rsidP="00535B29">
      <w:pPr>
        <w:pStyle w:val="Bullets"/>
      </w:pPr>
      <w:r>
        <w:t>Efforts by the courts to remand fewer people in custody will lead to greater numbers in the community under court-imposed bail conditions.</w:t>
      </w:r>
    </w:p>
    <w:p w14:paraId="5D96D463" w14:textId="087A9A52" w:rsidR="00610C4B" w:rsidRDefault="00A57745" w:rsidP="00A57745">
      <w:r>
        <w:t>The YTD increase is driven by increa</w:t>
      </w:r>
      <w:r w:rsidR="00610C4B">
        <w:t>sed offending in all three regions, with the main drivers being Tayside Division in the North, Fife Division in the East and Greater Glasgow, Lanarkshire and Argyll &amp; West Dunbartonshire Divisions in the West.</w:t>
      </w:r>
    </w:p>
    <w:p w14:paraId="07544F15" w14:textId="0A22C16D" w:rsidR="00A57745" w:rsidRDefault="00610C4B" w:rsidP="00A57745">
      <w:r>
        <w:t>The only divisions currently recording a decrease compared to PYTD were Highland &amp; Islands</w:t>
      </w:r>
      <w:r w:rsidR="00B035F1">
        <w:t xml:space="preserve"> in the North and</w:t>
      </w:r>
      <w:r>
        <w:t xml:space="preserve"> Ayrshire</w:t>
      </w:r>
      <w:r w:rsidR="00B035F1">
        <w:t>;</w:t>
      </w:r>
      <w:r>
        <w:t xml:space="preserve"> Renfrewshire &amp; Inverclyde</w:t>
      </w:r>
      <w:r w:rsidR="00B035F1">
        <w:t xml:space="preserve"> and Dumfries &amp; Galloway in the West</w:t>
      </w:r>
      <w:r w:rsidR="00A57745">
        <w:t>.</w:t>
      </w:r>
    </w:p>
    <w:p w14:paraId="3CBF8CD2" w14:textId="289489FA" w:rsidR="000C00BD" w:rsidRDefault="00A57745" w:rsidP="000C00BD">
      <w:r>
        <w:t>All three regions record similar increases against the rolling 12 months with each contributing to the overall rise in bail offences in that comparable period.</w:t>
      </w:r>
    </w:p>
    <w:bookmarkEnd w:id="138"/>
    <w:bookmarkEnd w:id="140"/>
    <w:p w14:paraId="4E6177D5" w14:textId="79035407" w:rsidR="00F77089" w:rsidRDefault="00F77089" w:rsidP="00974DED">
      <w:pPr>
        <w:pStyle w:val="KPIPullOutLC"/>
      </w:pPr>
      <w:r>
        <w:t>Hate Crime</w:t>
      </w:r>
      <w:r w:rsidR="003B7F4A">
        <w:t>s increasing</w:t>
      </w:r>
    </w:p>
    <w:p w14:paraId="3D4D7956" w14:textId="17829973" w:rsidR="003B7F4A" w:rsidRDefault="003D3925" w:rsidP="00CF7546">
      <w:pPr>
        <w:rPr>
          <w:noProof/>
        </w:rPr>
      </w:pPr>
      <w:r w:rsidRPr="003D3925">
        <w:rPr>
          <w:noProof/>
        </w:rPr>
        <w:drawing>
          <wp:inline distT="0" distB="0" distL="0" distR="0" wp14:anchorId="6DF423B6" wp14:editId="5B292C75">
            <wp:extent cx="6188710" cy="1162050"/>
            <wp:effectExtent l="0" t="0" r="2540" b="0"/>
            <wp:docPr id="1336077699" name="Picture 1" descr="Hate Crimes&#10;The first row of this table shows 5,206 hate crimes YTD compared to 4,889 PYTD (up 6.5% on PYTD).&#10;The second row shows the detection rate for hate crimes was 63.3% YTD compared to 66.1% PYTD (down 2.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77699" name="Picture 1" descr="Hate Crimes&#10;The first row of this table shows 5,206 hate crimes YTD compared to 4,889 PYTD (up 6.5% on PYTD).&#10;The second row shows the detection rate for hate crimes was 63.3% YTD compared to 66.1% PYTD (down 2.8% points on PYTD).&#10;"/>
                    <pic:cNvPicPr/>
                  </pic:nvPicPr>
                  <pic:blipFill>
                    <a:blip r:embed="rId64"/>
                    <a:stretch>
                      <a:fillRect/>
                    </a:stretch>
                  </pic:blipFill>
                  <pic:spPr>
                    <a:xfrm>
                      <a:off x="0" y="0"/>
                      <a:ext cx="6188710" cy="1162050"/>
                    </a:xfrm>
                    <a:prstGeom prst="rect">
                      <a:avLst/>
                    </a:prstGeom>
                  </pic:spPr>
                </pic:pic>
              </a:graphicData>
            </a:graphic>
          </wp:inline>
        </w:drawing>
      </w:r>
    </w:p>
    <w:p w14:paraId="3D4AD6B9" w14:textId="2EED35A2" w:rsidR="0087288B" w:rsidRPr="0087288B" w:rsidRDefault="0087288B" w:rsidP="0087288B">
      <w:pPr>
        <w:rPr>
          <w:noProof/>
        </w:rPr>
      </w:pPr>
      <w:r w:rsidRPr="0087288B">
        <w:rPr>
          <w:noProof/>
        </w:rPr>
        <w:lastRenderedPageBreak/>
        <w:t xml:space="preserve">A total of </w:t>
      </w:r>
      <w:r>
        <w:rPr>
          <w:noProof/>
        </w:rPr>
        <w:t>5,206</w:t>
      </w:r>
      <w:r w:rsidRPr="0087288B">
        <w:rPr>
          <w:noProof/>
        </w:rPr>
        <w:t xml:space="preserve"> hate crimes have been recorded by Police Scotland in the current YTD. This is an increase of </w:t>
      </w:r>
      <w:r>
        <w:rPr>
          <w:noProof/>
        </w:rPr>
        <w:t>6.5</w:t>
      </w:r>
      <w:r w:rsidRPr="0087288B">
        <w:rPr>
          <w:noProof/>
        </w:rPr>
        <w:t>% (3</w:t>
      </w:r>
      <w:r>
        <w:rPr>
          <w:noProof/>
        </w:rPr>
        <w:t>17</w:t>
      </w:r>
      <w:r w:rsidRPr="0087288B">
        <w:rPr>
          <w:noProof/>
        </w:rPr>
        <w:t xml:space="preserve"> more crimes) from the same period last year. </w:t>
      </w:r>
    </w:p>
    <w:p w14:paraId="09D3BA39" w14:textId="17A70DAF" w:rsidR="0087288B" w:rsidRPr="0087288B" w:rsidRDefault="0087288B" w:rsidP="0087288B">
      <w:pPr>
        <w:rPr>
          <w:noProof/>
        </w:rPr>
      </w:pPr>
      <w:bookmarkStart w:id="141" w:name="_Hlk213333099"/>
      <w:r>
        <w:rPr>
          <w:noProof/>
        </w:rPr>
        <w:t>The most notable increase is hate crimes with a racial aggravator</w:t>
      </w:r>
      <w:r w:rsidRPr="0087288B">
        <w:rPr>
          <w:noProof/>
        </w:rPr>
        <w:t xml:space="preserve"> (up </w:t>
      </w:r>
      <w:r>
        <w:rPr>
          <w:noProof/>
        </w:rPr>
        <w:t>6.2</w:t>
      </w:r>
      <w:r w:rsidRPr="0087288B">
        <w:rPr>
          <w:noProof/>
        </w:rPr>
        <w:t>%, 1</w:t>
      </w:r>
      <w:r>
        <w:rPr>
          <w:noProof/>
        </w:rPr>
        <w:t>84</w:t>
      </w:r>
      <w:r w:rsidRPr="0087288B">
        <w:rPr>
          <w:noProof/>
        </w:rPr>
        <w:t xml:space="preserve"> more)</w:t>
      </w:r>
      <w:r>
        <w:rPr>
          <w:noProof/>
        </w:rPr>
        <w:t>.</w:t>
      </w:r>
    </w:p>
    <w:bookmarkEnd w:id="141"/>
    <w:p w14:paraId="1A9BD116" w14:textId="017CFCB9" w:rsidR="0087288B" w:rsidRPr="0087288B" w:rsidRDefault="0087288B" w:rsidP="0087288B">
      <w:pPr>
        <w:rPr>
          <w:noProof/>
        </w:rPr>
      </w:pPr>
      <w:r>
        <w:rPr>
          <w:noProof/>
        </w:rPr>
        <w:drawing>
          <wp:inline distT="0" distB="0" distL="0" distR="0" wp14:anchorId="12CBA459" wp14:editId="28C4017F">
            <wp:extent cx="5675630" cy="2578735"/>
            <wp:effectExtent l="0" t="0" r="1270" b="0"/>
            <wp:docPr id="493667107" name="Picture 2" descr="Hate Crime by Protected Characteristics&#10;This image shows the number of hate crimes by protected characteristics in 2025/26 YTD (orange) against 2024/25 YTD (blue). Variations in sex characteristics had 4 YTD compared to 10 PYTD; Age had 181 YTD compared to 383 PYTD; Disability had 625 YTD compared to 655 PYTD; Sexual Orientation had 1,078 YTD compared to 1,142 PYTD; Racial had 3,164 YTD compared to 2,980 PYTD; Religion had 359 YTD compared to 349 PYTD; and Transgender had 98 YTD compared to 118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7107" name="Picture 2" descr="Hate Crime by Protected Characteristics&#10;This image shows the number of hate crimes by protected characteristics in 2025/26 YTD (orange) against 2024/25 YTD (blue). Variations in sex characteristics had 4 YTD compared to 10 PYTD; Age had 181 YTD compared to 383 PYTD; Disability had 625 YTD compared to 655 PYTD; Sexual Orientation had 1,078 YTD compared to 1,142 PYTD; Racial had 3,164 YTD compared to 2,980 PYTD; Religion had 359 YTD compared to 349 PYTD; and Transgender had 98 YTD compared to 118 PYTD.&#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5630" cy="2578735"/>
                    </a:xfrm>
                    <a:prstGeom prst="rect">
                      <a:avLst/>
                    </a:prstGeom>
                    <a:noFill/>
                  </pic:spPr>
                </pic:pic>
              </a:graphicData>
            </a:graphic>
          </wp:inline>
        </w:drawing>
      </w:r>
    </w:p>
    <w:p w14:paraId="6ABA1CDD" w14:textId="5D2F4D75" w:rsidR="00C6459E" w:rsidRPr="00E50BD8" w:rsidRDefault="00C6459E" w:rsidP="0087288B">
      <w:pPr>
        <w:rPr>
          <w:b/>
          <w:bCs/>
          <w:noProof/>
        </w:rPr>
      </w:pPr>
      <w:r w:rsidRPr="00E50BD8">
        <w:rPr>
          <w:b/>
          <w:bCs/>
          <w:noProof/>
        </w:rPr>
        <w:t>Hate Crimes at Asylum Seeker Accom</w:t>
      </w:r>
      <w:r w:rsidR="00B47497">
        <w:rPr>
          <w:b/>
          <w:bCs/>
          <w:noProof/>
        </w:rPr>
        <w:t>m</w:t>
      </w:r>
      <w:r w:rsidRPr="00E50BD8">
        <w:rPr>
          <w:b/>
          <w:bCs/>
          <w:noProof/>
        </w:rPr>
        <w:t>odation</w:t>
      </w:r>
    </w:p>
    <w:p w14:paraId="295C683F" w14:textId="77777777" w:rsidR="00BD214C" w:rsidRDefault="00C6459E" w:rsidP="0087288B">
      <w:pPr>
        <w:rPr>
          <w:noProof/>
        </w:rPr>
      </w:pPr>
      <w:bookmarkStart w:id="142" w:name="_Hlk213333195"/>
      <w:bookmarkStart w:id="143" w:name="_Hlk213333133"/>
      <w:r>
        <w:rPr>
          <w:noProof/>
        </w:rPr>
        <w:t>Year to date</w:t>
      </w:r>
      <w:r w:rsidR="0087288B" w:rsidRPr="0087288B">
        <w:rPr>
          <w:noProof/>
        </w:rPr>
        <w:t xml:space="preserve">, there have been </w:t>
      </w:r>
      <w:r w:rsidR="0087288B">
        <w:rPr>
          <w:noProof/>
        </w:rPr>
        <w:t>32</w:t>
      </w:r>
      <w:r w:rsidR="0087288B" w:rsidRPr="0087288B">
        <w:rPr>
          <w:noProof/>
        </w:rPr>
        <w:t xml:space="preserve"> hate crimes located at </w:t>
      </w:r>
      <w:r w:rsidR="0087288B">
        <w:rPr>
          <w:noProof/>
        </w:rPr>
        <w:t>accom</w:t>
      </w:r>
      <w:r w:rsidR="00D92FE4">
        <w:rPr>
          <w:noProof/>
        </w:rPr>
        <w:t>m</w:t>
      </w:r>
      <w:r w:rsidR="0087288B">
        <w:rPr>
          <w:noProof/>
        </w:rPr>
        <w:t>odation</w:t>
      </w:r>
      <w:r w:rsidR="0087288B" w:rsidRPr="0087288B">
        <w:rPr>
          <w:noProof/>
        </w:rPr>
        <w:t xml:space="preserve"> that house asylum seekers. 2</w:t>
      </w:r>
      <w:r w:rsidR="0087288B">
        <w:rPr>
          <w:noProof/>
        </w:rPr>
        <w:t>6</w:t>
      </w:r>
      <w:r w:rsidR="0087288B" w:rsidRPr="0087288B">
        <w:rPr>
          <w:noProof/>
        </w:rPr>
        <w:t xml:space="preserve"> of which have been racially aggravated.</w:t>
      </w:r>
      <w:r w:rsidR="00BD214C">
        <w:rPr>
          <w:noProof/>
        </w:rPr>
        <w:t xml:space="preserve"> </w:t>
      </w:r>
      <w:r w:rsidR="0087288B" w:rsidRPr="0087288B">
        <w:rPr>
          <w:noProof/>
        </w:rPr>
        <w:t xml:space="preserve">The most publicised </w:t>
      </w:r>
      <w:r>
        <w:rPr>
          <w:noProof/>
        </w:rPr>
        <w:t>accom</w:t>
      </w:r>
      <w:r w:rsidR="00D92FE4">
        <w:rPr>
          <w:noProof/>
        </w:rPr>
        <w:t>m</w:t>
      </w:r>
      <w:r>
        <w:rPr>
          <w:noProof/>
        </w:rPr>
        <w:t>odation that</w:t>
      </w:r>
      <w:r w:rsidR="0087288B" w:rsidRPr="0087288B">
        <w:rPr>
          <w:noProof/>
        </w:rPr>
        <w:t xml:space="preserve"> has seen </w:t>
      </w:r>
      <w:r>
        <w:rPr>
          <w:noProof/>
        </w:rPr>
        <w:t xml:space="preserve">the focus of anti-immigration protests has recorded </w:t>
      </w:r>
      <w:r w:rsidR="0087288B" w:rsidRPr="0087288B">
        <w:rPr>
          <w:noProof/>
        </w:rPr>
        <w:t>a total of 1</w:t>
      </w:r>
      <w:r w:rsidR="0087288B">
        <w:rPr>
          <w:noProof/>
        </w:rPr>
        <w:t>3</w:t>
      </w:r>
      <w:r w:rsidR="0087288B" w:rsidRPr="0087288B">
        <w:rPr>
          <w:noProof/>
        </w:rPr>
        <w:t xml:space="preserve"> hate crimes recorded (</w:t>
      </w:r>
      <w:r w:rsidR="0087288B">
        <w:rPr>
          <w:noProof/>
        </w:rPr>
        <w:t>11</w:t>
      </w:r>
      <w:r w:rsidR="0087288B" w:rsidRPr="0087288B">
        <w:rPr>
          <w:noProof/>
        </w:rPr>
        <w:t xml:space="preserve"> racially aggravated).</w:t>
      </w:r>
    </w:p>
    <w:p w14:paraId="66B0EB31" w14:textId="4870C5AD" w:rsidR="0087288B" w:rsidRPr="0087288B" w:rsidRDefault="0087288B" w:rsidP="0087288B">
      <w:pPr>
        <w:rPr>
          <w:noProof/>
        </w:rPr>
      </w:pPr>
      <w:r w:rsidRPr="0087288B">
        <w:rPr>
          <w:noProof/>
        </w:rPr>
        <w:t xml:space="preserve">The aforementioned crimes are only crimes linked to </w:t>
      </w:r>
      <w:r w:rsidR="00C6459E">
        <w:rPr>
          <w:noProof/>
        </w:rPr>
        <w:t>accom</w:t>
      </w:r>
      <w:r w:rsidR="00D92FE4">
        <w:rPr>
          <w:noProof/>
        </w:rPr>
        <w:t>m</w:t>
      </w:r>
      <w:r w:rsidR="00C6459E">
        <w:rPr>
          <w:noProof/>
        </w:rPr>
        <w:t>odation and didn’t necessarily take place at the time of the protests. Additional</w:t>
      </w:r>
      <w:r w:rsidR="00D92FE4">
        <w:rPr>
          <w:noProof/>
        </w:rPr>
        <w:t>l</w:t>
      </w:r>
      <w:r w:rsidR="00C6459E">
        <w:rPr>
          <w:noProof/>
        </w:rPr>
        <w:t>y i</w:t>
      </w:r>
      <w:r w:rsidRPr="0087288B">
        <w:rPr>
          <w:noProof/>
        </w:rPr>
        <w:t xml:space="preserve">t is not possible to determine from the data available how many hate crimes overall are the result of heightened </w:t>
      </w:r>
      <w:r w:rsidR="00C6459E">
        <w:rPr>
          <w:noProof/>
        </w:rPr>
        <w:t>protests regarding i</w:t>
      </w:r>
      <w:r w:rsidRPr="0087288B">
        <w:rPr>
          <w:noProof/>
        </w:rPr>
        <w:t>mmigration</w:t>
      </w:r>
      <w:bookmarkEnd w:id="142"/>
      <w:r w:rsidRPr="0087288B">
        <w:rPr>
          <w:noProof/>
        </w:rPr>
        <w:t>.</w:t>
      </w:r>
    </w:p>
    <w:p w14:paraId="12D9A1F0" w14:textId="77777777" w:rsidR="00BD214C" w:rsidRDefault="00A04B5E" w:rsidP="00A95DFF">
      <w:pPr>
        <w:rPr>
          <w:noProof/>
        </w:rPr>
      </w:pPr>
      <w:r w:rsidRPr="00A04B5E">
        <w:rPr>
          <w:noProof/>
        </w:rPr>
        <w:t xml:space="preserve">Specialist resources have been deployed to support local policing and communities. </w:t>
      </w:r>
      <w:r w:rsidR="00E577EC">
        <w:rPr>
          <w:noProof/>
        </w:rPr>
        <w:t>C</w:t>
      </w:r>
      <w:r w:rsidRPr="00A04B5E">
        <w:rPr>
          <w:noProof/>
        </w:rPr>
        <w:t>ommunity relation specialists have worked closely with partners across various local communities to build community cohesion and defuse tensions.</w:t>
      </w:r>
    </w:p>
    <w:p w14:paraId="75CC2554" w14:textId="286DAEDA" w:rsidR="00B60B60" w:rsidRDefault="00A04B5E" w:rsidP="00A95DFF">
      <w:pPr>
        <w:rPr>
          <w:noProof/>
        </w:rPr>
      </w:pPr>
      <w:r w:rsidRPr="00A04B5E">
        <w:rPr>
          <w:noProof/>
        </w:rPr>
        <w:t>Hate crime advisors have been deployed to protests across the country to ensure all incidents of hate are identified and dealt with appropriately</w:t>
      </w:r>
      <w:r w:rsidR="00476BE5">
        <w:rPr>
          <w:noProof/>
        </w:rPr>
        <w:t>.</w:t>
      </w:r>
    </w:p>
    <w:bookmarkEnd w:id="143"/>
    <w:p w14:paraId="33C106E5" w14:textId="15D7A7A6" w:rsidR="00F77089" w:rsidRPr="001A2508" w:rsidRDefault="00F77089" w:rsidP="00C36AEC">
      <w:pPr>
        <w:pStyle w:val="KPIHeading3LC"/>
      </w:pPr>
      <w:r w:rsidRPr="001A2508">
        <w:t xml:space="preserve">KPI: Number of </w:t>
      </w:r>
      <w:r>
        <w:t>cyber</w:t>
      </w:r>
      <w:r w:rsidRPr="001A2508">
        <w:t xml:space="preserve"> crimes</w:t>
      </w:r>
    </w:p>
    <w:p w14:paraId="0102F9C0" w14:textId="684901E2" w:rsidR="001C77B8" w:rsidRDefault="00B60B60" w:rsidP="001C77B8">
      <w:pPr>
        <w:pStyle w:val="KPIPullOutLC"/>
      </w:pPr>
      <w:r>
        <w:t xml:space="preserve">5,712 </w:t>
      </w:r>
      <w:r w:rsidR="001C77B8" w:rsidRPr="000F2D90">
        <w:t>Cyber</w:t>
      </w:r>
      <w:r w:rsidR="001C77B8">
        <w:t>crime</w:t>
      </w:r>
      <w:r>
        <w:t xml:space="preserve"> Markers Applied YTD</w:t>
      </w:r>
    </w:p>
    <w:p w14:paraId="652E5F5E" w14:textId="5D175AD4" w:rsidR="009B71FA" w:rsidRDefault="009B71FA" w:rsidP="009B71FA">
      <w:bookmarkStart w:id="144" w:name="_Hlk212036702"/>
      <w:r>
        <w:t>Cybercrime is a crime type, not a crime itself, therefore recording of these crimes relies on a ‘Cyber’ tag being applied to the relevant crimes on our crime system by officers and staff.</w:t>
      </w:r>
    </w:p>
    <w:p w14:paraId="53A5B403" w14:textId="77777777" w:rsidR="009B71FA" w:rsidRDefault="009B71FA" w:rsidP="009B71FA">
      <w:r>
        <w:t>As such, these figures are not official statistics. Work is constantly ongoing to improve the accuracy of cybercrime recording.</w:t>
      </w:r>
    </w:p>
    <w:p w14:paraId="7BB8C2F4" w14:textId="1A622B5C" w:rsidR="009B71FA" w:rsidRDefault="00614C32" w:rsidP="009B71FA">
      <w:r>
        <w:t>There have been 5,712 crimes with a cybercrime marker applied over the Quarter 2 period. This is a 35.4% decrease from the same period last year.</w:t>
      </w:r>
      <w:r w:rsidR="000A4186">
        <w:t xml:space="preserve"> </w:t>
      </w:r>
      <w:bookmarkStart w:id="145" w:name="_Hlk213333430"/>
      <w:r w:rsidR="000A4186">
        <w:t xml:space="preserve">Work is currently ongoing to </w:t>
      </w:r>
      <w:r w:rsidR="000A4186">
        <w:lastRenderedPageBreak/>
        <w:t>analyse this change in numbers and the results will be included in the next Quarterly Performance report.</w:t>
      </w:r>
    </w:p>
    <w:bookmarkEnd w:id="145"/>
    <w:p w14:paraId="66AE2333" w14:textId="0D1BC76D" w:rsidR="005342BB" w:rsidRPr="001A7247" w:rsidRDefault="009B71FA" w:rsidP="001D1FCB">
      <w:r>
        <w:t xml:space="preserve">Of the crimes with the marker applied, </w:t>
      </w:r>
      <w:bookmarkStart w:id="146" w:name="_Hlk213333443"/>
      <w:r>
        <w:t>Fraud remains the most common with 2,158 cyber tagged crimes followed by Community and Public Order Offences (1,349 crimes) and Threats and Extortion (527 crimes).</w:t>
      </w:r>
    </w:p>
    <w:bookmarkEnd w:id="144"/>
    <w:bookmarkEnd w:id="146"/>
    <w:p w14:paraId="06D4291F" w14:textId="1DFECC18" w:rsidR="00343A65" w:rsidRDefault="003C6CD4" w:rsidP="00974DED">
      <w:pPr>
        <w:pStyle w:val="KPIPullOutLC"/>
      </w:pPr>
      <w:r>
        <w:t>Ransomware</w:t>
      </w:r>
    </w:p>
    <w:p w14:paraId="3B123ED9" w14:textId="39525F6D" w:rsidR="003C6CD4" w:rsidRDefault="003C6CD4" w:rsidP="003C6CD4">
      <w:r>
        <w:t xml:space="preserve">Overall, the ransomware landscape remains active and increases in sophistication. Ransomware continues to pose a significant threat to businesses and organisations across Scotland. </w:t>
      </w:r>
    </w:p>
    <w:p w14:paraId="52580486" w14:textId="365D50CA" w:rsidR="003C6CD4" w:rsidRDefault="003C6CD4" w:rsidP="003C6CD4">
      <w:r>
        <w:t>The pertinent threat actors during this period include the Qilin group and incidents that have yet to be linked by Police Scotland or partner cyber-security organisations to a specific criminal group. They continue to cause disruption to companies in several key industry areas including local government and retail.</w:t>
      </w:r>
    </w:p>
    <w:p w14:paraId="15B27B79" w14:textId="77777777" w:rsidR="003C6CD4" w:rsidRDefault="003C6CD4" w:rsidP="003C6CD4">
      <w:bookmarkStart w:id="147" w:name="_Hlk213333461"/>
      <w:r>
        <w:t>During this reporting period, Police Scotland received eight new reports of ransomware incidents, which is a decrease of four on the number of incidents reported during the same period last year</w:t>
      </w:r>
      <w:bookmarkEnd w:id="147"/>
      <w:r>
        <w:t xml:space="preserve">. </w:t>
      </w:r>
    </w:p>
    <w:p w14:paraId="4D2F0805" w14:textId="7B378EEB" w:rsidR="003C6CD4" w:rsidRDefault="003C6CD4" w:rsidP="003C6CD4">
      <w:bookmarkStart w:id="148" w:name="_Hlk213333478"/>
      <w:r>
        <w:t>The number of active ransomware groups continues to increase, and ransomware continues to be the most critical cyber threat facing United Kingdom organisations. Cybersecurity remains a top priority for all organisations</w:t>
      </w:r>
      <w:bookmarkEnd w:id="148"/>
      <w:r>
        <w:t>.</w:t>
      </w:r>
    </w:p>
    <w:p w14:paraId="101638BB" w14:textId="77777777" w:rsidR="00343A65" w:rsidRPr="00343A65" w:rsidRDefault="00343A65" w:rsidP="005A5B67">
      <w:pPr>
        <w:pStyle w:val="KPIPullOutLC"/>
      </w:pPr>
      <w:r w:rsidRPr="00343A65">
        <w:t>Cryptocurrency Tracking</w:t>
      </w:r>
    </w:p>
    <w:p w14:paraId="3F8B1408" w14:textId="77777777" w:rsidR="00343A65" w:rsidRDefault="00343A65" w:rsidP="00343A65">
      <w:r>
        <w:t>The most prevalent cryptocurrency scams today are overwhelmingly driven by social engineering tactics and fraudulent investment scams. Investment scams involving cryptocurrency continue to be a common threat to communities, with criminals actively using social media to advertise fraudulent investment platforms.</w:t>
      </w:r>
    </w:p>
    <w:p w14:paraId="121AF6DA" w14:textId="77777777" w:rsidR="00BD214C" w:rsidRDefault="00343A65" w:rsidP="00343A65">
      <w:bookmarkStart w:id="149" w:name="_Hlk213333535"/>
      <w:r>
        <w:t>Police Scotland continues to develop its recently expanded cryptocurrency tracking capability</w:t>
      </w:r>
      <w:bookmarkEnd w:id="149"/>
      <w:r>
        <w:t>, with several officers across the country receiving training in the use of specialist tools and techniques to trace the movement of cryptocurrency assets.</w:t>
      </w:r>
    </w:p>
    <w:p w14:paraId="558C564A" w14:textId="4C707A91" w:rsidR="00343A65" w:rsidRDefault="00343A65" w:rsidP="00343A65">
      <w:r>
        <w:t>By analysing transaction patterns, these specialist investigators can identify suspects, uncover criminal networks, and potentially identify opportunities to seize illicit funds.</w:t>
      </w:r>
    </w:p>
    <w:p w14:paraId="709637E0" w14:textId="01492993" w:rsidR="00C244AD" w:rsidRDefault="00343A65" w:rsidP="00343A65">
      <w:bookmarkStart w:id="150" w:name="_Hlk213333520"/>
      <w:r>
        <w:t>During this reporting period, Police Scotland have supported 84 cryptocurrency tracking enquiries across the country.</w:t>
      </w:r>
    </w:p>
    <w:p w14:paraId="6ECCA605" w14:textId="77777777" w:rsidR="00C244AD" w:rsidRDefault="00C244AD">
      <w:pPr>
        <w:spacing w:before="0" w:after="160" w:line="259" w:lineRule="auto"/>
      </w:pPr>
      <w:r>
        <w:br w:type="page"/>
      </w:r>
    </w:p>
    <w:p w14:paraId="59327F44" w14:textId="77777777" w:rsidR="00343A65" w:rsidRDefault="00343A65" w:rsidP="00343A65"/>
    <w:bookmarkEnd w:id="150"/>
    <w:p w14:paraId="00A5DD0B" w14:textId="788AC39A" w:rsidR="00240797" w:rsidRPr="001A2508" w:rsidRDefault="00240797" w:rsidP="00C36AEC">
      <w:pPr>
        <w:pStyle w:val="KPIHeading3LC"/>
      </w:pPr>
      <w:r w:rsidRPr="001A2508">
        <w:t xml:space="preserve">KPI: </w:t>
      </w:r>
      <w:r>
        <w:t>Reoffending rate</w:t>
      </w:r>
    </w:p>
    <w:p w14:paraId="761D97C1" w14:textId="374F36A7" w:rsidR="00240797" w:rsidRDefault="00B035F1" w:rsidP="00974DED">
      <w:pPr>
        <w:pStyle w:val="KPIPullOutLC"/>
      </w:pPr>
      <w:r w:rsidRPr="00B035F1">
        <w:t>Reoffending Rates down in four out of five Crime Groups</w:t>
      </w:r>
    </w:p>
    <w:p w14:paraId="2CFDEF82" w14:textId="4DB0A19E" w:rsidR="00F930B3" w:rsidRDefault="003D3925" w:rsidP="00F930B3">
      <w:r w:rsidRPr="003D3925">
        <w:rPr>
          <w:noProof/>
        </w:rPr>
        <w:drawing>
          <wp:inline distT="0" distB="0" distL="0" distR="0" wp14:anchorId="697ADDDC" wp14:editId="011C9B9E">
            <wp:extent cx="6188710" cy="2229485"/>
            <wp:effectExtent l="0" t="0" r="2540" b="0"/>
            <wp:docPr id="1943446574" name="Picture 1" descr="Reoffending Rate&#10;The first row of this table shows the reoffending rate for Group 1 non sexual crimes of violence was 28.0% YTD compared to 27.7% PYTD (up 0.3% points on PYTD).&#10;The second row shows the reoffending rate for Group 2 sexual crimes was 25.3% YTD compared to 26.9% PYTD (down 1.6% points on PYTD).&#10;The third row shows the reoffending rate for Group 3 crimes of dishonesty was 41.3% YTD compared to 42.3% PYTD (down 1.0% points on PYTD).&#10;The fourth row shows the reoffending rate for Group 4 damage and reckless behaviour was 20.7% YTD compared to 21.7% PYTD (down 1.0% points on PYTD).&#10;The fifth row shows the reoffending rate for Group 5 crimes against society was 35.2% YTD compared to 35.6% PYTD (down 0.4%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46574" name="Picture 1" descr="Reoffending Rate&#10;The first row of this table shows the reoffending rate for Group 1 non sexual crimes of violence was 28.0% YTD compared to 27.7% PYTD (up 0.3% points on PYTD).&#10;The second row shows the reoffending rate for Group 2 sexual crimes was 25.3% YTD compared to 26.9% PYTD (down 1.6% points on PYTD).&#10;The third row shows the reoffending rate for Group 3 crimes of dishonesty was 41.3% YTD compared to 42.3% PYTD (down 1.0% points on PYTD).&#10;The fourth row shows the reoffending rate for Group 4 damage and reckless behaviour was 20.7% YTD compared to 21.7% PYTD (down 1.0% points on PYTD).&#10;The fifth row shows the reoffending rate for Group 5 crimes against society was 35.2% YTD compared to 35.6% PYTD (down 0.4% points on PYTD).&#10;"/>
                    <pic:cNvPicPr/>
                  </pic:nvPicPr>
                  <pic:blipFill>
                    <a:blip r:embed="rId66"/>
                    <a:stretch>
                      <a:fillRect/>
                    </a:stretch>
                  </pic:blipFill>
                  <pic:spPr>
                    <a:xfrm>
                      <a:off x="0" y="0"/>
                      <a:ext cx="6188710" cy="2229485"/>
                    </a:xfrm>
                    <a:prstGeom prst="rect">
                      <a:avLst/>
                    </a:prstGeom>
                  </pic:spPr>
                </pic:pic>
              </a:graphicData>
            </a:graphic>
          </wp:inline>
        </w:drawing>
      </w:r>
    </w:p>
    <w:p w14:paraId="09EC911C" w14:textId="6E5B861D" w:rsidR="00B035F1" w:rsidRDefault="00B035F1" w:rsidP="00B035F1">
      <w:r>
        <w:t>Groups 2-4 crimes all note slight decreases in their percentage of reoffending at the end of Quarter 2 2025/26 compared to the same period in the previous year, whilst a small increase is noted under Group 1 crimes.</w:t>
      </w:r>
    </w:p>
    <w:p w14:paraId="53879352" w14:textId="4A5AA6A3" w:rsidR="00B035F1" w:rsidRDefault="00B035F1" w:rsidP="00B035F1">
      <w:bookmarkStart w:id="151" w:name="_Hlk213333611"/>
      <w:r>
        <w:t xml:space="preserve">The largest percentage of reoffending continues to be within Group 3 crimes (41.3%) however this remains 1.0 percentage point below the same period last year. The biggest contributory factor remains within Theft by Shoplifting with </w:t>
      </w:r>
      <w:r w:rsidR="00946489">
        <w:t>49.8</w:t>
      </w:r>
      <w:r>
        <w:t>% reoffending recorded.</w:t>
      </w:r>
    </w:p>
    <w:p w14:paraId="413D74F7" w14:textId="48E2ABCF" w:rsidR="00ED6EEA" w:rsidRDefault="00B035F1" w:rsidP="00B035F1">
      <w:r>
        <w:t xml:space="preserve">The increase under Group 1 crimes is influenced adversely by </w:t>
      </w:r>
      <w:r w:rsidR="00946489">
        <w:t xml:space="preserve">increased </w:t>
      </w:r>
      <w:r>
        <w:t>reoffending under</w:t>
      </w:r>
      <w:r w:rsidR="00946489">
        <w:t xml:space="preserve"> Attempted Murder, </w:t>
      </w:r>
      <w:r>
        <w:t>Common Assault of an Emergency Worker</w:t>
      </w:r>
      <w:r w:rsidR="00946489">
        <w:t xml:space="preserve"> and Serious Assault</w:t>
      </w:r>
      <w:bookmarkEnd w:id="151"/>
      <w:r>
        <w:t>.</w:t>
      </w:r>
    </w:p>
    <w:p w14:paraId="14F85063" w14:textId="5358F45F" w:rsidR="00240797" w:rsidRPr="001A2508" w:rsidRDefault="00240797" w:rsidP="00C36AEC">
      <w:pPr>
        <w:pStyle w:val="KPIHeading3LC"/>
      </w:pPr>
      <w:r w:rsidRPr="001A2508">
        <w:t xml:space="preserve">KPI: </w:t>
      </w:r>
      <w:r>
        <w:t>Level of threat, harm and risk</w:t>
      </w:r>
    </w:p>
    <w:p w14:paraId="1530959F" w14:textId="5996DE75" w:rsidR="00240797" w:rsidRDefault="00240797" w:rsidP="00974DED">
      <w:pPr>
        <w:pStyle w:val="Heading4"/>
      </w:pPr>
      <w:r>
        <w:t>Serious Organised Crime Groups</w:t>
      </w:r>
    </w:p>
    <w:p w14:paraId="45DBEC13" w14:textId="715C4C50" w:rsidR="00061558" w:rsidRPr="00061558" w:rsidRDefault="00CA5752" w:rsidP="00974DED">
      <w:pPr>
        <w:pStyle w:val="KPIPullOutLC"/>
      </w:pPr>
      <w:r w:rsidRPr="00CA5752">
        <w:t>Largest known cannabis cultivation in Scotland recovered</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4425EF50" w14:textId="77777777" w:rsidTr="008A4F07">
        <w:trPr>
          <w:trHeight w:val="680"/>
          <w:tblHeader/>
        </w:trPr>
        <w:tc>
          <w:tcPr>
            <w:tcW w:w="9862" w:type="dxa"/>
            <w:shd w:val="clear" w:color="auto" w:fill="1F3864" w:themeFill="accent5" w:themeFillShade="80"/>
            <w:vAlign w:val="center"/>
            <w:hideMark/>
          </w:tcPr>
          <w:p w14:paraId="562AD478" w14:textId="19726254" w:rsidR="004D442B" w:rsidRPr="00366718" w:rsidRDefault="004D442B" w:rsidP="008A4F07">
            <w:pPr>
              <w:pStyle w:val="CaseHeaderLeft"/>
              <w:rPr>
                <w:color w:val="FFFFFF" w:themeColor="background1"/>
              </w:rPr>
            </w:pPr>
            <w:bookmarkStart w:id="152" w:name="PP5CannabisCultivation"/>
            <w:bookmarkEnd w:id="152"/>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053F48">
              <w:rPr>
                <w:color w:val="FFFFFF" w:themeColor="background1"/>
              </w:rPr>
              <w:t>Cannabis Cultivation</w:t>
            </w:r>
          </w:p>
        </w:tc>
      </w:tr>
      <w:tr w:rsidR="004D442B" w:rsidRPr="0003495F" w14:paraId="3B735F36" w14:textId="77777777" w:rsidTr="008A4F07">
        <w:trPr>
          <w:trHeight w:val="680"/>
        </w:trPr>
        <w:tc>
          <w:tcPr>
            <w:tcW w:w="9862" w:type="dxa"/>
            <w:shd w:val="clear" w:color="auto" w:fill="FFF2CC" w:themeFill="accent4" w:themeFillTint="33"/>
            <w:vAlign w:val="center"/>
            <w:hideMark/>
          </w:tcPr>
          <w:p w14:paraId="5A8F0303" w14:textId="34619C91" w:rsidR="004D442B" w:rsidRPr="00D87D1B" w:rsidRDefault="00CA5752" w:rsidP="00BD214C">
            <w:pPr>
              <w:pStyle w:val="CaseBodyLeft"/>
              <w:rPr>
                <w:color w:val="000000" w:themeColor="text1"/>
              </w:rPr>
            </w:pPr>
            <w:bookmarkStart w:id="153" w:name="_Hlk213333726"/>
            <w:r w:rsidRPr="00CA5752">
              <w:rPr>
                <w:color w:val="000000" w:themeColor="text1"/>
              </w:rPr>
              <w:t>The largest cannabis cultivation found in Scotland to date has been valued at almost £12 million.</w:t>
            </w:r>
            <w:r w:rsidR="00BD214C">
              <w:rPr>
                <w:color w:val="000000" w:themeColor="text1"/>
              </w:rPr>
              <w:t xml:space="preserve"> O</w:t>
            </w:r>
            <w:r w:rsidRPr="00CA5752">
              <w:rPr>
                <w:color w:val="000000" w:themeColor="text1"/>
              </w:rPr>
              <w:t>fficers executed a warrant at a derelict building in Kirkcaldy, where the cultivation was discovered.  Around 5,000 plants were recovered, with the estimated product weight totalling over 1,000kg</w:t>
            </w:r>
            <w:bookmarkEnd w:id="153"/>
            <w:r w:rsidRPr="00CA5752">
              <w:rPr>
                <w:color w:val="000000" w:themeColor="text1"/>
              </w:rPr>
              <w:t>.</w:t>
            </w:r>
          </w:p>
        </w:tc>
      </w:tr>
    </w:tbl>
    <w:p w14:paraId="04C90C36" w14:textId="23B98360" w:rsidR="004D442B" w:rsidRDefault="003853FE" w:rsidP="00974DED">
      <w:pPr>
        <w:pStyle w:val="KPIPullOutLC"/>
      </w:pPr>
      <w:r>
        <w:lastRenderedPageBreak/>
        <w:t xml:space="preserve">Over 100 vulnerable people safeguarded from </w:t>
      </w:r>
      <w:r w:rsidR="00053F48">
        <w:t>County Lines</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D442B" w:rsidRPr="0003495F" w14:paraId="10145DEB" w14:textId="77777777" w:rsidTr="008A4F07">
        <w:trPr>
          <w:trHeight w:val="680"/>
          <w:tblHeader/>
        </w:trPr>
        <w:tc>
          <w:tcPr>
            <w:tcW w:w="9862" w:type="dxa"/>
            <w:shd w:val="clear" w:color="auto" w:fill="1F3864" w:themeFill="accent5" w:themeFillShade="80"/>
            <w:vAlign w:val="center"/>
            <w:hideMark/>
          </w:tcPr>
          <w:p w14:paraId="1A74DB79" w14:textId="1D6C6EA4" w:rsidR="004D442B" w:rsidRPr="00366718" w:rsidRDefault="004D442B" w:rsidP="008A4F07">
            <w:pPr>
              <w:pStyle w:val="CaseHeaderLeft"/>
              <w:rPr>
                <w:color w:val="FFFFFF" w:themeColor="background1"/>
              </w:rPr>
            </w:pPr>
            <w:bookmarkStart w:id="154" w:name="PP6CountyLines"/>
            <w:bookmarkEnd w:id="154"/>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C30F40">
              <w:rPr>
                <w:color w:val="FFFFFF" w:themeColor="background1"/>
              </w:rPr>
              <w:t>County Lines Intensification Week</w:t>
            </w:r>
          </w:p>
        </w:tc>
      </w:tr>
      <w:tr w:rsidR="004D442B" w:rsidRPr="0003495F" w14:paraId="6B0B63C7" w14:textId="77777777" w:rsidTr="008A4F07">
        <w:trPr>
          <w:trHeight w:val="680"/>
        </w:trPr>
        <w:tc>
          <w:tcPr>
            <w:tcW w:w="9862" w:type="dxa"/>
            <w:shd w:val="clear" w:color="auto" w:fill="FFF2CC" w:themeFill="accent4" w:themeFillTint="33"/>
            <w:vAlign w:val="center"/>
            <w:hideMark/>
          </w:tcPr>
          <w:p w14:paraId="7D3DD887" w14:textId="2B269F89" w:rsidR="00C30F40" w:rsidRPr="00C30F40" w:rsidRDefault="00C30F40" w:rsidP="00C30F40">
            <w:pPr>
              <w:pStyle w:val="CaseBodyLeft"/>
              <w:rPr>
                <w:color w:val="000000" w:themeColor="text1"/>
              </w:rPr>
            </w:pPr>
            <w:bookmarkStart w:id="155" w:name="_Hlk213333785"/>
            <w:r w:rsidRPr="00C30F40">
              <w:rPr>
                <w:color w:val="000000" w:themeColor="text1"/>
              </w:rPr>
              <w:t>Proactive action by Police Scotland saw officers safeguarding a number of vulnerable people who are exploited by drug dealers, during a national County Lines intensification week</w:t>
            </w:r>
            <w:bookmarkEnd w:id="155"/>
            <w:r w:rsidRPr="00C30F40">
              <w:rPr>
                <w:color w:val="000000" w:themeColor="text1"/>
              </w:rPr>
              <w:t>.</w:t>
            </w:r>
          </w:p>
          <w:p w14:paraId="48A8B378" w14:textId="77777777" w:rsidR="00C30F40" w:rsidRPr="00C30F40" w:rsidRDefault="00C30F40" w:rsidP="00C30F40">
            <w:pPr>
              <w:pStyle w:val="CaseBodyLeft"/>
              <w:rPr>
                <w:color w:val="000000" w:themeColor="text1"/>
              </w:rPr>
            </w:pPr>
            <w:r w:rsidRPr="00C30F40">
              <w:rPr>
                <w:color w:val="000000" w:themeColor="text1"/>
              </w:rPr>
              <w:t>County Lines drug dealers from larger cities expand their criminal activity into smaller communities to exploit young and vulnerable people to sell drugs, carry cash and weapons – bringing violence, coercion and abuse. They can also take over a vulnerable person’s house – known as cuckooing.</w:t>
            </w:r>
          </w:p>
          <w:p w14:paraId="0AF9E953" w14:textId="77777777" w:rsidR="00C30F40" w:rsidRPr="00C30F40" w:rsidRDefault="00C30F40" w:rsidP="00C30F40">
            <w:pPr>
              <w:pStyle w:val="CaseBodyLeft"/>
              <w:rPr>
                <w:color w:val="000000" w:themeColor="text1"/>
              </w:rPr>
            </w:pPr>
            <w:bookmarkStart w:id="156" w:name="_Hlk213333802"/>
            <w:r w:rsidRPr="00C30F40">
              <w:rPr>
                <w:color w:val="000000" w:themeColor="text1"/>
              </w:rPr>
              <w:t>Officers across Scotland safeguarded over 100 vulnerable people and engaged with almost 2,800 more. They also visited more than 40 addresses believed to be used by drug dealers as a cuckooing house</w:t>
            </w:r>
            <w:bookmarkEnd w:id="156"/>
            <w:r w:rsidRPr="00C30F40">
              <w:rPr>
                <w:color w:val="000000" w:themeColor="text1"/>
              </w:rPr>
              <w:t>.</w:t>
            </w:r>
          </w:p>
          <w:p w14:paraId="24E0B839" w14:textId="6AB2EA29" w:rsidR="00C30F40" w:rsidRPr="00C30F40" w:rsidRDefault="00C30F40" w:rsidP="00C30F40">
            <w:pPr>
              <w:pStyle w:val="CaseBodyLeft"/>
              <w:rPr>
                <w:color w:val="000000" w:themeColor="text1"/>
              </w:rPr>
            </w:pPr>
            <w:bookmarkStart w:id="157" w:name="_Hlk213333824"/>
            <w:r w:rsidRPr="00C30F40">
              <w:rPr>
                <w:color w:val="000000" w:themeColor="text1"/>
              </w:rPr>
              <w:t xml:space="preserve">Throughout the intensification week 42 people </w:t>
            </w:r>
            <w:r>
              <w:rPr>
                <w:color w:val="000000" w:themeColor="text1"/>
              </w:rPr>
              <w:t xml:space="preserve">were </w:t>
            </w:r>
            <w:r w:rsidRPr="00C30F40">
              <w:rPr>
                <w:color w:val="000000" w:themeColor="text1"/>
              </w:rPr>
              <w:t>arrested and 15 evidential search and apprehension warrants were executed</w:t>
            </w:r>
            <w:bookmarkEnd w:id="157"/>
            <w:r w:rsidRPr="00C30F40">
              <w:rPr>
                <w:color w:val="000000" w:themeColor="text1"/>
              </w:rPr>
              <w:t>.</w:t>
            </w:r>
          </w:p>
          <w:p w14:paraId="5C0824A4" w14:textId="4E646625" w:rsidR="00C30F40" w:rsidRPr="00C30F40" w:rsidRDefault="00C30F40" w:rsidP="00C30F40">
            <w:pPr>
              <w:pStyle w:val="CaseBodyLeft"/>
              <w:rPr>
                <w:color w:val="000000" w:themeColor="text1"/>
              </w:rPr>
            </w:pPr>
            <w:bookmarkStart w:id="158" w:name="_Hlk213333841"/>
            <w:r w:rsidRPr="00C30F40">
              <w:rPr>
                <w:color w:val="000000" w:themeColor="text1"/>
              </w:rPr>
              <w:t>More than 300 cannabis plants with a value of £280,000 were recovered</w:t>
            </w:r>
            <w:bookmarkEnd w:id="158"/>
            <w:r w:rsidRPr="00C30F40">
              <w:rPr>
                <w:color w:val="000000" w:themeColor="text1"/>
              </w:rPr>
              <w:t>.</w:t>
            </w:r>
          </w:p>
          <w:p w14:paraId="3F72A1C9" w14:textId="77777777" w:rsidR="00C30F40" w:rsidRPr="00C30F40" w:rsidRDefault="00C30F40" w:rsidP="00C30F40">
            <w:pPr>
              <w:pStyle w:val="CaseBodyLeft"/>
              <w:rPr>
                <w:color w:val="000000" w:themeColor="text1"/>
              </w:rPr>
            </w:pPr>
            <w:bookmarkStart w:id="159" w:name="_Hlk213333851"/>
            <w:r w:rsidRPr="00C30F40">
              <w:rPr>
                <w:color w:val="000000" w:themeColor="text1"/>
              </w:rPr>
              <w:t>Other illegal drugs, including £67,000 of herbal cannabis, more than £2,100 of cannabis resin, cocaine and crack cocaine with a street value of more than £85,000 and heroin worth around £45,000 were also seized</w:t>
            </w:r>
            <w:bookmarkEnd w:id="159"/>
            <w:r w:rsidRPr="00C30F40">
              <w:rPr>
                <w:color w:val="000000" w:themeColor="text1"/>
              </w:rPr>
              <w:t>.</w:t>
            </w:r>
          </w:p>
          <w:p w14:paraId="5C9569DE" w14:textId="2BB57FAD" w:rsidR="004D442B" w:rsidRPr="00D87D1B" w:rsidRDefault="00C30F40" w:rsidP="00C30F40">
            <w:pPr>
              <w:pStyle w:val="CaseBodyLeft"/>
              <w:rPr>
                <w:color w:val="000000" w:themeColor="text1"/>
              </w:rPr>
            </w:pPr>
            <w:r w:rsidRPr="00C30F40">
              <w:rPr>
                <w:color w:val="000000" w:themeColor="text1"/>
              </w:rPr>
              <w:t>Offensive weapons, including knives, an axe and a machete, were discovered during the activity by officers.</w:t>
            </w:r>
          </w:p>
        </w:tc>
      </w:tr>
    </w:tbl>
    <w:p w14:paraId="5D20DC60" w14:textId="4518C701" w:rsidR="00886504" w:rsidRPr="001D1FCB" w:rsidRDefault="00AB6A37" w:rsidP="00974DED">
      <w:pPr>
        <w:pStyle w:val="KPIPullOutLC"/>
      </w:pPr>
      <w:r w:rsidRPr="00AB6A37">
        <w:t xml:space="preserve">Proceeds of Crime opportunities result in seizure of </w:t>
      </w:r>
      <w:r>
        <w:t>over £</w:t>
      </w:r>
      <w:r w:rsidR="004A4073">
        <w:t>4</w:t>
      </w:r>
      <w:r>
        <w:t>m</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886504" w:rsidRPr="0003495F" w14:paraId="03E58D61" w14:textId="77777777" w:rsidTr="001A2508">
        <w:trPr>
          <w:trHeight w:val="680"/>
          <w:tblHeader/>
        </w:trPr>
        <w:tc>
          <w:tcPr>
            <w:tcW w:w="9862" w:type="dxa"/>
            <w:shd w:val="clear" w:color="auto" w:fill="1F3864" w:themeFill="accent5" w:themeFillShade="80"/>
            <w:vAlign w:val="center"/>
            <w:hideMark/>
          </w:tcPr>
          <w:p w14:paraId="50B326D5" w14:textId="2395612B" w:rsidR="00886504" w:rsidRPr="00366718" w:rsidRDefault="00886504" w:rsidP="0034327A">
            <w:pPr>
              <w:pStyle w:val="CaseHeaderLeft"/>
              <w:rPr>
                <w:color w:val="FFFFFF" w:themeColor="background1"/>
              </w:rPr>
            </w:pPr>
            <w:bookmarkStart w:id="160" w:name="PP7ProceedsofCrime"/>
            <w:bookmarkEnd w:id="160"/>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sidR="000F2D90">
              <w:rPr>
                <w:color w:val="FFFFFF" w:themeColor="background1"/>
              </w:rPr>
              <w:t>Proceeds of Crime</w:t>
            </w:r>
          </w:p>
        </w:tc>
      </w:tr>
      <w:tr w:rsidR="00886504" w:rsidRPr="0003495F" w14:paraId="3819385F" w14:textId="77777777" w:rsidTr="0034327A">
        <w:trPr>
          <w:trHeight w:val="680"/>
        </w:trPr>
        <w:tc>
          <w:tcPr>
            <w:tcW w:w="9862" w:type="dxa"/>
            <w:shd w:val="clear" w:color="auto" w:fill="FFF2CC" w:themeFill="accent4" w:themeFillTint="33"/>
            <w:vAlign w:val="center"/>
            <w:hideMark/>
          </w:tcPr>
          <w:p w14:paraId="37AC81F3" w14:textId="4F7EE3BE" w:rsidR="006320BC" w:rsidRPr="006320BC" w:rsidRDefault="006320BC" w:rsidP="006320BC">
            <w:pPr>
              <w:pStyle w:val="CaseBodyLeft"/>
              <w:rPr>
                <w:color w:val="000000" w:themeColor="text1"/>
              </w:rPr>
            </w:pPr>
            <w:r w:rsidRPr="006320BC">
              <w:rPr>
                <w:color w:val="000000" w:themeColor="text1"/>
              </w:rPr>
              <w:t xml:space="preserve">SOC Specialist Proceeds of Crime Unit identify and exploit POCA Opportunities to assist in tracing assets derived from proceeds of crime.  </w:t>
            </w:r>
          </w:p>
          <w:p w14:paraId="7002113B" w14:textId="2D046610" w:rsidR="006320BC" w:rsidRPr="006320BC" w:rsidRDefault="006320BC" w:rsidP="006320BC">
            <w:pPr>
              <w:pStyle w:val="CaseBodyLeft"/>
              <w:rPr>
                <w:color w:val="000000" w:themeColor="text1"/>
              </w:rPr>
            </w:pPr>
            <w:bookmarkStart w:id="161" w:name="_Hlk213333918"/>
            <w:r w:rsidRPr="006320BC">
              <w:rPr>
                <w:color w:val="000000" w:themeColor="text1"/>
              </w:rPr>
              <w:t>During Q</w:t>
            </w:r>
            <w:r>
              <w:rPr>
                <w:color w:val="000000" w:themeColor="text1"/>
              </w:rPr>
              <w:t xml:space="preserve">uarter </w:t>
            </w:r>
            <w:r w:rsidRPr="006320BC">
              <w:rPr>
                <w:color w:val="000000" w:themeColor="text1"/>
              </w:rPr>
              <w:t xml:space="preserve">2, 48 Restraints were submitted to Proceeds of Crime Unit, totalling £3,448,668. There were a further 163 Cash Seizures totalling £969,541, </w:t>
            </w:r>
            <w:r>
              <w:rPr>
                <w:color w:val="000000" w:themeColor="text1"/>
              </w:rPr>
              <w:t>three</w:t>
            </w:r>
            <w:r w:rsidRPr="006320BC">
              <w:rPr>
                <w:color w:val="000000" w:themeColor="text1"/>
              </w:rPr>
              <w:t xml:space="preserve"> Listed Assets totalling £37,100 which were all submitted to Civil Recovery</w:t>
            </w:r>
          </w:p>
          <w:p w14:paraId="1A5BE8FD" w14:textId="6DC56BC3" w:rsidR="006320BC" w:rsidRPr="006320BC" w:rsidRDefault="006320BC" w:rsidP="006320BC">
            <w:pPr>
              <w:pStyle w:val="CaseBodyLeft"/>
              <w:rPr>
                <w:color w:val="000000" w:themeColor="text1"/>
              </w:rPr>
            </w:pPr>
            <w:r w:rsidRPr="006320BC">
              <w:rPr>
                <w:color w:val="000000" w:themeColor="text1"/>
              </w:rPr>
              <w:t>The total POCA figures during Q</w:t>
            </w:r>
            <w:r>
              <w:rPr>
                <w:color w:val="000000" w:themeColor="text1"/>
              </w:rPr>
              <w:t xml:space="preserve">uarter </w:t>
            </w:r>
            <w:r w:rsidRPr="006320BC">
              <w:rPr>
                <w:color w:val="000000" w:themeColor="text1"/>
              </w:rPr>
              <w:t>2 was £4,455,309, significantly disrupting serious and organised crime.</w:t>
            </w:r>
          </w:p>
          <w:p w14:paraId="186D671B" w14:textId="7CAF72FA" w:rsidR="00886504" w:rsidRPr="00D87D1B" w:rsidRDefault="006320BC" w:rsidP="001C77B8">
            <w:pPr>
              <w:pStyle w:val="CaseBodyLeft"/>
              <w:rPr>
                <w:color w:val="000000" w:themeColor="text1"/>
              </w:rPr>
            </w:pPr>
            <w:r w:rsidRPr="006320BC">
              <w:rPr>
                <w:color w:val="000000" w:themeColor="text1"/>
              </w:rPr>
              <w:t>During Q</w:t>
            </w:r>
            <w:r>
              <w:rPr>
                <w:color w:val="000000" w:themeColor="text1"/>
              </w:rPr>
              <w:t xml:space="preserve">uarter </w:t>
            </w:r>
            <w:r w:rsidRPr="006320BC">
              <w:rPr>
                <w:color w:val="000000" w:themeColor="text1"/>
              </w:rPr>
              <w:t xml:space="preserve">2 of 2025/26 65 Confiscation Orders were granted, depriving £987,808 of ill-gotten gains from criminals. </w:t>
            </w:r>
            <w:r>
              <w:rPr>
                <w:color w:val="000000" w:themeColor="text1"/>
              </w:rPr>
              <w:t>Since April 2025, t</w:t>
            </w:r>
            <w:r w:rsidRPr="006320BC">
              <w:rPr>
                <w:color w:val="000000" w:themeColor="text1"/>
              </w:rPr>
              <w:t>here have been 130 Confiscation Orders granted, depriving £2,930,080 of ill-gotten gains from criminals</w:t>
            </w:r>
            <w:bookmarkEnd w:id="161"/>
            <w:r w:rsidRPr="006320BC">
              <w:rPr>
                <w:color w:val="000000" w:themeColor="text1"/>
              </w:rPr>
              <w:t>.</w:t>
            </w:r>
          </w:p>
        </w:tc>
      </w:tr>
    </w:tbl>
    <w:p w14:paraId="3A946BE1" w14:textId="77777777" w:rsidR="00886504" w:rsidRDefault="00886504" w:rsidP="00886504">
      <w:pPr>
        <w:spacing w:before="0" w:after="160" w:line="259" w:lineRule="auto"/>
      </w:pPr>
      <w:r>
        <w:br w:type="page"/>
      </w:r>
    </w:p>
    <w:tbl>
      <w:tblPr>
        <w:tblStyle w:val="TableGrid1"/>
        <w:tblW w:w="9865" w:type="dxa"/>
        <w:shd w:val="clear" w:color="auto" w:fill="29AAD1"/>
        <w:tblLook w:val="04A0" w:firstRow="1" w:lastRow="0" w:firstColumn="1" w:lastColumn="0" w:noHBand="0" w:noVBand="1"/>
      </w:tblPr>
      <w:tblGrid>
        <w:gridCol w:w="9865"/>
      </w:tblGrid>
      <w:tr w:rsidR="0012202C" w:rsidRPr="007B0D51" w14:paraId="1CD08F0E" w14:textId="77777777" w:rsidTr="0012202C">
        <w:trPr>
          <w:tblHeader/>
        </w:trPr>
        <w:tc>
          <w:tcPr>
            <w:tcW w:w="9865" w:type="dxa"/>
            <w:shd w:val="clear" w:color="auto" w:fill="7030A0"/>
          </w:tcPr>
          <w:p w14:paraId="1D67AB89" w14:textId="20E57FC7" w:rsidR="0012202C" w:rsidRDefault="0012202C" w:rsidP="0034327A">
            <w:pPr>
              <w:pStyle w:val="Heading3"/>
              <w:rPr>
                <w:rFonts w:ascii="Arial" w:hAnsi="Arial" w:cs="Arial"/>
                <w:color w:val="FFFFFF" w:themeColor="background1"/>
              </w:rPr>
            </w:pPr>
            <w:bookmarkStart w:id="162" w:name="_Toc215149610"/>
            <w:bookmarkEnd w:id="36"/>
            <w:bookmarkEnd w:id="37"/>
            <w:bookmarkEnd w:id="38"/>
            <w:bookmarkEnd w:id="39"/>
            <w:bookmarkEnd w:id="40"/>
            <w:bookmarkEnd w:id="41"/>
            <w:r w:rsidRPr="007733DD">
              <w:rPr>
                <w:rFonts w:ascii="Arial" w:hAnsi="Arial" w:cs="Arial"/>
                <w:color w:val="FFFFFF" w:themeColor="background1"/>
              </w:rPr>
              <w:lastRenderedPageBreak/>
              <w:t>Vision 2030: Supported Victims</w:t>
            </w:r>
            <w:bookmarkEnd w:id="162"/>
          </w:p>
          <w:p w14:paraId="2D2C6FFA" w14:textId="586B31D1" w:rsidR="0012202C" w:rsidRPr="007733DD" w:rsidRDefault="007733DD" w:rsidP="00C36AEC">
            <w:pPr>
              <w:rPr>
                <w:rFonts w:ascii="Arial" w:hAnsi="Arial" w:cs="Arial"/>
                <w:color w:val="FFFFFF" w:themeColor="background1"/>
                <w:sz w:val="24"/>
                <w:szCs w:val="24"/>
              </w:rPr>
            </w:pPr>
            <w:r>
              <w:rPr>
                <w:rFonts w:ascii="Arial" w:hAnsi="Arial" w:cs="Arial"/>
                <w:color w:val="FFFFFF" w:themeColor="background1"/>
                <w:sz w:val="24"/>
                <w:szCs w:val="24"/>
              </w:rPr>
              <w:t>Users are satisfied with the service provided</w:t>
            </w:r>
          </w:p>
        </w:tc>
      </w:tr>
    </w:tbl>
    <w:p w14:paraId="70EC11A1" w14:textId="2A467A43" w:rsidR="0012202C" w:rsidRPr="0012202C" w:rsidRDefault="0012202C" w:rsidP="00C36AEC">
      <w:pPr>
        <w:pStyle w:val="KPIHeading3SV"/>
      </w:pPr>
      <w:r w:rsidRPr="0012202C">
        <w:t>KPI: User Experience question – Based on your overall experience, how satisfied are you with your police service?</w:t>
      </w:r>
    </w:p>
    <w:p w14:paraId="2B6D4E24" w14:textId="1982442F" w:rsidR="0012202C" w:rsidRDefault="0012202C" w:rsidP="00974DED">
      <w:pPr>
        <w:pStyle w:val="Heading4"/>
      </w:pPr>
      <w:r w:rsidRPr="0012202C">
        <w:t>User Experience: Survey Results</w:t>
      </w:r>
    </w:p>
    <w:p w14:paraId="4A43A154" w14:textId="45A3E76E" w:rsidR="00061558" w:rsidRPr="00061558" w:rsidRDefault="00061558" w:rsidP="00974DED">
      <w:pPr>
        <w:pStyle w:val="KPIPullOutSV"/>
      </w:pPr>
      <w:bookmarkStart w:id="163" w:name="_Hlk206072399"/>
      <w:r>
        <w:t xml:space="preserve">Overall </w:t>
      </w:r>
      <w:r w:rsidR="001C77B8">
        <w:t>s</w:t>
      </w:r>
      <w:r>
        <w:t xml:space="preserve">atisfaction </w:t>
      </w:r>
      <w:r w:rsidR="0001145B">
        <w:t>down 4% points on previous quarter</w:t>
      </w:r>
    </w:p>
    <w:bookmarkEnd w:id="163"/>
    <w:p w14:paraId="599F20A4" w14:textId="77777777" w:rsidR="00F930B3" w:rsidRPr="00F930B3" w:rsidRDefault="00FB380A" w:rsidP="00577A2C">
      <w:pPr>
        <w:spacing w:before="0" w:after="160" w:line="259" w:lineRule="auto"/>
      </w:pPr>
      <w:r>
        <w:rPr>
          <w:noProof/>
        </w:rPr>
        <w:drawing>
          <wp:inline distT="0" distB="0" distL="0" distR="0" wp14:anchorId="0940023E" wp14:editId="2753028C">
            <wp:extent cx="6188710" cy="2540635"/>
            <wp:effectExtent l="0" t="0" r="2540" b="12065"/>
            <wp:docPr id="2105513043" name="Chart 1" descr="User Experience: Survey Results&#10;This image shows the overall satisfaction from the User Experience survey from Quarter 1 2022/23 to Quarter 2 2025/26. The blue line shows user experience satisfaction was 67% from 3,752 respondents in Q1 2022/23; 66% from 3,783 in Q2 2022/23; 69% from 3,933 in Q3 2022/23; 70% from 3,908 in Q4 2022/23; 68% from 3,885 in Q1 2023/24; 66% from 3,826 in Q2 2023/24; 69% from 3,935 in Q3 2023/24; 71% from 3,845 in Q4 2023/24; 69% from 3,834 in Q1 2024/25; 70% from 3,912 in Q2 2024/25; 70% from 3,744 in Q3 2024/25; 73% from 3,715 in Q4 2024/25; 71% from 3,746 in Q1 2025/26; and 67% from 3,814 in Q2 2025/26.&#10;">
              <a:extLst xmlns:a="http://schemas.openxmlformats.org/drawingml/2006/main">
                <a:ext uri="{FF2B5EF4-FFF2-40B4-BE49-F238E27FC236}">
                  <a16:creationId xmlns:a16="http://schemas.microsoft.com/office/drawing/2014/main" id="{3AFC52B9-D9C8-BEE1-B6A4-A4E50B807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34E9873" w14:textId="70CBE863" w:rsidR="00933A19" w:rsidRDefault="00577A2C" w:rsidP="00577A2C">
      <w:pPr>
        <w:spacing w:before="0" w:after="160" w:line="259" w:lineRule="auto"/>
      </w:pPr>
      <w:bookmarkStart w:id="164" w:name="_Hlk213334044"/>
      <w:bookmarkStart w:id="165" w:name="_Hlk206492546"/>
      <w:r>
        <w:t xml:space="preserve">User experience </w:t>
      </w:r>
      <w:r w:rsidR="00933A19">
        <w:t xml:space="preserve">measures satisfaction with contacting the police across critical elements in the end-to-end journey and </w:t>
      </w:r>
      <w:r>
        <w:t>is lower than in the previous quarter, dropping below 70% for the first time since Q</w:t>
      </w:r>
      <w:r w:rsidR="0001145B">
        <w:t xml:space="preserve">uarter </w:t>
      </w:r>
      <w:r>
        <w:t>1 2024/25. Reported satisfaction has decreased this quarter by four percentage points. Overall, 67% of respondents were satisfied or very satisfied with their overall experience</w:t>
      </w:r>
      <w:bookmarkEnd w:id="164"/>
      <w:r>
        <w:t>.</w:t>
      </w:r>
    </w:p>
    <w:p w14:paraId="3D801D36" w14:textId="77777777" w:rsidR="00577A2C" w:rsidRDefault="00577A2C" w:rsidP="00577A2C">
      <w:pPr>
        <w:spacing w:before="0" w:after="160" w:line="259" w:lineRule="auto"/>
      </w:pPr>
      <w:r>
        <w:t>Our breakdown of the contact touchpoints demonstrates what is driving these levels of satisfaction. Ease of contact 69% (down seven percentage points); Treatment by staff member during initial contact 83% (down three percentage point); Staff understanding what they needed 85% (down three percentage points); Police providing the appropriate response 61% (down three percentage points); Treatment by officers who attended the incident 80% (down five percentage points); and Being adequately informed about progress 47% (down two percentage points) when compared to Quarter 1 2025/26.</w:t>
      </w:r>
    </w:p>
    <w:p w14:paraId="5DD7F292" w14:textId="3F6E505C" w:rsidR="00ED5454" w:rsidRDefault="00ED5454" w:rsidP="00ED5454">
      <w:pPr>
        <w:spacing w:before="0" w:after="160" w:line="259" w:lineRule="auto"/>
      </w:pPr>
      <w:bookmarkStart w:id="166" w:name="_Hlk213334257"/>
      <w:r>
        <w:t>The reduction in ease of contact was influenced by lower satisfaction in several local divisions, particularly in relation to 101 calls. This decline has contributed to an overall drop in satisfaction with ease of contact</w:t>
      </w:r>
      <w:bookmarkEnd w:id="166"/>
      <w:r>
        <w:t xml:space="preserve">. </w:t>
      </w:r>
      <w:r w:rsidR="005979E4">
        <w:t xml:space="preserve">This was especially the case in Forth Valley, Renfrewshire &amp; Inverclyde and The Highlands &amp; Islands divisions, where satisfaction with ease of contact ranged from 47-48% compared to a national 63% in August 2025. These low levels of satisfaction </w:t>
      </w:r>
      <w:r w:rsidR="00E8299D">
        <w:t>help drive the low overall satisfaction rate.</w:t>
      </w:r>
    </w:p>
    <w:p w14:paraId="21D7082C" w14:textId="141A3EED" w:rsidR="0012202C" w:rsidRDefault="00577A2C" w:rsidP="00577A2C">
      <w:pPr>
        <w:spacing w:before="0" w:after="160" w:line="259" w:lineRule="auto"/>
      </w:pPr>
      <w:r>
        <w:lastRenderedPageBreak/>
        <w:t>Positive experiences are correlated most strongly with receiving an appropriate response, satisfaction with attending officers and feeling adequately informed about case progress. Respondents tell us their experience was positive because contact was ‘easy’ with quick answer times using 101/999; service advisors and attending officers taking the time to listen to and understand their needs, bringing empathy and compassion to interactions.</w:t>
      </w:r>
      <w:bookmarkStart w:id="167" w:name="_Hlk206072470"/>
      <w:bookmarkEnd w:id="165"/>
    </w:p>
    <w:bookmarkEnd w:id="167"/>
    <w:p w14:paraId="5161533B" w14:textId="763486D0" w:rsidR="0012202C" w:rsidRPr="001A2508" w:rsidRDefault="0012202C" w:rsidP="00B61582">
      <w:pPr>
        <w:pStyle w:val="KPIHeading3SV"/>
        <w:rPr>
          <w:color w:val="1F3864" w:themeColor="accent5" w:themeShade="80"/>
        </w:rPr>
      </w:pPr>
      <w:r w:rsidRPr="0012202C">
        <w:t>KPI: Your Police Question - % respondents that have confidence in local policing</w:t>
      </w:r>
    </w:p>
    <w:p w14:paraId="1DC2D0B5" w14:textId="11409DC2" w:rsidR="0012202C" w:rsidRDefault="0012202C" w:rsidP="00974DED">
      <w:pPr>
        <w:pStyle w:val="Heading4"/>
      </w:pPr>
      <w:r w:rsidRPr="0012202C">
        <w:t>Your Police: Survey Results</w:t>
      </w:r>
    </w:p>
    <w:p w14:paraId="7A00F845" w14:textId="2F6A5198" w:rsidR="00061558" w:rsidRPr="00061558" w:rsidRDefault="00061558" w:rsidP="00974DED">
      <w:pPr>
        <w:pStyle w:val="KPIHeading4SV"/>
      </w:pPr>
      <w:bookmarkStart w:id="168" w:name="_Hlk206072516"/>
      <w:r>
        <w:t xml:space="preserve">Confidence in local policing </w:t>
      </w:r>
      <w:r w:rsidR="0001145B">
        <w:t>down 4% points on previous quarter</w:t>
      </w:r>
    </w:p>
    <w:p w14:paraId="2E681138" w14:textId="41B3F684" w:rsidR="00F930B3" w:rsidRPr="00F930B3" w:rsidRDefault="00FB380A" w:rsidP="00F930B3">
      <w:r>
        <w:rPr>
          <w:noProof/>
        </w:rPr>
        <w:drawing>
          <wp:inline distT="0" distB="0" distL="0" distR="0" wp14:anchorId="64E55EF8" wp14:editId="7FBE7A2E">
            <wp:extent cx="6188710" cy="2540635"/>
            <wp:effectExtent l="0" t="0" r="2540" b="12065"/>
            <wp:docPr id="881423783" name="Chart 1" descr="Your Police: Survey Results&#10;This image shows the public confidence from the Your Police survey from Quarter 1 2022/23 to Quarter 2 2025/26. The blue line shows Your Police public confidence was 51% from 945 respondents in Q1 2022/23; 52% from 10,243 in Q2 2022/23; 49% from 3,781 in Q3 2022/23; 48% from 1,929 in Q4 2022/23; 43% from 275 in Q1 2023/24; 50% from 8,071 in Q2 2023/24; 49% from 2,598 in Q3 2023/24; 50% from 3,755 in Q4 2023/24; 47% from 857 in Q1 2024/25; 54% from 9,161 in Q2 2024/25; 50% from 1,333 in Q3 2024/25; 46% from 4,299 in Q4 2024/25; 54% from 1,237 in Q1 2025/26; and 50% from 10,919 in Q2 2025/26.&#10;">
              <a:extLst xmlns:a="http://schemas.openxmlformats.org/drawingml/2006/main">
                <a:ext uri="{FF2B5EF4-FFF2-40B4-BE49-F238E27FC236}">
                  <a16:creationId xmlns:a16="http://schemas.microsoft.com/office/drawing/2014/main" id="{DB645D04-5772-4F02-966E-FA36269A7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DB6197" w14:textId="77777777" w:rsidR="00BD214C" w:rsidRDefault="00933A19" w:rsidP="0012202C">
      <w:bookmarkStart w:id="169" w:name="_Hlk213334304"/>
      <w:r>
        <w:t>Public confidence is about our legitimacy and enables us to continue to police by consent</w:t>
      </w:r>
      <w:bookmarkEnd w:id="169"/>
      <w:r>
        <w:t xml:space="preserve">. </w:t>
      </w:r>
      <w:r w:rsidR="00577A2C" w:rsidRPr="003C64A1">
        <w:t xml:space="preserve">Quarter </w:t>
      </w:r>
      <w:r w:rsidR="00577A2C">
        <w:t xml:space="preserve">2 </w:t>
      </w:r>
      <w:r w:rsidR="00577A2C" w:rsidRPr="003C64A1">
        <w:t>saw</w:t>
      </w:r>
      <w:r w:rsidR="00577A2C">
        <w:t xml:space="preserve"> </w:t>
      </w:r>
      <w:r>
        <w:t>a</w:t>
      </w:r>
      <w:r w:rsidR="00577A2C">
        <w:t xml:space="preserve"> decrease </w:t>
      </w:r>
      <w:r w:rsidR="00577A2C" w:rsidRPr="003C64A1">
        <w:t xml:space="preserve">in public confidence </w:t>
      </w:r>
      <w:r w:rsidR="00ED5454" w:rsidRPr="003C64A1">
        <w:t>(</w:t>
      </w:r>
      <w:r w:rsidR="00ED5454">
        <w:t>down</w:t>
      </w:r>
      <w:r w:rsidR="00ED5454" w:rsidRPr="003C64A1">
        <w:t xml:space="preserve"> </w:t>
      </w:r>
      <w:r w:rsidR="00ED5454">
        <w:t xml:space="preserve">four </w:t>
      </w:r>
      <w:r w:rsidR="00ED5454" w:rsidRPr="003C64A1">
        <w:t xml:space="preserve">percentage points) </w:t>
      </w:r>
      <w:r w:rsidR="00577A2C" w:rsidRPr="003C64A1">
        <w:t xml:space="preserve">to </w:t>
      </w:r>
      <w:r w:rsidR="00577A2C">
        <w:t>50</w:t>
      </w:r>
      <w:r w:rsidR="00577A2C" w:rsidRPr="003C64A1">
        <w:t>%. We know that confidence is closely affected by how policing is perceived locally.</w:t>
      </w:r>
    </w:p>
    <w:p w14:paraId="6000E480" w14:textId="2B1954EA" w:rsidR="006C0DB2" w:rsidRDefault="00577A2C" w:rsidP="0012202C">
      <w:r w:rsidRPr="003C64A1">
        <w:t xml:space="preserve">In Quarter </w:t>
      </w:r>
      <w:r>
        <w:t>2</w:t>
      </w:r>
      <w:r w:rsidRPr="003C64A1">
        <w:t xml:space="preserve">, </w:t>
      </w:r>
      <w:r>
        <w:t>80</w:t>
      </w:r>
      <w:r w:rsidRPr="003C64A1">
        <w:t>% (</w:t>
      </w:r>
      <w:r>
        <w:t>up</w:t>
      </w:r>
      <w:r w:rsidRPr="003C64A1">
        <w:t xml:space="preserve"> </w:t>
      </w:r>
      <w:r>
        <w:t>one</w:t>
      </w:r>
      <w:r w:rsidRPr="003C64A1">
        <w:t xml:space="preserve"> percentage point</w:t>
      </w:r>
      <w:r>
        <w:t xml:space="preserve"> </w:t>
      </w:r>
      <w:r w:rsidRPr="003C64A1">
        <w:t xml:space="preserve">from the previous quarter) of </w:t>
      </w:r>
      <w:r>
        <w:t xml:space="preserve">our Your Police </w:t>
      </w:r>
      <w:r w:rsidRPr="003C64A1">
        <w:t xml:space="preserve">survey respondents reported feeling very safe or fairly safe in their area; </w:t>
      </w:r>
      <w:r>
        <w:t>62</w:t>
      </w:r>
      <w:r w:rsidRPr="003C64A1">
        <w:t>% (</w:t>
      </w:r>
      <w:r>
        <w:t>no change</w:t>
      </w:r>
      <w:r w:rsidRPr="003C64A1">
        <w:t>) agreed that local police are friendly and approachable; and 2</w:t>
      </w:r>
      <w:r>
        <w:t>4</w:t>
      </w:r>
      <w:r w:rsidRPr="003C64A1">
        <w:t>% (</w:t>
      </w:r>
      <w:r>
        <w:t>down</w:t>
      </w:r>
      <w:r w:rsidRPr="003C64A1">
        <w:t xml:space="preserve"> </w:t>
      </w:r>
      <w:r>
        <w:t>one</w:t>
      </w:r>
      <w:r w:rsidRPr="003C64A1">
        <w:t xml:space="preserve"> percentage point) agree</w:t>
      </w:r>
      <w:r>
        <w:t xml:space="preserve"> local police listen to local concerns.</w:t>
      </w:r>
      <w:bookmarkEnd w:id="168"/>
    </w:p>
    <w:p w14:paraId="232779F3" w14:textId="77777777" w:rsidR="00BD214C" w:rsidRDefault="00E8299D" w:rsidP="00E8299D">
      <w:r>
        <w:t>Pearson</w:t>
      </w:r>
      <w:r w:rsidR="00EC324C">
        <w:t>’s</w:t>
      </w:r>
      <w:r>
        <w:t xml:space="preserve"> correlation analysis in Quarter 2 shows public confidence is associated with further areas measured using our Your Police survey. There is a strong positive relationship between public confidence and respondents’ perception of police doing a good job in their local area (r = 0.841).</w:t>
      </w:r>
      <w:bookmarkStart w:id="170" w:name="_Hlk213334440"/>
    </w:p>
    <w:p w14:paraId="5C34BEDD" w14:textId="66AE7C2A" w:rsidR="00E8299D" w:rsidRDefault="00E8299D" w:rsidP="00E8299D">
      <w:r>
        <w:t xml:space="preserve">The percentage of people thinking the police are doing a good job in their local area has decreased by </w:t>
      </w:r>
      <w:r w:rsidR="007E4FD7">
        <w:t>six</w:t>
      </w:r>
      <w:r>
        <w:t xml:space="preserve"> percentage points since the last quarter, 35% to 29%. The percentage of people saying they are well informed about local police activities over the last 12 months has declined by </w:t>
      </w:r>
      <w:r w:rsidR="007E4FD7">
        <w:t>nine percentage</w:t>
      </w:r>
      <w:r>
        <w:t xml:space="preserve"> points, from 22% to 14%.</w:t>
      </w:r>
      <w:bookmarkEnd w:id="170"/>
    </w:p>
    <w:p w14:paraId="71B55018" w14:textId="77777777" w:rsidR="00BD214C" w:rsidRDefault="00E8299D" w:rsidP="00E8299D">
      <w:bookmarkStart w:id="171" w:name="_Hlk213334456"/>
      <w:r>
        <w:t>When respondents are asked why they expressed a lack of confidence, open-text comments related to a lack of visible, local or accessible police</w:t>
      </w:r>
      <w:bookmarkEnd w:id="171"/>
      <w:r>
        <w:t xml:space="preserve">. Respondents relay </w:t>
      </w:r>
      <w:r>
        <w:lastRenderedPageBreak/>
        <w:t>negative past experiences with the police or a sense that police aren’t dealing with or investigating crime in their local area, especially non-serious crime.</w:t>
      </w:r>
    </w:p>
    <w:p w14:paraId="7B990594" w14:textId="50B2AD75" w:rsidR="00E8299D" w:rsidRDefault="00E8299D" w:rsidP="00E8299D">
      <w:r>
        <w:t>Over a third of respondents remain not certain about whether the police are addressing local concerns and how they are keeping people safe. This highlights the importance of maintaining regular and visible communication about what Police Scotland is doing nationally and locally to respond to concerns from the public.</w:t>
      </w:r>
    </w:p>
    <w:p w14:paraId="6088807C" w14:textId="181AC5C4" w:rsidR="0012202C" w:rsidRDefault="0012202C" w:rsidP="00974DED">
      <w:pPr>
        <w:pStyle w:val="KPIHeading4SV"/>
      </w:pPr>
      <w:bookmarkStart w:id="172" w:name="_Hlk206072560"/>
      <w:r>
        <w:t xml:space="preserve">Trust </w:t>
      </w:r>
      <w:r w:rsidR="001C77B8">
        <w:t>i</w:t>
      </w:r>
      <w:r>
        <w:t xml:space="preserve">ndex </w:t>
      </w:r>
      <w:r w:rsidR="001C77B8">
        <w:t>s</w:t>
      </w:r>
      <w:r>
        <w:t>core</w:t>
      </w:r>
      <w:r w:rsidR="00DE2807">
        <w:t xml:space="preserve"> </w:t>
      </w:r>
      <w:r w:rsidR="0001145B">
        <w:t>remains relatively stable</w:t>
      </w:r>
    </w:p>
    <w:bookmarkEnd w:id="172"/>
    <w:p w14:paraId="11B2BC04" w14:textId="2EA664A3" w:rsidR="001C77B8" w:rsidRDefault="00420817" w:rsidP="0012202C">
      <w:pPr>
        <w:spacing w:before="0" w:after="160" w:line="259" w:lineRule="auto"/>
      </w:pPr>
      <w:r>
        <w:rPr>
          <w:noProof/>
        </w:rPr>
        <w:drawing>
          <wp:inline distT="0" distB="0" distL="0" distR="0" wp14:anchorId="406F90CA" wp14:editId="6FFE86AD">
            <wp:extent cx="6188710" cy="2540635"/>
            <wp:effectExtent l="0" t="0" r="2540" b="12065"/>
            <wp:docPr id="1686727005" name="Chart 1" descr="Trust Index Score&#10;This image shows the public confidence from the Your Police survey from Quarter 1 2022/23 to Quarter 2 2025/26. The blue line shows the trust index score was 80% from 1,001 respondents in Q1 2022/23; 80% from 1,005 in Q2 2022/23; 78% from 1,012 in Q3 2022/23; 75% from 1,004 in Q4 2022/23; 76% from 1,006 in Q1 2023/24; 75% from 1,001 in Q2 2023/24; 78% from 1,002 in Q3 2023/24; 77% from 1,002 in Q4 2023/24; 79% from 1,003 in Q1 2024/25; 79% from 1,001 in Q2 2024/25; 75% from 1,002 in Q3 2024/25; 75% from 1,008 in Q4 2024/25; 77% from 1,002 in Q1 2025/26; and 76% from 1,008 in Q2 2025/26.">
              <a:extLst xmlns:a="http://schemas.openxmlformats.org/drawingml/2006/main">
                <a:ext uri="{FF2B5EF4-FFF2-40B4-BE49-F238E27FC236}">
                  <a16:creationId xmlns:a16="http://schemas.microsoft.com/office/drawing/2014/main" id="{2760903B-8557-4269-B89E-65EE323F5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CB17FC3" w14:textId="128EF752" w:rsidR="00933A19" w:rsidRDefault="00933A19" w:rsidP="00577A2C">
      <w:pPr>
        <w:spacing w:before="0" w:after="160" w:line="259" w:lineRule="auto"/>
      </w:pPr>
      <w:bookmarkStart w:id="173" w:name="_Hlk213334601"/>
      <w:r>
        <w:t>Public trust is about our brand and reputation, associated with organisational competence i.e. professionalism, responsiveness, reliability and knowledge</w:t>
      </w:r>
      <w:bookmarkEnd w:id="173"/>
      <w:r>
        <w:t>.</w:t>
      </w:r>
    </w:p>
    <w:p w14:paraId="47E38F59" w14:textId="77777777" w:rsidR="00E8299D" w:rsidRDefault="00E8299D" w:rsidP="00577A2C">
      <w:pPr>
        <w:spacing w:before="0" w:after="160" w:line="259" w:lineRule="auto"/>
      </w:pPr>
      <w:r w:rsidRPr="00E8299D">
        <w:t>Since 2022 Progressive runs a quarterly online quantitative survey using panel providers, Norstat and Pure Profile, to obtain a nationally representative sample of c. 1,000 people in Scotland. The data has a margin of error of between +/- 0.61% and +/- 3.09% at the 95% confidence interval (market research industry standard).</w:t>
      </w:r>
    </w:p>
    <w:p w14:paraId="42D4918C" w14:textId="0E9B246B" w:rsidR="00577A2C" w:rsidRDefault="00577A2C" w:rsidP="00577A2C">
      <w:pPr>
        <w:spacing w:before="0" w:after="160" w:line="259" w:lineRule="auto"/>
      </w:pPr>
      <w:r>
        <w:t xml:space="preserve">Results have remained </w:t>
      </w:r>
      <w:bookmarkStart w:id="174" w:name="_Hlk213334625"/>
      <w:r>
        <w:t xml:space="preserve">relatively stable, between 75%-80% since the Trust Index survey was introduced in June 2022. The score in September </w:t>
      </w:r>
      <w:r w:rsidR="0001145B">
        <w:t>20</w:t>
      </w:r>
      <w:r>
        <w:t xml:space="preserve">25 of 76% was broadly consistent with our last wave (June </w:t>
      </w:r>
      <w:r w:rsidR="0001145B">
        <w:t>20</w:t>
      </w:r>
      <w:r>
        <w:t xml:space="preserve">25) and this time last September (June </w:t>
      </w:r>
      <w:r w:rsidR="0001145B">
        <w:t>20</w:t>
      </w:r>
      <w:r>
        <w:t xml:space="preserve">24). </w:t>
      </w:r>
      <w:bookmarkEnd w:id="174"/>
      <w:r>
        <w:t xml:space="preserve">This means that 76% of people surveyed </w:t>
      </w:r>
      <w:r w:rsidR="00ED5454">
        <w:t xml:space="preserve">(a statistically representative group </w:t>
      </w:r>
      <w:r>
        <w:t>of around 1,000 adults living in Scotland) had trust in Police Scotland.</w:t>
      </w:r>
    </w:p>
    <w:p w14:paraId="4031CC5B" w14:textId="77777777" w:rsidR="00BD214C" w:rsidRDefault="00577A2C" w:rsidP="00577A2C">
      <w:pPr>
        <w:spacing w:before="0" w:after="160" w:line="259" w:lineRule="auto"/>
      </w:pPr>
      <w:bookmarkStart w:id="175" w:name="_Hlk213334655"/>
      <w:r>
        <w:t>Most people continue to feel Police Scotland upholds its core values, measured by the proportion of respondents who felt police uphold the values of Respect (68%), Human Rights (66%), Fairness (66%), and Integrity (68%).</w:t>
      </w:r>
      <w:bookmarkEnd w:id="175"/>
    </w:p>
    <w:p w14:paraId="6FE92817" w14:textId="3AC8B0C2" w:rsidR="00BE29BF" w:rsidRDefault="00577A2C" w:rsidP="00577A2C">
      <w:pPr>
        <w:spacing w:before="0" w:after="160" w:line="259" w:lineRule="auto"/>
      </w:pPr>
      <w:r>
        <w:t>Most people perceive Police Scotland to be professional, experienced and knowledgeable. This is clearly positive</w:t>
      </w:r>
      <w:r w:rsidR="00ED5454">
        <w:t xml:space="preserve"> however our data suggests that people would have higher trust in their police service if we were perceived as professional, caring and empathetic and reliable.</w:t>
      </w:r>
    </w:p>
    <w:p w14:paraId="5F2A830B" w14:textId="77777777" w:rsidR="00E8299D" w:rsidRDefault="00E8299D" w:rsidP="00E8299D">
      <w:pPr>
        <w:spacing w:before="0" w:after="160" w:line="259" w:lineRule="auto"/>
      </w:pPr>
      <w:r>
        <w:lastRenderedPageBreak/>
        <w:t>Progressive undertook key driver analysis to determine which brand characteristics was most associated to trustworthiness – i.e., which characteristic is best at predicting whether someone feels Police Scotland is a trustworthy organisation.</w:t>
      </w:r>
    </w:p>
    <w:p w14:paraId="384FBC0C" w14:textId="77777777" w:rsidR="00E8299D" w:rsidRDefault="00E8299D" w:rsidP="00E8299D">
      <w:pPr>
        <w:spacing w:before="0" w:after="160" w:line="259" w:lineRule="auto"/>
      </w:pPr>
      <w:r>
        <w:t>All characteristics were entered into the model and the R-squared values determine the reliability of the trend and accuracy of the forecast. The closer to 1.0 (or 100%), the greater the correlation between the dependent (trust) and independent variable(s).</w:t>
      </w:r>
    </w:p>
    <w:p w14:paraId="01939DE8" w14:textId="63D688EC" w:rsidR="00E8299D" w:rsidRDefault="00E8299D" w:rsidP="00E8299D">
      <w:pPr>
        <w:spacing w:before="0" w:after="160" w:line="259" w:lineRule="auto"/>
      </w:pPr>
      <w:r>
        <w:t xml:space="preserve">From this it was determined that how professional the public believe Police Scotland is remains the strongest determinant of trust in the police service. How caring/empathetic and reliable the service is are the next strongest determinants. </w:t>
      </w:r>
    </w:p>
    <w:p w14:paraId="0DD0F8DE" w14:textId="6182886A" w:rsidR="00E8299D" w:rsidRDefault="00E8299D" w:rsidP="00E8299D">
      <w:pPr>
        <w:spacing w:before="0" w:after="160" w:line="259" w:lineRule="auto"/>
      </w:pPr>
      <w:r>
        <w:t>These defining characteristics were developed from previous brand tracking research conducted by Progressive for NHS24 – that research covered NHS24 customers’ perceptions of several public sector ‘brands’, including Police Scotland, the SFRS, and the Scottish Ambulance Service.</w:t>
      </w:r>
    </w:p>
    <w:p w14:paraId="78C1378E" w14:textId="0B60DB95" w:rsidR="0012202C" w:rsidRPr="001A2508" w:rsidRDefault="0012202C" w:rsidP="00B61582">
      <w:pPr>
        <w:pStyle w:val="KPIHeading3SV"/>
        <w:rPr>
          <w:color w:val="1F3864" w:themeColor="accent5" w:themeShade="80"/>
        </w:rPr>
      </w:pPr>
      <w:r w:rsidRPr="0012202C">
        <w:t>KPI: Percentage of repeat victims by male/female</w:t>
      </w:r>
    </w:p>
    <w:p w14:paraId="10E19616" w14:textId="75DBC71B" w:rsidR="001D1FCB" w:rsidRDefault="001D1FCB" w:rsidP="00974DED">
      <w:pPr>
        <w:pStyle w:val="Heading4"/>
      </w:pPr>
      <w:r>
        <w:t>Your Care Cards (YCC)</w:t>
      </w:r>
    </w:p>
    <w:p w14:paraId="277D2BC9" w14:textId="2EEAC006" w:rsidR="0012202C" w:rsidRDefault="00692AB0" w:rsidP="00974DED">
      <w:pPr>
        <w:pStyle w:val="KPIPullOutSV"/>
      </w:pPr>
      <w:bookmarkStart w:id="176" w:name="_Hlk206072585"/>
      <w:r>
        <w:t>Over</w:t>
      </w:r>
      <w:r w:rsidR="00D572F5">
        <w:t xml:space="preserve"> 40,000 </w:t>
      </w:r>
      <w:r w:rsidR="005F49D7">
        <w:t>Your Car</w:t>
      </w:r>
      <w:r w:rsidR="00A45C57">
        <w:t>e</w:t>
      </w:r>
      <w:r w:rsidR="005F49D7">
        <w:t xml:space="preserve"> Cards </w:t>
      </w:r>
      <w:r w:rsidR="00D572F5">
        <w:t>issued YTD</w:t>
      </w:r>
    </w:p>
    <w:p w14:paraId="521F9099" w14:textId="763EBCBB" w:rsidR="001D1FCB" w:rsidRPr="007B0CAC" w:rsidRDefault="00692AB0" w:rsidP="005F49D7">
      <w:r w:rsidRPr="00692AB0">
        <w:rPr>
          <w:noProof/>
        </w:rPr>
        <w:drawing>
          <wp:inline distT="0" distB="0" distL="0" distR="0" wp14:anchorId="5FDB3EBA" wp14:editId="7D1035B4">
            <wp:extent cx="6188710" cy="2577465"/>
            <wp:effectExtent l="0" t="0" r="2540" b="0"/>
            <wp:docPr id="1883817029" name="Picture 1" descr="Your Care Cards Data&#10;The first row of this table shows 40,589 Your Card Cards were accepted YTD compared to 41,631 PYTD (down 2.5% on PYTD).&#10;The second row shows 50,452 Your Card Cards were offered and declined YTD compared to 48,973 PYTD (up 3.0% on PYTD).&#10;The third row shows 7,658 Your Card Cards were not suitable YTD compared to 7,241 PYTD (up 5.8% on PYTD).&#10;The fourth row shows 5,350 Your Card Cards were unable to be issued YTD compared to 5,554 PYTD (down 3.7% on PYTD).&#10;The fifth row shows 1 Your Card Cards other YTD compared to 0 PYTD (no comparison possible).&#10;The sixth row shows the percentage of Your Care Cards accepted was 41.3% YTD compared to 42.3% PYTD (down 1.0%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17029" name="Picture 1" descr="Your Care Cards Data&#10;The first row of this table shows 40,589 Your Card Cards were accepted YTD compared to 41,631 PYTD (down 2.5% on PYTD).&#10;The second row shows 50,452 Your Card Cards were offered and declined YTD compared to 48,973 PYTD (up 3.0% on PYTD).&#10;The third row shows 7,658 Your Card Cards were not suitable YTD compared to 7,241 PYTD (up 5.8% on PYTD).&#10;The fourth row shows 5,350 Your Card Cards were unable to be issued YTD compared to 5,554 PYTD (down 3.7% on PYTD).&#10;The fifth row shows 1 Your Card Cards other YTD compared to 0 PYTD (no comparison possible).&#10;The sixth row shows the percentage of Your Care Cards accepted was 41.3% YTD compared to 42.3% PYTD (down 1.0% points on PYTD).&#10;"/>
                    <pic:cNvPicPr/>
                  </pic:nvPicPr>
                  <pic:blipFill>
                    <a:blip r:embed="rId70"/>
                    <a:stretch>
                      <a:fillRect/>
                    </a:stretch>
                  </pic:blipFill>
                  <pic:spPr>
                    <a:xfrm>
                      <a:off x="0" y="0"/>
                      <a:ext cx="6188710" cy="2577465"/>
                    </a:xfrm>
                    <a:prstGeom prst="rect">
                      <a:avLst/>
                    </a:prstGeom>
                  </pic:spPr>
                </pic:pic>
              </a:graphicData>
            </a:graphic>
          </wp:inline>
        </w:drawing>
      </w:r>
    </w:p>
    <w:p w14:paraId="4F476AC7" w14:textId="77777777" w:rsidR="00DC394E" w:rsidRDefault="00DC394E" w:rsidP="00DC394E">
      <w:r>
        <w:t>Police Scotland recently updated the ‘Your Care Card’ (YCC) (formerly the Victim Care Card) to be more accessible and person centred. This was due to specific feedback during victim consultation which supported modernisation, rebranding and improved accessibility.</w:t>
      </w:r>
    </w:p>
    <w:p w14:paraId="2F8A15FF" w14:textId="77777777" w:rsidR="00BD214C" w:rsidRDefault="00DC394E" w:rsidP="00DC394E">
      <w:r>
        <w:t>Police Scotland undertook a review of the language and layout of the VCC and consulted with victims’ groups, which led to creation of the Your Care Card.</w:t>
      </w:r>
    </w:p>
    <w:p w14:paraId="01D8249F" w14:textId="417B3AC3" w:rsidR="00DC394E" w:rsidRDefault="00DC394E" w:rsidP="00DC394E">
      <w:r>
        <w:t>The card contains information and contact details for support services and links to the Victim’s Code for Scotland and the Standards of Service for Victims and Witnesses. It also includes a Quick Reference (QR) Code to access more information about support to victims or witnesses on the Police Scotland website.</w:t>
      </w:r>
    </w:p>
    <w:p w14:paraId="5C019072" w14:textId="77777777" w:rsidR="00DC394E" w:rsidRDefault="00DC394E" w:rsidP="00DC394E">
      <w:r>
        <w:lastRenderedPageBreak/>
        <w:t>Police Scotland now also offer the option to email the card directly to victims. Police Scotland continues to scope opportunities for further technical advancements to support officers in delivering a high-quality service to victims and witnesses of crime.</w:t>
      </w:r>
    </w:p>
    <w:p w14:paraId="430F5775" w14:textId="77777777" w:rsidR="00DC394E" w:rsidRDefault="00DC394E" w:rsidP="00DC394E">
      <w:r>
        <w:t>In 2024, 44% of those who were offered the YCC accepted, whereas 50% of those who were offered declined.</w:t>
      </w:r>
    </w:p>
    <w:p w14:paraId="0A706DB2" w14:textId="3A41A7CD" w:rsidR="00E60F4A" w:rsidRDefault="00DC394E" w:rsidP="00DC394E">
      <w:bookmarkStart w:id="177" w:name="_Hlk213334787"/>
      <w:r>
        <w:t xml:space="preserve">During the YTD, a total of </w:t>
      </w:r>
      <w:r w:rsidR="00692AB0">
        <w:t>40,589</w:t>
      </w:r>
      <w:r>
        <w:t xml:space="preserve"> victims accepted Your Care Cards (YCC). This is </w:t>
      </w:r>
      <w:r w:rsidR="00692AB0">
        <w:t xml:space="preserve">41.3% </w:t>
      </w:r>
      <w:r>
        <w:t xml:space="preserve">of the total cards offered (down </w:t>
      </w:r>
      <w:r w:rsidR="00692AB0">
        <w:t>1.0</w:t>
      </w:r>
      <w:r>
        <w:t xml:space="preserve"> percentage points from the percentage accepted in the same period last year). Over </w:t>
      </w:r>
      <w:r w:rsidR="00692AB0">
        <w:t>50,000</w:t>
      </w:r>
      <w:r>
        <w:t xml:space="preserve"> victims were offered a card but declined</w:t>
      </w:r>
      <w:bookmarkEnd w:id="177"/>
      <w:r>
        <w:t>.</w:t>
      </w:r>
      <w:bookmarkEnd w:id="176"/>
    </w:p>
    <w:p w14:paraId="162CFFBD" w14:textId="77777777" w:rsidR="00E60F4A" w:rsidRPr="0012202C" w:rsidRDefault="0012202C" w:rsidP="00B61582">
      <w:pPr>
        <w:pStyle w:val="KPIHeading3SV"/>
      </w:pPr>
      <w:r w:rsidRPr="0012202C">
        <w:t xml:space="preserve">KPI: </w:t>
      </w:r>
      <w:bookmarkStart w:id="178" w:name="_Hlk205899672"/>
      <w:r>
        <w:t>Number of victims referred to partners</w:t>
      </w:r>
      <w:bookmarkEnd w:id="178"/>
    </w:p>
    <w:p w14:paraId="7378A3B9" w14:textId="77777777" w:rsidR="001D1FCB" w:rsidRDefault="001D1FCB" w:rsidP="00974DED">
      <w:pPr>
        <w:pStyle w:val="Heading4"/>
      </w:pPr>
      <w:r>
        <w:t>Victim Support Scotland (VSS)</w:t>
      </w:r>
    </w:p>
    <w:p w14:paraId="57703D54" w14:textId="79AC8C57" w:rsidR="00BC181F" w:rsidRDefault="00692AB0" w:rsidP="00974DED">
      <w:pPr>
        <w:pStyle w:val="KPIPullOutSV"/>
      </w:pPr>
      <w:r>
        <w:t>9.8%</w:t>
      </w:r>
      <w:r w:rsidR="00D572F5">
        <w:t xml:space="preserve"> increase in victims </w:t>
      </w:r>
      <w:r>
        <w:t xml:space="preserve">and witnesses </w:t>
      </w:r>
      <w:r w:rsidR="00D572F5">
        <w:t xml:space="preserve">accepting a </w:t>
      </w:r>
      <w:r w:rsidR="00FD79D3">
        <w:t>Victim Support Scotland</w:t>
      </w:r>
      <w:r>
        <w:t xml:space="preserve"> referral</w:t>
      </w:r>
    </w:p>
    <w:p w14:paraId="77DFCAB9" w14:textId="5B850FA3" w:rsidR="00E7549A" w:rsidRDefault="00692AB0" w:rsidP="00FD79D3">
      <w:pPr>
        <w:rPr>
          <w:noProof/>
        </w:rPr>
      </w:pPr>
      <w:r w:rsidRPr="00692AB0">
        <w:rPr>
          <w:noProof/>
        </w:rPr>
        <w:drawing>
          <wp:inline distT="0" distB="0" distL="0" distR="0" wp14:anchorId="1AB5CEF6" wp14:editId="7B27F863">
            <wp:extent cx="6188710" cy="1505585"/>
            <wp:effectExtent l="0" t="0" r="2540" b="0"/>
            <wp:docPr id="719455483" name="Picture 1" descr="Victim Support Scotland (VSS) Data&#10;The first row of this table shows 5,036 Victim Support Scotland referrals were accepted YTD compared to 4,586 PYTD (up 9.8% on PYTD).&#10;The second row shows 119,001 Victim Support Scotland referrals were declined YTD compared to 126,595 PYTD (down 6.0% on PYTD).&#10;The third row shows the percentage of Victim Support Scotland referrals accepted was 4.1% YTD compared to 3.5% PYTD (up 0.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5483" name="Picture 1" descr="Victim Support Scotland (VSS) Data&#10;The first row of this table shows 5,036 Victim Support Scotland referrals were accepted YTD compared to 4,586 PYTD (up 9.8% on PYTD).&#10;The second row shows 119,001 Victim Support Scotland referrals were declined YTD compared to 126,595 PYTD (down 6.0% on PYTD).&#10;The third row shows the percentage of Victim Support Scotland referrals accepted was 4.1% YTD compared to 3.5% PYTD (up 0.6% points on PYTD).&#10;"/>
                    <pic:cNvPicPr/>
                  </pic:nvPicPr>
                  <pic:blipFill>
                    <a:blip r:embed="rId71"/>
                    <a:stretch>
                      <a:fillRect/>
                    </a:stretch>
                  </pic:blipFill>
                  <pic:spPr>
                    <a:xfrm>
                      <a:off x="0" y="0"/>
                      <a:ext cx="6188710" cy="1505585"/>
                    </a:xfrm>
                    <a:prstGeom prst="rect">
                      <a:avLst/>
                    </a:prstGeom>
                  </pic:spPr>
                </pic:pic>
              </a:graphicData>
            </a:graphic>
          </wp:inline>
        </w:drawing>
      </w:r>
    </w:p>
    <w:p w14:paraId="0F978FF2" w14:textId="3E44B89A" w:rsidR="00E379E5" w:rsidRDefault="00DC394E" w:rsidP="00FD79D3">
      <w:pPr>
        <w:rPr>
          <w:noProof/>
        </w:rPr>
      </w:pPr>
      <w:bookmarkStart w:id="179" w:name="_Hlk213334917"/>
      <w:r w:rsidRPr="00DC394E">
        <w:rPr>
          <w:noProof/>
        </w:rPr>
        <w:t xml:space="preserve">In total, </w:t>
      </w:r>
      <w:r w:rsidR="00692AB0">
        <w:rPr>
          <w:noProof/>
        </w:rPr>
        <w:t>5,036</w:t>
      </w:r>
      <w:r w:rsidRPr="00DC394E">
        <w:rPr>
          <w:noProof/>
        </w:rPr>
        <w:t xml:space="preserve"> victims</w:t>
      </w:r>
      <w:r w:rsidR="00692AB0">
        <w:rPr>
          <w:noProof/>
        </w:rPr>
        <w:t xml:space="preserve"> and witnesses</w:t>
      </w:r>
      <w:r w:rsidRPr="00DC394E">
        <w:rPr>
          <w:noProof/>
        </w:rPr>
        <w:t xml:space="preserve"> accepted a referral to Victim Support Scotland</w:t>
      </w:r>
      <w:r w:rsidR="00692AB0">
        <w:rPr>
          <w:noProof/>
        </w:rPr>
        <w:t xml:space="preserve"> in the YTD</w:t>
      </w:r>
      <w:r w:rsidR="00D572F5">
        <w:rPr>
          <w:noProof/>
        </w:rPr>
        <w:t xml:space="preserve">, this is up </w:t>
      </w:r>
      <w:r w:rsidR="00692AB0">
        <w:rPr>
          <w:noProof/>
        </w:rPr>
        <w:t>9.8%</w:t>
      </w:r>
      <w:r w:rsidR="00E379E5">
        <w:rPr>
          <w:noProof/>
        </w:rPr>
        <w:t xml:space="preserve"> on th</w:t>
      </w:r>
      <w:r w:rsidR="00692AB0">
        <w:rPr>
          <w:noProof/>
        </w:rPr>
        <w:t>ose</w:t>
      </w:r>
      <w:r w:rsidR="00E379E5">
        <w:rPr>
          <w:noProof/>
        </w:rPr>
        <w:t xml:space="preserve"> accepting a referral in the PYTD</w:t>
      </w:r>
      <w:r w:rsidRPr="00DC394E">
        <w:rPr>
          <w:noProof/>
        </w:rPr>
        <w:t xml:space="preserve">. </w:t>
      </w:r>
      <w:r w:rsidR="00E379E5">
        <w:rPr>
          <w:noProof/>
        </w:rPr>
        <w:t xml:space="preserve">The percentage of victims </w:t>
      </w:r>
      <w:r w:rsidR="00692AB0">
        <w:rPr>
          <w:noProof/>
        </w:rPr>
        <w:t xml:space="preserve">and witnesses </w:t>
      </w:r>
      <w:r w:rsidR="00E379E5">
        <w:rPr>
          <w:noProof/>
        </w:rPr>
        <w:t>accepting a referral</w:t>
      </w:r>
      <w:r w:rsidR="00692AB0">
        <w:rPr>
          <w:noProof/>
        </w:rPr>
        <w:t xml:space="preserve"> has also increased from PYTD (up 0.6 percentage points</w:t>
      </w:r>
      <w:r w:rsidR="00E379E5">
        <w:rPr>
          <w:noProof/>
        </w:rPr>
        <w:t xml:space="preserve"> </w:t>
      </w:r>
      <w:r w:rsidR="00692AB0">
        <w:rPr>
          <w:noProof/>
        </w:rPr>
        <w:t>to 4.1%)</w:t>
      </w:r>
      <w:r w:rsidRPr="00DC394E">
        <w:rPr>
          <w:noProof/>
        </w:rPr>
        <w:t>.</w:t>
      </w:r>
    </w:p>
    <w:p w14:paraId="48D3FBA3" w14:textId="4B3682AE" w:rsidR="00C244AD" w:rsidRDefault="00C07920" w:rsidP="00FD79D3">
      <w:pPr>
        <w:rPr>
          <w:noProof/>
        </w:rPr>
      </w:pPr>
      <w:r>
        <w:rPr>
          <w:noProof/>
        </w:rPr>
        <w:t>Alongside Victim Support Scotland referrals, Police Scotland also regularly refer to specialist support services (e.g. BRAKE, Women’s Aid and Rape Crisis Scotland etc.)</w:t>
      </w:r>
      <w:r w:rsidR="00DC394E" w:rsidRPr="00DC394E">
        <w:rPr>
          <w:noProof/>
        </w:rPr>
        <w:t>.</w:t>
      </w:r>
      <w:bookmarkStart w:id="180" w:name="_Hlk206502843"/>
    </w:p>
    <w:p w14:paraId="054030A5" w14:textId="77777777" w:rsidR="00C244AD" w:rsidRDefault="00C244AD">
      <w:pPr>
        <w:spacing w:before="0" w:after="160" w:line="259" w:lineRule="auto"/>
        <w:rPr>
          <w:noProof/>
        </w:rPr>
      </w:pPr>
      <w:r>
        <w:rPr>
          <w:noProof/>
        </w:rPr>
        <w:br w:type="page"/>
      </w:r>
    </w:p>
    <w:bookmarkEnd w:id="180"/>
    <w:bookmarkEnd w:id="179"/>
    <w:p w14:paraId="5D75E6FB" w14:textId="57E9F937" w:rsidR="004A1408" w:rsidRPr="001A2508" w:rsidRDefault="004A1408" w:rsidP="00B61582">
      <w:pPr>
        <w:pStyle w:val="KPIHeading3SV"/>
        <w:rPr>
          <w:color w:val="1F3864" w:themeColor="accent5" w:themeShade="80"/>
        </w:rPr>
      </w:pPr>
      <w:r w:rsidRPr="0012202C">
        <w:lastRenderedPageBreak/>
        <w:t xml:space="preserve">KPI: </w:t>
      </w:r>
      <w:r w:rsidRPr="004A1408">
        <w:t>Number of contacts handled within service level agreements</w:t>
      </w:r>
    </w:p>
    <w:p w14:paraId="0F2B0673" w14:textId="4D4FAF82" w:rsidR="004A1408" w:rsidRDefault="004A1408" w:rsidP="00974DED">
      <w:pPr>
        <w:pStyle w:val="Heading4"/>
        <w:rPr>
          <w:color w:val="7030A0"/>
        </w:rPr>
      </w:pPr>
      <w:r>
        <w:t>Call Handling Data</w:t>
      </w:r>
    </w:p>
    <w:p w14:paraId="22FE6375" w14:textId="52B4B7FD" w:rsidR="00DE2807" w:rsidRPr="00DE2807" w:rsidRDefault="00DE2807" w:rsidP="00974DED">
      <w:pPr>
        <w:pStyle w:val="KPIPullOutSV"/>
      </w:pPr>
      <w:r>
        <w:t xml:space="preserve">999 calls </w:t>
      </w:r>
      <w:r w:rsidR="00E275DF">
        <w:t>up 6.5% on PYTD</w:t>
      </w:r>
    </w:p>
    <w:p w14:paraId="63DF3E76" w14:textId="0CE0DC78" w:rsidR="00D8418A" w:rsidRDefault="00056D8D" w:rsidP="00D8418A">
      <w:r w:rsidRPr="00056D8D">
        <w:rPr>
          <w:noProof/>
        </w:rPr>
        <w:drawing>
          <wp:inline distT="0" distB="0" distL="0" distR="0" wp14:anchorId="2976AF27" wp14:editId="077F3704">
            <wp:extent cx="6192000" cy="3240000"/>
            <wp:effectExtent l="0" t="0" r="0" b="0"/>
            <wp:docPr id="1513758404" name="Picture 1" descr="Call Handling Data&#10;The first row of this table shows 422,725 999 calls received YTD compared to 397,084 PYTD (up 6.5% on PYTD).&#10;The second row shows 50,561 other emergency calls (partners) received YTD compared to 48,028 PYTD (up 5.3% on PYTD).&#10;The third row shows 12,849 alarm calls received YTD compared to 13,845 PYTD (down 7.2% on PYTD).&#10;The fourth row shows the average speed of answer for 999 calls from Police Scotland data was 9 seconds YTD compared to 9 seconds PYTD (no change from PYTD).&#10;The fifth row shows the average speed of answer for 999 calls from BT data was 12 seconds YTD compared to 11 seconds PYTD (up 9.1% from PYTD).&#10;The sixth row shows 850,491 101 non-emergency calls received by Police Scotland YTD compared to 876,092 PYTD (down 2.9% on PYTD).&#10;The seventh row shows 824,431 101 non-emergency calls received by Service Centre YTD compared to 851,314 PYTD (down 3.2% on PYTD).&#10;The eighth row shows 957 other force enquiries YTD compared to 755 PYTD (up 26.8% on PYTD).&#10;The ninth row shows 289,091 discontinued (abandoned) 101 non-emergency calls YTD compared to 259,465 PYTD (up 11.4% on PYTD).&#10;The tenth row shows the percentage of discontinued (abandoned) 101 non-emergency calls was 35.0% YTD compared to 30.0% PYTD (up 5.0% points on PYT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758404" name="Picture 1" descr="Call Handling Data&#10;The first row of this table shows 422,725 999 calls received YTD compared to 397,084 PYTD (up 6.5% on PYTD).&#10;The second row shows 50,561 other emergency calls (partners) received YTD compared to 48,028 PYTD (up 5.3% on PYTD).&#10;The third row shows 12,849 alarm calls received YTD compared to 13,845 PYTD (down 7.2% on PYTD).&#10;The fourth row shows the average speed of answer for 999 calls from Police Scotland data was 9 seconds YTD compared to 9 seconds PYTD (no change from PYTD).&#10;The fifth row shows the average speed of answer for 999 calls from BT data was 12 seconds YTD compared to 11 seconds PYTD (up 9.1% from PYTD).&#10;The sixth row shows 850,491 101 non-emergency calls received by Police Scotland YTD compared to 876,092 PYTD (down 2.9% on PYTD).&#10;The seventh row shows 824,431 101 non-emergency calls received by Service Centre YTD compared to 851,314 PYTD (down 3.2% on PYTD).&#10;The eighth row shows 957 other force enquiries YTD compared to 755 PYTD (up 26.8% on PYTD).&#10;The ninth row shows 289,091 discontinued (abandoned) 101 non-emergency calls YTD compared to 259,465 PYTD (up 11.4% on PYTD).&#10;The tenth row shows the percentage of discontinued (abandoned) 101 non-emergency calls was 35.0% YTD compared to 30.0% PYTD (up 5.0% points on PYTD).&#10;"/>
                    <pic:cNvPicPr/>
                  </pic:nvPicPr>
                  <pic:blipFill>
                    <a:blip r:embed="rId72"/>
                    <a:stretch>
                      <a:fillRect/>
                    </a:stretch>
                  </pic:blipFill>
                  <pic:spPr>
                    <a:xfrm>
                      <a:off x="0" y="0"/>
                      <a:ext cx="6192000" cy="3240000"/>
                    </a:xfrm>
                    <a:prstGeom prst="rect">
                      <a:avLst/>
                    </a:prstGeom>
                  </pic:spPr>
                </pic:pic>
              </a:graphicData>
            </a:graphic>
          </wp:inline>
        </w:drawing>
      </w:r>
    </w:p>
    <w:p w14:paraId="2E3C6587" w14:textId="2B0B5181" w:rsidR="00B52713" w:rsidRDefault="00B52713" w:rsidP="00B52713">
      <w:r>
        <w:t>During the reporting period Police Scotland received a total of 1,336,626 calls, an increase of 0.1% when compared to the same period last year (up from 1,335,049 to 1,336,626).  Of these calls, those routed via 999 increased by 6</w:t>
      </w:r>
      <w:r w:rsidR="0023065A">
        <w:t>.5</w:t>
      </w:r>
      <w:r>
        <w:t xml:space="preserve">% when compared to the same period last year (up from 397,084 to 422,725). The volume of 101 calls received decreased by </w:t>
      </w:r>
      <w:r w:rsidR="0023065A">
        <w:t>2.9</w:t>
      </w:r>
      <w:r>
        <w:t>% (down from 876,092 to 850,491).</w:t>
      </w:r>
    </w:p>
    <w:p w14:paraId="5E0FABF5" w14:textId="07130EAC" w:rsidR="00B52713" w:rsidRDefault="00B52713" w:rsidP="00B52713">
      <w:r>
        <w:t>The handling of 999 calls remains our highest priority. Police Scotland aim to achieve an average speed of answer for 999 calls within 10 seconds, a standard for all 44 Police Forces across Scotland, England and Wales. During the reporting period Police Scotland achieved an average answer time of 9 seconds which is the same as the period last year.</w:t>
      </w:r>
    </w:p>
    <w:p w14:paraId="1A44AD86" w14:textId="14AB55FF" w:rsidR="00B52713" w:rsidRDefault="00B52713" w:rsidP="00B52713">
      <w:bookmarkStart w:id="181" w:name="_Hlk213335315"/>
      <w:r>
        <w:t>For Police Scotland UK figures for average speed of answer for 999 calls was 12 seconds, it is important to note that figures which the Home Office publish and report on do not include all calls received from BT to Police Scotland.  Therefore, Police Scotland’s performance includes all calls and will be different than reported in the UK monthly 999 figures</w:t>
      </w:r>
      <w:bookmarkEnd w:id="181"/>
      <w:r>
        <w:t>.</w:t>
      </w:r>
    </w:p>
    <w:p w14:paraId="57C1A726" w14:textId="0C0EE38B" w:rsidR="00B52713" w:rsidRDefault="00B52713" w:rsidP="00B52713">
      <w:r>
        <w:t>During the months of July, August and September, 41 of the 44 UK forces experienced increases in 999s, with Police Scotland seeing an increase of 17%, which was the highest in the UK.  This has greatly impacted our performance, undoubtedly attributing to the longer 999 average speeds of answer times.</w:t>
      </w:r>
    </w:p>
    <w:p w14:paraId="3B3642DC" w14:textId="42B44800" w:rsidR="00B52713" w:rsidRDefault="00B52713" w:rsidP="00B52713">
      <w:bookmarkStart w:id="182" w:name="_Hlk213335344"/>
      <w:r>
        <w:t xml:space="preserve">Analysis was undertaken which confirmed that performance was adversely impacted by the increased demand on the 999 system set against a lower resource profile due to recruitment and training capacity being reduced due to the impact of significant operations </w:t>
      </w:r>
      <w:r>
        <w:lastRenderedPageBreak/>
        <w:t>including Operation Roll 2 and Operation Oclate</w:t>
      </w:r>
      <w:bookmarkEnd w:id="182"/>
      <w:r>
        <w:t>. BAU training and recruitment was also impacted by the training requirements of significant change programmes which will undoubtedly enhance service provision over the longer term.</w:t>
      </w:r>
    </w:p>
    <w:p w14:paraId="2BAFB489" w14:textId="193AFD45" w:rsidR="00B52713" w:rsidRDefault="00B52713" w:rsidP="00B52713">
      <w:r>
        <w:t>Additional factors included an increase in particular incident type calls, namely, Sexual Offences (15.6%), Concern for Person (8.4%) and Domestic Incidents (7%) which all take longer to deal with and impact average call handling times.</w:t>
      </w:r>
    </w:p>
    <w:p w14:paraId="0EADB19B" w14:textId="77777777" w:rsidR="00B52713" w:rsidRDefault="00B52713" w:rsidP="00B52713">
      <w:r>
        <w:t>Other impacts on demand comprise of the extended sustained period of warm sunny weather, the start of the Scottish Premiership season with various football fixtures, Scottish and English school holidays, large-scale concerts, festivals and music events. These events also increase call volumes significantly which can impact our average speed of answer times.</w:t>
      </w:r>
    </w:p>
    <w:p w14:paraId="1F1C6F8E" w14:textId="1CD076C8" w:rsidR="00B52713" w:rsidRDefault="00B52713" w:rsidP="00B52713">
      <w:r>
        <w:t>In September, C3 Division commenced the roll out of training for a new call management system (UCCP), which is scheduled for go live in late November. This modern platform aims to transform how handlers receive, record and manage public contacts. This critical training must be given to all staff which subsequently causes abstractions from duty again impacting available resource.</w:t>
      </w:r>
    </w:p>
    <w:p w14:paraId="20F05183" w14:textId="1DD83E26" w:rsidR="00B52713" w:rsidRDefault="00B52713" w:rsidP="00B52713">
      <w:r>
        <w:t>The average answer time for 101 calls increased by 3 minutes 38 seconds to 08 minutes 40 seconds.  Of note it is the same Service Advisors who handle all 999/101 calls and “ContactUs” emails. When there is a surge in 999 calls, we prioritise Service Advisors from Non-Emergency (101) calls and emails, as we aim to answer the 999 calls under 10 seconds. Therefore, there is a direct link between any increase in 999 volumes and the average speed of answer for 101 – non-emergency calls.</w:t>
      </w:r>
    </w:p>
    <w:p w14:paraId="0436CDC7" w14:textId="4EDE3657" w:rsidR="00B52713" w:rsidRDefault="00B52713" w:rsidP="00B52713">
      <w:r>
        <w:t xml:space="preserve">The 101 non-emergency discontinued rate increased by 5% (up from 30% to 35%) for this reporting period.  During periods of high demand, a recorded message informs callers of increased waiting times for answer, and they may choose to discontinue the call and contact 101 later or use the online “ContactUs” facility. </w:t>
      </w:r>
      <w:bookmarkStart w:id="183" w:name="_Hlk213335419"/>
      <w:r>
        <w:t>The number of enquir</w:t>
      </w:r>
      <w:r w:rsidR="007E4FD7">
        <w:t>i</w:t>
      </w:r>
      <w:r>
        <w:t>es diverted from 101 during this reporting period increased by 19% (up from 21,662 to 25,747).</w:t>
      </w:r>
      <w:bookmarkEnd w:id="183"/>
    </w:p>
    <w:p w14:paraId="0B26819A" w14:textId="12FAD923" w:rsidR="00F7572C" w:rsidRPr="004B4776" w:rsidRDefault="00B52713" w:rsidP="00B52713">
      <w:pPr>
        <w:rPr>
          <w:rFonts w:cs="Arial"/>
        </w:rPr>
      </w:pPr>
      <w:r>
        <w:t>Our call volumes and trends continue to be monitored closely to ensure that we are prepared for any unexpected changes in demand and maintain average speed of answer times within targets</w:t>
      </w:r>
      <w:r w:rsidR="00D8418A">
        <w:t>.</w:t>
      </w:r>
    </w:p>
    <w:p w14:paraId="32DABCB3" w14:textId="0876044A" w:rsidR="00DE2807" w:rsidRDefault="00E275DF" w:rsidP="00974DED">
      <w:pPr>
        <w:pStyle w:val="KPIPullOutSV"/>
      </w:pPr>
      <w:r>
        <w:lastRenderedPageBreak/>
        <w:t>11.0% increase in the number of Contactus emails received</w:t>
      </w:r>
    </w:p>
    <w:p w14:paraId="2E5A9634" w14:textId="7CBC760A" w:rsidR="00E7549A" w:rsidRDefault="00D8418A" w:rsidP="00B76540">
      <w:r w:rsidRPr="00D8418A">
        <w:rPr>
          <w:noProof/>
        </w:rPr>
        <w:drawing>
          <wp:inline distT="0" distB="0" distL="0" distR="0" wp14:anchorId="157AB898" wp14:editId="026CB36E">
            <wp:extent cx="6188710" cy="2594610"/>
            <wp:effectExtent l="0" t="0" r="2540" b="0"/>
            <wp:docPr id="1849363085" name="Picture 1" descr="Digital/Contact Us Enquiries&#10;The first row of this table shows 123,015 total digital online enquiries YTD compared to 119,948 PYTD (up 2.6% on PYTD).&#10;The second row shows 114,248 Contactus received YTD compared to 102,895 PYTD (up 11.0% on PYTD).&#10;The third row shows 37,958 Contactus emails received into service centre YTD compared to 34,637 PYTD (up 9.6% on PYTD).&#10;The fourth row shows 76,290 Contactus forms received into service centre YTD compared to 68,258 PYTD (up 11.8% on PYTD).&#10;The fifth row shows 25,747 Contactus enquiries diverted from 101 YTD compared to 21,662 PYTD (up 18.9% on PYTD).&#10;The sixth row shows 8,767 online reports received YTD compared to 17,053 PYTD (down 48.6%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3085" name="Picture 1" descr="Digital/Contact Us Enquiries&#10;The first row of this table shows 123,015 total digital online enquiries YTD compared to 119,948 PYTD (up 2.6% on PYTD).&#10;The second row shows 114,248 Contactus received YTD compared to 102,895 PYTD (up 11.0% on PYTD).&#10;The third row shows 37,958 Contactus emails received into service centre YTD compared to 34,637 PYTD (up 9.6% on PYTD).&#10;The fourth row shows 76,290 Contactus forms received into service centre YTD compared to 68,258 PYTD (up 11.8% on PYTD).&#10;The fifth row shows 25,747 Contactus enquiries diverted from 101 YTD compared to 21,662 PYTD (up 18.9% on PYTD).&#10;The sixth row shows 8,767 online reports received YTD compared to 17,053 PYTD (down 48.6% on PYTD).&#10;"/>
                    <pic:cNvPicPr/>
                  </pic:nvPicPr>
                  <pic:blipFill>
                    <a:blip r:embed="rId73"/>
                    <a:stretch>
                      <a:fillRect/>
                    </a:stretch>
                  </pic:blipFill>
                  <pic:spPr>
                    <a:xfrm>
                      <a:off x="0" y="0"/>
                      <a:ext cx="6188710" cy="2594610"/>
                    </a:xfrm>
                    <a:prstGeom prst="rect">
                      <a:avLst/>
                    </a:prstGeom>
                  </pic:spPr>
                </pic:pic>
              </a:graphicData>
            </a:graphic>
          </wp:inline>
        </w:drawing>
      </w:r>
    </w:p>
    <w:p w14:paraId="37D90FA9" w14:textId="77777777" w:rsidR="00B52713" w:rsidRDefault="00B52713" w:rsidP="00B52713">
      <w:r>
        <w:t>C3 Division handles additional contacts such as incoming calls from other partner agencies, alarm calls and other forces, there have been 64,367 of these types of contact for this reporting period, representing an increase of 5% in emergency service partner calls and a decrease of around 7% in total alarms calls when compared to 2024.</w:t>
      </w:r>
    </w:p>
    <w:p w14:paraId="1D3AA39C" w14:textId="77777777" w:rsidR="00B52713" w:rsidRDefault="00B52713" w:rsidP="00B52713">
      <w:r>
        <w:t>Emergency service partner calls are received via dedicated numbers from Scottish Fire and Rescue, Scottish Ambulance Service, Mountain Rescue, Coast Guard, Mental Health Pathway (NHS 24), OmniCrash and Oil Industry Agency. The reason for such calls varies and each is dealt with by a Service Advisor in the most appropriate manner.</w:t>
      </w:r>
    </w:p>
    <w:p w14:paraId="6DA349A6" w14:textId="3CCA206E" w:rsidR="00B52713" w:rsidRDefault="00B52713" w:rsidP="00B52713">
      <w:bookmarkStart w:id="184" w:name="_Hlk213335460"/>
      <w:r>
        <w:t>The use of “ContactUs” emails has seen a significant increase in demand, different to the reduction in 101 non-emergency call volumes. Police Scotland received 114,248 emails in this reporting period; an 11% increase (up from 102,895 to 114,248) compared to the same period last year. Emails are assessed the same way as calls using the THRIVE assessment.</w:t>
      </w:r>
    </w:p>
    <w:bookmarkEnd w:id="184"/>
    <w:p w14:paraId="7B02FD74" w14:textId="235CBC6A" w:rsidR="00B76540" w:rsidRDefault="00B52713" w:rsidP="00B52713">
      <w:r>
        <w:t>“ContactUs” emails and online reports, for some crime types, can be completed online. Each one of these reports is assessed by a Service Advisor using the Threat Harm Risk Investigation Vulnerability and Engagement (THRIVE) model</w:t>
      </w:r>
      <w:r w:rsidR="00D8418A">
        <w:t>.</w:t>
      </w:r>
    </w:p>
    <w:p w14:paraId="29AD19B1" w14:textId="4D66F1E4" w:rsidR="00DE2807" w:rsidRDefault="00E371AC" w:rsidP="00974DED">
      <w:pPr>
        <w:pStyle w:val="KPIPullOutSV"/>
      </w:pPr>
      <w:r>
        <w:t>Multiple contacts from unique individuals down 3%</w:t>
      </w:r>
    </w:p>
    <w:p w14:paraId="104AB149" w14:textId="57B4306F" w:rsidR="009E293E" w:rsidRDefault="00E371AC" w:rsidP="009E293E">
      <w:r w:rsidRPr="00E371AC">
        <w:rPr>
          <w:noProof/>
        </w:rPr>
        <w:drawing>
          <wp:inline distT="0" distB="0" distL="0" distR="0" wp14:anchorId="10E24B30" wp14:editId="5E0A2965">
            <wp:extent cx="6188710" cy="1520825"/>
            <wp:effectExtent l="0" t="0" r="2540" b="3175"/>
            <wp:docPr id="1030126276" name="Picture 1" descr="Repeat Contacts&#10;The first row of this table shows 278 repeat contacts (individuals via 101 or Contactus) YTD compared to 191 PYTD (up 45.5% on PYTD).&#10;The second row shows 157 repeat callers YTD compared to 109 PYTD (up 44.0% on PYTD).&#10;The third row shows 121 repeat emailers YTD compared to 82 PYTD (up 47.6%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6276" name="Picture 1" descr="Repeat Contacts&#10;The first row of this table shows 278 repeat contacts (individuals via 101 or Contactus) YTD compared to 191 PYTD (up 45.5% on PYTD).&#10;The second row shows 157 repeat callers YTD compared to 109 PYTD (up 44.0% on PYTD).&#10;The third row shows 121 repeat emailers YTD compared to 82 PYTD (up 47.6% on PYTD).&#10;"/>
                    <pic:cNvPicPr/>
                  </pic:nvPicPr>
                  <pic:blipFill>
                    <a:blip r:embed="rId74"/>
                    <a:stretch>
                      <a:fillRect/>
                    </a:stretch>
                  </pic:blipFill>
                  <pic:spPr>
                    <a:xfrm>
                      <a:off x="0" y="0"/>
                      <a:ext cx="6188710" cy="1520825"/>
                    </a:xfrm>
                    <a:prstGeom prst="rect">
                      <a:avLst/>
                    </a:prstGeom>
                  </pic:spPr>
                </pic:pic>
              </a:graphicData>
            </a:graphic>
          </wp:inline>
        </w:drawing>
      </w:r>
    </w:p>
    <w:p w14:paraId="0E23056B" w14:textId="04F2A0E6" w:rsidR="00B52713" w:rsidRDefault="00B52713" w:rsidP="00B52713">
      <w:r>
        <w:t xml:space="preserve">Repeat callers continue to be highlighted particularly where they are vulnerable, abusive and/or impacting average speeds of answer. The National 101 Working Group has recently </w:t>
      </w:r>
      <w:r>
        <w:lastRenderedPageBreak/>
        <w:t>agreed a definition of a Repeat Contact (five or more times in a calendar month via any channel) and Police Scotland will be able to obtain this data following system upgrades later this year.</w:t>
      </w:r>
    </w:p>
    <w:p w14:paraId="67E63778" w14:textId="2916A767" w:rsidR="00B76540" w:rsidRDefault="00B52713" w:rsidP="00B52713">
      <w:r>
        <w:t xml:space="preserve">Currently repeat contacts data is a manual count of individuals who make repeat contact via “ContactUs” or 101. This new measure is being captured to enable improvements in appropriate support for the associated individuals. During the reporting period </w:t>
      </w:r>
      <w:bookmarkStart w:id="185" w:name="_Hlk213335515"/>
      <w:r>
        <w:t>there is a recorded decrease of 3% (down from 5,856 to 5,697) of unique individuals who have made multiple contacts</w:t>
      </w:r>
      <w:bookmarkEnd w:id="185"/>
      <w:r>
        <w:t>.</w:t>
      </w:r>
    </w:p>
    <w:p w14:paraId="688CF892" w14:textId="5A4E3177" w:rsidR="004A1408" w:rsidRDefault="00476BE5" w:rsidP="00974DED">
      <w:pPr>
        <w:pStyle w:val="KPIHeading4SV"/>
      </w:pPr>
      <w:r>
        <w:t>Comparable % of calls resolved by C3 in YTD</w:t>
      </w:r>
    </w:p>
    <w:p w14:paraId="2AB55570" w14:textId="01C346A5" w:rsidR="009E293E" w:rsidRDefault="00E371AC" w:rsidP="009E293E">
      <w:pPr>
        <w:rPr>
          <w:noProof/>
        </w:rPr>
      </w:pPr>
      <w:r w:rsidRPr="00E371AC">
        <w:rPr>
          <w:noProof/>
        </w:rPr>
        <w:drawing>
          <wp:inline distT="0" distB="0" distL="0" distR="0" wp14:anchorId="474ADDCF" wp14:editId="54571A1D">
            <wp:extent cx="6188710" cy="2917825"/>
            <wp:effectExtent l="0" t="0" r="2540" b="0"/>
            <wp:docPr id="271661240" name="Picture 1" descr="Incident Resolutions&#10;The first row of this table shows 2,083 referrals to the Mental Health Pathway YTD compared to 2,170 PYTD (down 4.0% on PYTD).&#10;The second row shows the percentage of calls resolved by C3 was 52.0% YTD compared to 53.0% PYTD (down 1.0% points on PYTD).&#10;The third row shows the percentage of calls requiring police attendance was 48.0% YTD compared to 47.0% PYTD (up 1.0% points on PYTD).&#10;The fourth row show 40,894 incidents resulting in a direct crime report YTD compared to 39,954 PYTD (up 2.4% on PYTD).&#10;The fifth row shows the percentage of incidents resulting in a crime was 5.0% YTD compared to 5.0% PYTD (no change from PYTD).&#10;The sixth row shows 6,241 proportionate response to crime – direct crime reports YTD compared to 4,460 PYTD (up 39.9% on PYTD).&#10;The seventh row shows the proportionate response to crime – percentage of direct crime reports was 13.0% YTD compared to 17.0% PYTD YTD (down 4.0%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61240" name="Picture 1" descr="Incident Resolutions&#10;The first row of this table shows 2,083 referrals to the Mental Health Pathway YTD compared to 2,170 PYTD (down 4.0% on PYTD).&#10;The second row shows the percentage of calls resolved by C3 was 52.0% YTD compared to 53.0% PYTD (down 1.0% points on PYTD).&#10;The third row shows the percentage of calls requiring police attendance was 48.0% YTD compared to 47.0% PYTD (up 1.0% points on PYTD).&#10;The fourth row show 40,894 incidents resulting in a direct crime report YTD compared to 39,954 PYTD (up 2.4% on PYTD).&#10;The fifth row shows the percentage of incidents resulting in a crime was 5.0% YTD compared to 5.0% PYTD (no change from PYTD).&#10;The sixth row shows 6,241 proportionate response to crime – direct crime reports YTD compared to 4,460 PYTD (up 39.9% on PYTD).&#10;The seventh row shows the proportionate response to crime – percentage of direct crime reports was 13.0% YTD compared to 17.0% PYTD YTD (down 4.0% points on PYTD).&#10;"/>
                    <pic:cNvPicPr/>
                  </pic:nvPicPr>
                  <pic:blipFill>
                    <a:blip r:embed="rId75"/>
                    <a:stretch>
                      <a:fillRect/>
                    </a:stretch>
                  </pic:blipFill>
                  <pic:spPr>
                    <a:xfrm>
                      <a:off x="0" y="0"/>
                      <a:ext cx="6188710" cy="2917825"/>
                    </a:xfrm>
                    <a:prstGeom prst="rect">
                      <a:avLst/>
                    </a:prstGeom>
                  </pic:spPr>
                </pic:pic>
              </a:graphicData>
            </a:graphic>
          </wp:inline>
        </w:drawing>
      </w:r>
    </w:p>
    <w:p w14:paraId="0D847B42" w14:textId="77777777" w:rsidR="00BD214C" w:rsidRDefault="00E371AC" w:rsidP="009E293E">
      <w:pPr>
        <w:rPr>
          <w:noProof/>
        </w:rPr>
      </w:pPr>
      <w:bookmarkStart w:id="186" w:name="_Hlk213335543"/>
      <w:r w:rsidRPr="00E371AC">
        <w:rPr>
          <w:noProof/>
        </w:rPr>
        <w:t>The Resolution Team evidenced a comparable position for the percentage of calls resolved by C3 Division, with similar levels of calls requiring the attendance of Police Officers.</w:t>
      </w:r>
    </w:p>
    <w:p w14:paraId="188D5D49" w14:textId="7C48BCEB" w:rsidR="00E371AC" w:rsidRDefault="00E371AC" w:rsidP="009E293E">
      <w:pPr>
        <w:rPr>
          <w:noProof/>
        </w:rPr>
      </w:pPr>
      <w:r w:rsidRPr="00E371AC">
        <w:rPr>
          <w:noProof/>
        </w:rPr>
        <w:t>A similar position remains in the volume of incidents received that resulted in a Direct Crime Report being recorded by Resolution Team Assistants</w:t>
      </w:r>
      <w:bookmarkEnd w:id="186"/>
      <w:r w:rsidRPr="00E371AC">
        <w:rPr>
          <w:noProof/>
        </w:rPr>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476BE5" w:rsidRPr="0003495F" w14:paraId="15ED39F3" w14:textId="77777777" w:rsidTr="00F3412C">
        <w:trPr>
          <w:trHeight w:val="680"/>
          <w:tblHeader/>
        </w:trPr>
        <w:tc>
          <w:tcPr>
            <w:tcW w:w="9862" w:type="dxa"/>
            <w:shd w:val="clear" w:color="auto" w:fill="7030A0"/>
            <w:vAlign w:val="center"/>
            <w:hideMark/>
          </w:tcPr>
          <w:p w14:paraId="43405442" w14:textId="77777777" w:rsidR="00476BE5" w:rsidRPr="00366718" w:rsidRDefault="00476BE5" w:rsidP="00F3412C">
            <w:pPr>
              <w:pStyle w:val="CaseHeaderLeft"/>
              <w:rPr>
                <w:color w:val="FFFFFF" w:themeColor="background1"/>
              </w:rPr>
            </w:pPr>
            <w:bookmarkStart w:id="187" w:name="PP8ProportionateResponse"/>
            <w:bookmarkEnd w:id="187"/>
            <w:r w:rsidRPr="00366718">
              <w:rPr>
                <w:color w:val="FFFFFF" w:themeColor="background1"/>
              </w:rPr>
              <w:t>Proactive/Preventative Policing</w:t>
            </w:r>
            <w:r>
              <w:rPr>
                <w:color w:val="FFFFFF" w:themeColor="background1"/>
              </w:rPr>
              <w:t xml:space="preserve"> </w:t>
            </w:r>
            <w:r w:rsidRPr="00366718">
              <w:rPr>
                <w:color w:val="FFFFFF" w:themeColor="background1"/>
              </w:rPr>
              <w:t xml:space="preserve">– </w:t>
            </w:r>
            <w:r>
              <w:rPr>
                <w:color w:val="FFFFFF" w:themeColor="background1"/>
              </w:rPr>
              <w:t>Proportionate Response to Crime</w:t>
            </w:r>
          </w:p>
        </w:tc>
      </w:tr>
      <w:tr w:rsidR="00476BE5" w:rsidRPr="0003495F" w14:paraId="0173EE52" w14:textId="77777777" w:rsidTr="00F3412C">
        <w:trPr>
          <w:trHeight w:val="680"/>
        </w:trPr>
        <w:tc>
          <w:tcPr>
            <w:tcW w:w="9862" w:type="dxa"/>
            <w:shd w:val="clear" w:color="auto" w:fill="FFF2CC" w:themeFill="accent4" w:themeFillTint="33"/>
            <w:vAlign w:val="center"/>
            <w:hideMark/>
          </w:tcPr>
          <w:p w14:paraId="7FA85848" w14:textId="77777777" w:rsidR="00476BE5" w:rsidRPr="00476BE5" w:rsidRDefault="00476BE5" w:rsidP="00476BE5">
            <w:pPr>
              <w:pStyle w:val="CaseBodyLeft"/>
              <w:rPr>
                <w:color w:val="000000" w:themeColor="text1"/>
              </w:rPr>
            </w:pPr>
            <w:bookmarkStart w:id="188" w:name="_Hlk213335606"/>
            <w:r w:rsidRPr="00476BE5">
              <w:rPr>
                <w:color w:val="000000" w:themeColor="text1"/>
              </w:rPr>
              <w:t>The Proportionate Response to Crime model is now embedded nationally. This is reflected in the increased number of crimes recorded during this quarter when compared to last year.</w:t>
            </w:r>
            <w:bookmarkEnd w:id="188"/>
            <w:r w:rsidRPr="00476BE5">
              <w:rPr>
                <w:color w:val="000000" w:themeColor="text1"/>
              </w:rPr>
              <w:t xml:space="preserve"> Relevant crime reports are channelled through the PRTC process, which continues to deliver excellent service delivery , retains SCRS compliance and high standards in data quality.</w:t>
            </w:r>
          </w:p>
          <w:p w14:paraId="784FB372" w14:textId="77777777" w:rsidR="00476BE5" w:rsidRPr="00476BE5" w:rsidRDefault="00476BE5" w:rsidP="00476BE5">
            <w:pPr>
              <w:pStyle w:val="CaseBodyLeft"/>
              <w:rPr>
                <w:color w:val="000000" w:themeColor="text1"/>
              </w:rPr>
            </w:pPr>
            <w:r w:rsidRPr="00476BE5">
              <w:rPr>
                <w:color w:val="000000" w:themeColor="text1"/>
              </w:rPr>
              <w:t>Whilst more crimes were recorded by the Resolution Team in this quarter, fewer were appropriate for progressing under the Proportionate Response to Crime model as inquiries were progressed by local policing officers.</w:t>
            </w:r>
          </w:p>
          <w:p w14:paraId="7F29CB94" w14:textId="577D0245" w:rsidR="00476BE5" w:rsidRPr="00D87D1B" w:rsidRDefault="00476BE5" w:rsidP="00F3412C">
            <w:pPr>
              <w:pStyle w:val="CaseBodyLeft"/>
              <w:rPr>
                <w:color w:val="000000" w:themeColor="text1"/>
              </w:rPr>
            </w:pPr>
            <w:r w:rsidRPr="00476BE5">
              <w:rPr>
                <w:color w:val="000000" w:themeColor="text1"/>
              </w:rPr>
              <w:lastRenderedPageBreak/>
              <w:t>The Proportionate Response to Crime model continues to benefit our communities by reducing demand on Local Policing resources in line with the Chief Constables 2030 Vision</w:t>
            </w:r>
            <w:r>
              <w:rPr>
                <w:color w:val="000000" w:themeColor="text1"/>
              </w:rPr>
              <w:t>.</w:t>
            </w:r>
          </w:p>
        </w:tc>
      </w:tr>
    </w:tbl>
    <w:p w14:paraId="4F433FEF" w14:textId="2DDA2C4D" w:rsidR="00B76540" w:rsidRDefault="00476BE5" w:rsidP="00974DED">
      <w:pPr>
        <w:pStyle w:val="KPIHeading4SV"/>
      </w:pPr>
      <w:bookmarkStart w:id="189" w:name="_Hlk209613428"/>
      <w:r>
        <w:lastRenderedPageBreak/>
        <w:t>C3 Quality Assurance Unit continues to support C3 Operations</w:t>
      </w:r>
      <w:bookmarkEnd w:id="189"/>
    </w:p>
    <w:p w14:paraId="24CF29FF" w14:textId="77777777" w:rsidR="00476BE5" w:rsidRDefault="00476BE5" w:rsidP="00B76540">
      <w:bookmarkStart w:id="190" w:name="_Hlk213335676"/>
      <w:r w:rsidRPr="00476BE5">
        <w:t>The Quality Assurance Unit (QAU) continue to support C3 operations with daily quality checks and performance tracking.</w:t>
      </w:r>
      <w:r>
        <w:t xml:space="preserve"> </w:t>
      </w:r>
      <w:r w:rsidRPr="00476BE5">
        <w:t>In the last quarter reporting period, the team have produced detailed reports and findings in relation to targeted reviews following several high-profile and impactive incidents</w:t>
      </w:r>
      <w:bookmarkEnd w:id="190"/>
      <w:r w:rsidRPr="00476BE5">
        <w:t>.</w:t>
      </w:r>
    </w:p>
    <w:p w14:paraId="3F1D678C" w14:textId="77777777" w:rsidR="00476BE5" w:rsidRDefault="00476BE5" w:rsidP="00B76540">
      <w:r w:rsidRPr="00476BE5">
        <w:t>These in-depth reviews are critical to providing an informed picture in terms of the Policing response to incidents of high harm and involving high risk.</w:t>
      </w:r>
      <w:r>
        <w:t xml:space="preserve"> </w:t>
      </w:r>
      <w:r w:rsidRPr="00476BE5">
        <w:t>Where learning opportunities are identified, they are detailed and disseminated appropriately.</w:t>
      </w:r>
    </w:p>
    <w:p w14:paraId="61F897DA" w14:textId="3C73BDE0" w:rsidR="00B76540" w:rsidRDefault="00476BE5" w:rsidP="00B76540">
      <w:r w:rsidRPr="00476BE5">
        <w:t>The positive evolution of the C3 QAU continues to realise benefits for the Division and our wider partners from Local and Specialist Policing divisions and those external to Police Scotland</w:t>
      </w:r>
      <w:r>
        <w:t>.</w:t>
      </w:r>
    </w:p>
    <w:p w14:paraId="18E672D8" w14:textId="423A6906" w:rsidR="00B76540" w:rsidRDefault="00476BE5" w:rsidP="00974DED">
      <w:pPr>
        <w:pStyle w:val="KPIHeading4SV"/>
      </w:pPr>
      <w:r>
        <w:t>Police Scotland effectively handled over 25% of all dropped/abandoned 999 calls</w:t>
      </w:r>
    </w:p>
    <w:p w14:paraId="68B746F3" w14:textId="77777777" w:rsidR="00476BE5" w:rsidRDefault="00476BE5" w:rsidP="00476BE5">
      <w:bookmarkStart w:id="191" w:name="_Hlk213335743"/>
      <w:r>
        <w:t>During the quarter C3 Governance and Improvement have continued to support the implementation of the new resolution process for dropped/abandoned 999 calls reported on in Quarter 1</w:t>
      </w:r>
      <w:bookmarkEnd w:id="191"/>
      <w:r>
        <w:t>.</w:t>
      </w:r>
    </w:p>
    <w:p w14:paraId="01D6A592" w14:textId="3FB71014" w:rsidR="00476BE5" w:rsidRDefault="00476BE5" w:rsidP="00476BE5">
      <w:r>
        <w:t xml:space="preserve">Analytical reviews and data have been provided to monitor and manage the adoption of the new process, </w:t>
      </w:r>
      <w:bookmarkStart w:id="192" w:name="_Hlk213335768"/>
      <w:r>
        <w:t>with data showing that the Police Scotland Service Centre effectively handled over 25% of all dropped/abandoned 999 calls in the first half of 2025. This has demonstrated the positive impact of the new process on service delivery</w:t>
      </w:r>
      <w:bookmarkEnd w:id="192"/>
      <w:r>
        <w:t>.</w:t>
      </w:r>
    </w:p>
    <w:p w14:paraId="35E79623" w14:textId="77777777" w:rsidR="00E275BB" w:rsidRDefault="00476BE5" w:rsidP="00476BE5">
      <w:r>
        <w:t>The team have been heavily involved in many projects that are currently ongoing to implement new technology and processes to enhance C3’s capability and performance.</w:t>
      </w:r>
    </w:p>
    <w:p w14:paraId="0DDAC7DD" w14:textId="77777777" w:rsidR="00E275BB" w:rsidRDefault="00476BE5" w:rsidP="00476BE5">
      <w:r>
        <w:t>In addition to the national ICT infrastructure work, Governance and Improvement are leading the C3 response to the City of London’s ‘Report Fraud’ initiative which will see all frauds reported being directed to the City of London Police with their national expertise, whilst maintaining Police Scotland’s local response to safeguard and reassure victims and the public.</w:t>
      </w:r>
    </w:p>
    <w:p w14:paraId="229A8751" w14:textId="0158A749" w:rsidR="00476BE5" w:rsidRDefault="00476BE5" w:rsidP="00476BE5">
      <w:r>
        <w:t>A collaborative initiative with SCD Intelligence Support and Home Office Immigration, Compliance and Enforcement has seen a new process designed that will reduce demand on Police Scotland while maintaining support to our partners and ensuring officer safety.</w:t>
      </w:r>
    </w:p>
    <w:p w14:paraId="27467C7F" w14:textId="6985E005" w:rsidR="0012202C" w:rsidRPr="0029294B" w:rsidRDefault="00476BE5" w:rsidP="00476BE5">
      <w:r>
        <w:t>All new processes have been fully updated on the C3 Procedures Guide to support learning and understanding and enable effective implementation.</w:t>
      </w:r>
    </w:p>
    <w:p w14:paraId="75079BD9" w14:textId="0789E772" w:rsidR="00EC324C" w:rsidRDefault="00EC324C" w:rsidP="00EC324C">
      <w:pPr>
        <w:pStyle w:val="KPIPullOutSV"/>
      </w:pPr>
      <w:r>
        <w:lastRenderedPageBreak/>
        <w:t>Slight decrease in complaints received relative to C3 handling of 999/101 calls</w:t>
      </w:r>
    </w:p>
    <w:p w14:paraId="3FF2CB58" w14:textId="77777777" w:rsidR="00EC324C" w:rsidRDefault="00EC324C" w:rsidP="00EC324C">
      <w:pPr>
        <w:rPr>
          <w:noProof/>
        </w:rPr>
      </w:pPr>
      <w:r w:rsidRPr="00CC499B">
        <w:rPr>
          <w:noProof/>
        </w:rPr>
        <w:drawing>
          <wp:inline distT="0" distB="0" distL="0" distR="0" wp14:anchorId="0E7D3E1E" wp14:editId="75C4BE37">
            <wp:extent cx="6188710" cy="2227580"/>
            <wp:effectExtent l="0" t="0" r="2540" b="1270"/>
            <wp:docPr id="672964037" name="Picture 1" descr="C3 Complaints &amp; Allegations Data&#10;The first row of this table shows 151 complaints received relative to C3 handling of 999/101 calls YTD compared to 153 PYTD (down 1.3% on PYTD).&#10;The second row shows 159 allegations received relative to C3 on duty YTD compared to 141 PYTD (up 12.8% on PYTD).&#10;The third row shows 54 allegations received relative to C3 quality of service YTD compared to 67 PYTD (down 19.4% on PYTD).&#10;The fourth row show 24 allegations closed relative to C3 YTD compared to 25 PYTD (down 4.0% on PYTD).&#10;The fifth row shows the percentage of upheld total allegations closed relative to C3 was 4.2% YTD compared to 12.0% PYTD (down 7.8%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4037" name="Picture 1" descr="C3 Complaints &amp; Allegations Data&#10;The first row of this table shows 151 complaints received relative to C3 handling of 999/101 calls YTD compared to 153 PYTD (down 1.3% on PYTD).&#10;The second row shows 159 allegations received relative to C3 on duty YTD compared to 141 PYTD (up 12.8% on PYTD).&#10;The third row shows 54 allegations received relative to C3 quality of service YTD compared to 67 PYTD (down 19.4% on PYTD).&#10;The fourth row show 24 allegations closed relative to C3 YTD compared to 25 PYTD (down 4.0% on PYTD).&#10;The fifth row shows the percentage of upheld total allegations closed relative to C3 was 4.2% YTD compared to 12.0% PYTD (down 7.8% points on PYTD).&#10;"/>
                    <pic:cNvPicPr/>
                  </pic:nvPicPr>
                  <pic:blipFill>
                    <a:blip r:embed="rId76"/>
                    <a:stretch>
                      <a:fillRect/>
                    </a:stretch>
                  </pic:blipFill>
                  <pic:spPr>
                    <a:xfrm>
                      <a:off x="0" y="0"/>
                      <a:ext cx="6188710" cy="2227580"/>
                    </a:xfrm>
                    <a:prstGeom prst="rect">
                      <a:avLst/>
                    </a:prstGeom>
                  </pic:spPr>
                </pic:pic>
              </a:graphicData>
            </a:graphic>
          </wp:inline>
        </w:drawing>
      </w:r>
    </w:p>
    <w:p w14:paraId="606FBE04" w14:textId="77777777" w:rsidR="00EC324C" w:rsidRDefault="00EC324C" w:rsidP="00EC324C">
      <w:pPr>
        <w:rPr>
          <w:noProof/>
        </w:rPr>
      </w:pPr>
      <w:bookmarkStart w:id="193" w:name="_Hlk213335806"/>
      <w:r>
        <w:rPr>
          <w:noProof/>
        </w:rPr>
        <w:t xml:space="preserve">The volume of complaints against C3 Division has decreased by 1.3% YTD, with a total of 151 received compared to 153 received PYTD. </w:t>
      </w:r>
      <w:r w:rsidRPr="00CC499B">
        <w:rPr>
          <w:noProof/>
        </w:rPr>
        <w:t>Decreases are visible in the North (</w:t>
      </w:r>
      <w:r>
        <w:rPr>
          <w:noProof/>
        </w:rPr>
        <w:t xml:space="preserve">down </w:t>
      </w:r>
      <w:r w:rsidRPr="00CC499B">
        <w:rPr>
          <w:noProof/>
        </w:rPr>
        <w:t xml:space="preserve">17.4%, 19 </w:t>
      </w:r>
      <w:r>
        <w:rPr>
          <w:noProof/>
        </w:rPr>
        <w:t xml:space="preserve">fewer </w:t>
      </w:r>
      <w:r w:rsidRPr="00CC499B">
        <w:rPr>
          <w:noProof/>
        </w:rPr>
        <w:t xml:space="preserve">cases) and </w:t>
      </w:r>
      <w:r>
        <w:rPr>
          <w:noProof/>
        </w:rPr>
        <w:t xml:space="preserve">the </w:t>
      </w:r>
      <w:r w:rsidRPr="00CC499B">
        <w:rPr>
          <w:noProof/>
        </w:rPr>
        <w:t>East (</w:t>
      </w:r>
      <w:r>
        <w:rPr>
          <w:noProof/>
        </w:rPr>
        <w:t xml:space="preserve">down </w:t>
      </w:r>
      <w:r w:rsidRPr="00CC499B">
        <w:rPr>
          <w:noProof/>
        </w:rPr>
        <w:t xml:space="preserve">21.8%, 43 </w:t>
      </w:r>
      <w:r>
        <w:rPr>
          <w:noProof/>
        </w:rPr>
        <w:t xml:space="preserve">fewer </w:t>
      </w:r>
      <w:r w:rsidRPr="00CC499B">
        <w:rPr>
          <w:noProof/>
        </w:rPr>
        <w:t>cases). However, an increase was registered in the West (</w:t>
      </w:r>
      <w:r>
        <w:rPr>
          <w:noProof/>
        </w:rPr>
        <w:t xml:space="preserve">up </w:t>
      </w:r>
      <w:r w:rsidRPr="00CC499B">
        <w:rPr>
          <w:noProof/>
        </w:rPr>
        <w:t xml:space="preserve">18.7%, 89 </w:t>
      </w:r>
      <w:r>
        <w:rPr>
          <w:noProof/>
        </w:rPr>
        <w:t xml:space="preserve">more </w:t>
      </w:r>
      <w:r w:rsidRPr="00CC499B">
        <w:rPr>
          <w:noProof/>
        </w:rPr>
        <w:t>cases</w:t>
      </w:r>
      <w:bookmarkEnd w:id="193"/>
      <w:r w:rsidRPr="00CC499B">
        <w:rPr>
          <w:noProof/>
        </w:rPr>
        <w:t xml:space="preserve">). </w:t>
      </w:r>
    </w:p>
    <w:p w14:paraId="39D9917F" w14:textId="77777777" w:rsidR="00EC324C" w:rsidRDefault="00EC324C" w:rsidP="00EC324C">
      <w:pPr>
        <w:rPr>
          <w:noProof/>
        </w:rPr>
      </w:pPr>
      <w:r>
        <w:rPr>
          <w:noProof/>
        </w:rPr>
        <w:t>In total, 81.5% of complaint cases received year-to-date for C3 Division were Frontline Resolved by the PSD National Complaints Assessment and Resolution Unit (NCARU). This rate rises to 82.1% when early and subsequent resolution by PSD or Specialist officers are included.</w:t>
      </w:r>
    </w:p>
    <w:p w14:paraId="6AAF7A25" w14:textId="77777777" w:rsidR="00EC324C" w:rsidRDefault="00EC324C" w:rsidP="00EC324C">
      <w:pPr>
        <w:rPr>
          <w:noProof/>
        </w:rPr>
      </w:pPr>
      <w:r>
        <w:rPr>
          <w:noProof/>
        </w:rPr>
        <w:t>These figures demonstrate that most complaints against C3 Division during this period have been non-criminal and non-serious in nature, with a majority resolved through simple explanation, apology or assurance.</w:t>
      </w:r>
    </w:p>
    <w:p w14:paraId="68EDC271" w14:textId="77777777" w:rsidR="00EC324C" w:rsidRDefault="00EC324C" w:rsidP="00EC324C">
      <w:r>
        <w:t xml:space="preserve">Incivility (107) remains the most common allegation type. This volume represents a 1.9% increase from the same period in 2024/25, accounting for an additional two allegations. </w:t>
      </w:r>
    </w:p>
    <w:p w14:paraId="251AA739" w14:textId="04496390" w:rsidR="00B60B60" w:rsidRPr="00EC324C" w:rsidRDefault="00EC324C" w:rsidP="00EC324C">
      <w:r>
        <w:t>Irregularity in Procedure has also increased in this period, with 50 allegations received YTD, which represents a 47.1% increase (an additional 16 allegations). This relates to allegation sub-types, specifically: Insufficient Enquiry carried out (up nine allegations), ‘Officer did not provide name or shoulder number’ (up four allegations) and ‘Other’ (up three allegations).</w:t>
      </w:r>
    </w:p>
    <w:p w14:paraId="3728DE5F" w14:textId="314AFEB8" w:rsidR="00663C10" w:rsidRDefault="0012202C" w:rsidP="00642B10">
      <w:r>
        <w:br w:type="page"/>
      </w:r>
    </w:p>
    <w:tbl>
      <w:tblPr>
        <w:tblStyle w:val="TableGrid1"/>
        <w:tblW w:w="9865" w:type="dxa"/>
        <w:shd w:val="clear" w:color="auto" w:fill="29AAD1"/>
        <w:tblLook w:val="04A0" w:firstRow="1" w:lastRow="0" w:firstColumn="1" w:lastColumn="0" w:noHBand="0" w:noVBand="1"/>
      </w:tblPr>
      <w:tblGrid>
        <w:gridCol w:w="9865"/>
      </w:tblGrid>
      <w:tr w:rsidR="00663C10" w:rsidRPr="007B0D51" w14:paraId="37D14EFF" w14:textId="77777777" w:rsidTr="001A7247">
        <w:trPr>
          <w:tblHeader/>
        </w:trPr>
        <w:tc>
          <w:tcPr>
            <w:tcW w:w="9865" w:type="dxa"/>
            <w:shd w:val="clear" w:color="auto" w:fill="C74D00"/>
          </w:tcPr>
          <w:p w14:paraId="35E7A56C" w14:textId="3951D8DA" w:rsidR="00663C10" w:rsidRPr="007B1C23" w:rsidRDefault="00663C10" w:rsidP="0034327A">
            <w:pPr>
              <w:pStyle w:val="Heading3"/>
              <w:rPr>
                <w:rFonts w:ascii="Arial" w:hAnsi="Arial" w:cs="Arial"/>
                <w:color w:val="FFFFFF" w:themeColor="background1"/>
              </w:rPr>
            </w:pPr>
            <w:bookmarkStart w:id="194" w:name="_Toc215149611"/>
            <w:r w:rsidRPr="007B1C23">
              <w:rPr>
                <w:rFonts w:ascii="Arial" w:hAnsi="Arial" w:cs="Arial"/>
                <w:color w:val="FFFFFF" w:themeColor="background1"/>
              </w:rPr>
              <w:lastRenderedPageBreak/>
              <w:t xml:space="preserve">Vision 2030: </w:t>
            </w:r>
            <w:r w:rsidR="00866C74" w:rsidRPr="007B1C23">
              <w:rPr>
                <w:rFonts w:ascii="Arial" w:hAnsi="Arial" w:cs="Arial"/>
                <w:color w:val="FFFFFF" w:themeColor="background1"/>
              </w:rPr>
              <w:t>Thriving Workforce</w:t>
            </w:r>
            <w:bookmarkEnd w:id="194"/>
          </w:p>
          <w:p w14:paraId="12C201F2" w14:textId="0F8C2FA7" w:rsidR="00663C10" w:rsidRPr="00885A87" w:rsidRDefault="00866C74" w:rsidP="00885A87">
            <w:pPr>
              <w:rPr>
                <w:rFonts w:ascii="Arial" w:hAnsi="Arial" w:cs="Arial"/>
                <w:sz w:val="24"/>
                <w:szCs w:val="24"/>
              </w:rPr>
            </w:pPr>
            <w:r w:rsidRPr="00885A87">
              <w:rPr>
                <w:rFonts w:ascii="Arial" w:hAnsi="Arial" w:cs="Arial"/>
                <w:color w:val="FFFFFF" w:themeColor="background1"/>
                <w:sz w:val="24"/>
                <w:szCs w:val="24"/>
              </w:rPr>
              <w:t>We prioritise wellbeing and keep our people safe, protected, and well-equipped</w:t>
            </w:r>
          </w:p>
        </w:tc>
      </w:tr>
    </w:tbl>
    <w:p w14:paraId="1B4BDB44" w14:textId="6B952E9B" w:rsidR="00663C10" w:rsidRPr="00794D39" w:rsidRDefault="00663C10" w:rsidP="00794D39">
      <w:pPr>
        <w:pStyle w:val="KPIHeading3TW"/>
      </w:pPr>
      <w:r w:rsidRPr="00794D39">
        <w:t xml:space="preserve">KPI: </w:t>
      </w:r>
      <w:r w:rsidR="00C362D4" w:rsidRPr="00794D39">
        <w:t>Our Culture: Absence Rate (Short term / long term)</w:t>
      </w:r>
    </w:p>
    <w:p w14:paraId="24DA1D38" w14:textId="77777777" w:rsidR="00220AC7" w:rsidRDefault="00220AC7" w:rsidP="00220AC7">
      <w:pPr>
        <w:pStyle w:val="Heading4"/>
      </w:pPr>
      <w:r>
        <w:t>Absence Data</w:t>
      </w:r>
    </w:p>
    <w:p w14:paraId="68F926A2" w14:textId="00F3D25E" w:rsidR="00EC324C" w:rsidRPr="00B24F84" w:rsidRDefault="00EC324C" w:rsidP="00EC324C">
      <w:pPr>
        <w:pStyle w:val="KPIHeading4TW"/>
      </w:pPr>
      <w:r>
        <w:t xml:space="preserve">Working days lost (WDL) </w:t>
      </w:r>
      <w:r w:rsidR="003A29F9" w:rsidRPr="003A29F9">
        <w:t>up slighty for both police officers and staff</w:t>
      </w:r>
    </w:p>
    <w:p w14:paraId="394BF2BD" w14:textId="218729E9" w:rsidR="00EC324C" w:rsidRPr="001A7247" w:rsidRDefault="00AF5848" w:rsidP="00EC324C">
      <w:r w:rsidRPr="00AF5848">
        <w:rPr>
          <w:noProof/>
        </w:rPr>
        <w:drawing>
          <wp:inline distT="0" distB="0" distL="0" distR="0" wp14:anchorId="595F81B2" wp14:editId="300DF249">
            <wp:extent cx="6188710" cy="1515745"/>
            <wp:effectExtent l="0" t="0" r="2540" b="8255"/>
            <wp:docPr id="1258185239" name="Picture 1" descr="Absence &amp; Wellbeing&#10;The first row of this table shows 7.2% of working days were lost by police officers YTD compared to 6.5% PYTD (down 0.7% points on PYTD).&#10;The second row shows 6.8% of working days were lost by police staff YTD compared to 6.7% PYTD (up 0.1% points on PYTD).&#10;The third row shows an RRRD balance of 23,083 hours YTD compared to 32,557 hours PYTD (down 289.1%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5239" name="Picture 1" descr="Absence &amp; Wellbeing&#10;The first row of this table shows 7.2% of working days were lost by police officers YTD compared to 6.5% PYTD (down 0.7% points on PYTD).&#10;The second row shows 6.8% of working days were lost by police staff YTD compared to 6.7% PYTD (up 0.1% points on PYTD).&#10;The third row shows an RRRD balance of 23,083 hours YTD compared to 32,557 hours PYTD (down 289.1% on PYTD).&#10;"/>
                    <pic:cNvPicPr/>
                  </pic:nvPicPr>
                  <pic:blipFill>
                    <a:blip r:embed="rId77"/>
                    <a:stretch>
                      <a:fillRect/>
                    </a:stretch>
                  </pic:blipFill>
                  <pic:spPr>
                    <a:xfrm>
                      <a:off x="0" y="0"/>
                      <a:ext cx="6188710" cy="1515745"/>
                    </a:xfrm>
                    <a:prstGeom prst="rect">
                      <a:avLst/>
                    </a:prstGeom>
                  </pic:spPr>
                </pic:pic>
              </a:graphicData>
            </a:graphic>
          </wp:inline>
        </w:drawing>
      </w:r>
    </w:p>
    <w:p w14:paraId="12ED5808" w14:textId="21F0CBE6" w:rsidR="003A29F9" w:rsidRPr="003A29F9" w:rsidRDefault="003A29F9" w:rsidP="003A29F9">
      <w:bookmarkStart w:id="195" w:name="_Hlk213336199"/>
      <w:r w:rsidRPr="003A29F9">
        <w:t>A 0.7% percentage point increase has been recorded in %WDL for Police Officers in comparison to PYTD. The most significant increase in Police Officer absence is in long term Psychological Disorders which has increased by 0.5% when compared to Q</w:t>
      </w:r>
      <w:r w:rsidR="00573550">
        <w:t xml:space="preserve">uarter </w:t>
      </w:r>
      <w:r w:rsidRPr="003A29F9">
        <w:t xml:space="preserve">2 last year </w:t>
      </w:r>
      <w:bookmarkEnd w:id="195"/>
      <w:r w:rsidRPr="003A29F9">
        <w:t xml:space="preserve">(See </w:t>
      </w:r>
      <w:r>
        <w:t>following</w:t>
      </w:r>
      <w:r w:rsidRPr="003A29F9">
        <w:t xml:space="preserve"> graph).</w:t>
      </w:r>
    </w:p>
    <w:p w14:paraId="3BFD5A07" w14:textId="64C78C11" w:rsidR="003A29F9" w:rsidRPr="003A29F9" w:rsidRDefault="00A12764" w:rsidP="003A29F9">
      <w:r>
        <w:rPr>
          <w:noProof/>
        </w:rPr>
        <w:drawing>
          <wp:inline distT="0" distB="0" distL="0" distR="0" wp14:anchorId="1C8BFCBC" wp14:editId="36625B15">
            <wp:extent cx="6192000" cy="2700000"/>
            <wp:effectExtent l="19050" t="19050" r="18415" b="24765"/>
            <wp:docPr id="326163424" name="Picture 3" descr="Psychological Disorders WDLs % Lost&#10;This image shows working days lost (WDLs) per quarter due to psychological disorders for police officers (blue line) and police staff (orange line).&#10;Police officers WDLs range from 1.7% in 2023 Q1, 2.1% in 2023 Q2, 2.1% in 2023 Q3, 2.0% in 2023 Q4, 2.3% in 2024 Q1, 2.4% in 2024 Q2, 2.5% in 2024 Q3, 2.3% in 2024 Q4, 2.6% in 2025 Q1 and 2.9% in 2025 Q2.&#10;Police staff WDLs range from 2.0% in 2023 Q1, 2.3% in 2023 Q2, 2.4% in 2023 Q3, 1.9% in 2023 Q4, 2.0% in 2024 Q1, 2.0% in 2024 Q2, 2.2% in 2024 Q3, 2.1% in 2024 Q4, 2.1% in 2025 Q1 and 2.3% in 2025 Q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801065" name="Picture 3" descr="Psychological Disorders WDLs % Lost&#10;This image shows working days lost (WDLs) per quarter due to psychological disorders for police officers (blue line) and police staff (orange line).&#10;Police officers WDLs range from 1.7% in 2023 Q1, 2.1% in 2023 Q2, 2.1% in 2023 Q3, 2.0% in 2023 Q4, 2.3% in 2024 Q1, 2.4% in 2024 Q2, 2.5% in 2024 Q3, 2.3% in 2024 Q4, 2.6% in 2025 Q1 and 2.9% in 2025 Q2.&#10;Police staff WDLs range from 2.0% in 2023 Q1, 2.3% in 2023 Q2, 2.4% in 2023 Q3, 1.9% in 2023 Q4, 2.0% in 2024 Q1, 2.0% in 2024 Q2, 2.2% in 2024 Q3, 2.1% in 2024 Q4, 2.1% in 2025 Q1 and 2.3% in 2025 Q2.&#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2000" cy="2700000"/>
                    </a:xfrm>
                    <a:prstGeom prst="rect">
                      <a:avLst/>
                    </a:prstGeom>
                    <a:noFill/>
                    <a:ln>
                      <a:solidFill>
                        <a:sysClr val="windowText" lastClr="000000"/>
                      </a:solidFill>
                    </a:ln>
                  </pic:spPr>
                </pic:pic>
              </a:graphicData>
            </a:graphic>
          </wp:inline>
        </w:drawing>
      </w:r>
    </w:p>
    <w:p w14:paraId="017387AD" w14:textId="68B95118" w:rsidR="003A29F9" w:rsidRPr="003A29F9" w:rsidRDefault="00A12764" w:rsidP="003A29F9">
      <w:pPr>
        <w:rPr>
          <w:noProof/>
          <w:lang w:eastAsia="en-GB"/>
        </w:rPr>
      </w:pPr>
      <w:r>
        <w:rPr>
          <w:noProof/>
          <w:lang w:eastAsia="en-GB"/>
        </w:rPr>
        <w:lastRenderedPageBreak/>
        <w:drawing>
          <wp:inline distT="0" distB="0" distL="0" distR="0" wp14:anchorId="2868EE18" wp14:editId="5C4319FF">
            <wp:extent cx="6192000" cy="2700000"/>
            <wp:effectExtent l="19050" t="19050" r="18415" b="24765"/>
            <wp:docPr id="428082826" name="Picture 2" descr="Stress WDLs % Lost&#10;This image shows working days lost (WDLs) per quarter due to stress for police officers (blue line) and police staff (orange line)&#10;Police officers WDLs range from 1.2% in 2023 Q2 to 1.3% in 2024 Q2 and 1.6% in 2025 Q2. Police staff WDLs range from 1.2% in 2023 Q2 to 1.0% in 2024 Q2 and 1.2% in 2025 Q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082826" name="Picture 2" descr="Stress WDLs % Lost&#10;This image shows working days lost (WDLs) per quarter due to stress for police officers (blue line) and police staff (orange line)&#10;Police officers WDLs range from 1.2% in 2023 Q2 to 1.3% in 2024 Q2 and 1.6% in 2025 Q2. Police staff WDLs range from 1.2% in 2023 Q2 to 1.0% in 2024 Q2 and 1.2% in 2025 Q2.&#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2000" cy="2700000"/>
                    </a:xfrm>
                    <a:prstGeom prst="rect">
                      <a:avLst/>
                    </a:prstGeom>
                    <a:noFill/>
                    <a:ln>
                      <a:solidFill>
                        <a:sysClr val="windowText" lastClr="000000"/>
                      </a:solidFill>
                    </a:ln>
                  </pic:spPr>
                </pic:pic>
              </a:graphicData>
            </a:graphic>
          </wp:inline>
        </w:drawing>
      </w:r>
    </w:p>
    <w:p w14:paraId="4828B61D" w14:textId="2DCAEDA1" w:rsidR="003A29F9" w:rsidRPr="003A29F9" w:rsidRDefault="003A29F9" w:rsidP="003A29F9">
      <w:pPr>
        <w:rPr>
          <w:noProof/>
        </w:rPr>
      </w:pPr>
      <w:r w:rsidRPr="003A29F9">
        <w:rPr>
          <w:noProof/>
        </w:rPr>
        <w:t xml:space="preserve">The % of WDL related to stress is currently at 1.6% for officers and 1.2% for staff.  </w:t>
      </w:r>
      <w:bookmarkStart w:id="196" w:name="_Hlk213336408"/>
      <w:r w:rsidRPr="003A29F9">
        <w:rPr>
          <w:noProof/>
        </w:rPr>
        <w:t>If we compare this with the same point in time over the past two years these figures are above the average. Officers represent the most significant increase when comparing both employee types which is up 0.3 percentage points in comparison to last year.</w:t>
      </w:r>
    </w:p>
    <w:bookmarkEnd w:id="196"/>
    <w:p w14:paraId="17315E51" w14:textId="77777777" w:rsidR="00F60E73" w:rsidRPr="00F17B70" w:rsidRDefault="00F60E73" w:rsidP="00F60E73">
      <w:pPr>
        <w:pStyle w:val="KPIHeading4TW"/>
      </w:pPr>
      <w:r w:rsidRPr="00F17B70">
        <w:t>Supporting our workforce’s wellbeing</w:t>
      </w:r>
    </w:p>
    <w:p w14:paraId="5BFC09A3" w14:textId="2EE56523" w:rsidR="00F60E73" w:rsidRPr="00F17B70" w:rsidRDefault="00F60E73" w:rsidP="00F60E73">
      <w:pPr>
        <w:rPr>
          <w:rFonts w:cs="Arial"/>
        </w:rPr>
      </w:pPr>
      <w:r w:rsidRPr="00F17B70">
        <w:rPr>
          <w:rFonts w:cs="Arial"/>
        </w:rPr>
        <w:t xml:space="preserve">Our health and wellbeing teams continue </w:t>
      </w:r>
      <w:r w:rsidR="00C65B6E">
        <w:rPr>
          <w:rFonts w:cs="Arial"/>
        </w:rPr>
        <w:t xml:space="preserve">to </w:t>
      </w:r>
      <w:r w:rsidRPr="00F17B70">
        <w:rPr>
          <w:rFonts w:cs="Arial"/>
        </w:rPr>
        <w:t>provide a suite of offerings to keep our people healthy and prevent ill-health and injury.</w:t>
      </w:r>
    </w:p>
    <w:p w14:paraId="6F0AA59A" w14:textId="00B3BF3A" w:rsidR="00F60E73" w:rsidRPr="00F17B70" w:rsidRDefault="00F60E73" w:rsidP="00F60E73">
      <w:pPr>
        <w:rPr>
          <w:rFonts w:cs="Arial"/>
        </w:rPr>
      </w:pPr>
      <w:r w:rsidRPr="00F17B70">
        <w:rPr>
          <w:rFonts w:cs="Arial"/>
        </w:rPr>
        <w:t>In Q</w:t>
      </w:r>
      <w:r>
        <w:rPr>
          <w:rFonts w:cs="Arial"/>
        </w:rPr>
        <w:t xml:space="preserve">uarter </w:t>
      </w:r>
      <w:r w:rsidRPr="00F17B70">
        <w:rPr>
          <w:rFonts w:cs="Arial"/>
        </w:rPr>
        <w:t>2 2025/26, our occupational health service:</w:t>
      </w:r>
    </w:p>
    <w:p w14:paraId="067FFAA9" w14:textId="0CAE6C3A" w:rsidR="00F60E73" w:rsidRPr="00F17B70" w:rsidRDefault="00F60E73" w:rsidP="00F60E73">
      <w:pPr>
        <w:pStyle w:val="Bullets"/>
      </w:pPr>
      <w:r w:rsidRPr="00F17B70">
        <w:t>Received 1</w:t>
      </w:r>
      <w:r>
        <w:t>,</w:t>
      </w:r>
      <w:r w:rsidRPr="00F17B70">
        <w:t xml:space="preserve">119 management referrals (for reports/reviews of complex cases) (888 Officers / 231 Staff). </w:t>
      </w:r>
    </w:p>
    <w:p w14:paraId="76BFE6A7" w14:textId="7D13B9F6" w:rsidR="00F60E73" w:rsidRPr="00F17B70" w:rsidRDefault="00F60E73" w:rsidP="00F60E73">
      <w:pPr>
        <w:pStyle w:val="Bullets"/>
      </w:pPr>
      <w:r w:rsidRPr="00F17B70">
        <w:t xml:space="preserve">The My OH portal is assisting line managers in the making and monitoring of referrals which enables them </w:t>
      </w:r>
      <w:r w:rsidR="007E4FD7">
        <w:t xml:space="preserve">to </w:t>
      </w:r>
      <w:r w:rsidRPr="00F17B70">
        <w:t xml:space="preserve">support their people appropriately. </w:t>
      </w:r>
    </w:p>
    <w:p w14:paraId="3B009CE3" w14:textId="77777777" w:rsidR="00F60E73" w:rsidRPr="00F17B70" w:rsidRDefault="00F60E73" w:rsidP="00F60E73">
      <w:pPr>
        <w:pStyle w:val="KPIHeading4TW"/>
      </w:pPr>
      <w:r w:rsidRPr="00F17B70">
        <w:t>Your Wellbeing Assessment (YWA)</w:t>
      </w:r>
    </w:p>
    <w:p w14:paraId="218F92FF" w14:textId="77777777" w:rsidR="00F60E73" w:rsidRPr="00F17B70" w:rsidRDefault="00F60E73" w:rsidP="00F60E73">
      <w:pPr>
        <w:pStyle w:val="Bullets"/>
      </w:pPr>
      <w:r w:rsidRPr="00F17B70">
        <w:t xml:space="preserve">Your Wellbeing Assessment (YWA) is a confidential screening tool (an MOT, but for our mental health). </w:t>
      </w:r>
    </w:p>
    <w:p w14:paraId="1C071502" w14:textId="77777777" w:rsidR="00F60E73" w:rsidRPr="00F17B70" w:rsidRDefault="00F60E73" w:rsidP="00F60E73">
      <w:pPr>
        <w:pStyle w:val="Bullets"/>
      </w:pPr>
      <w:r w:rsidRPr="00F17B70">
        <w:t xml:space="preserve">The objective of the assessment is to, with consent, put in place support, advice and guidance before an individual may realise that they need it. The assessment is reviewed by a member of Optima Health’s mental health team. </w:t>
      </w:r>
    </w:p>
    <w:p w14:paraId="56BDB56F" w14:textId="33CB9AB9" w:rsidR="00F60E73" w:rsidRPr="00F17B70" w:rsidRDefault="00F60E73" w:rsidP="00F60E73">
      <w:pPr>
        <w:pStyle w:val="Bullets"/>
      </w:pPr>
      <w:r w:rsidRPr="00F17B70">
        <w:t xml:space="preserve">952 </w:t>
      </w:r>
      <w:bookmarkStart w:id="197" w:name="_Hlk213336502"/>
      <w:r w:rsidRPr="00F17B70">
        <w:t>officers and staff have completed the Your Wellbeing Assessment during the period of Feb</w:t>
      </w:r>
      <w:r>
        <w:t>ruary to September</w:t>
      </w:r>
      <w:r w:rsidRPr="00F17B70">
        <w:t xml:space="preserve"> 2025</w:t>
      </w:r>
      <w:bookmarkEnd w:id="197"/>
      <w:r w:rsidRPr="00F17B70">
        <w:t xml:space="preserve">. </w:t>
      </w:r>
    </w:p>
    <w:p w14:paraId="46E636A5" w14:textId="51E47489" w:rsidR="00F60E73" w:rsidRPr="00F17B70" w:rsidRDefault="00F60E73" w:rsidP="00F60E73">
      <w:pPr>
        <w:pStyle w:val="Bullets"/>
      </w:pPr>
      <w:r w:rsidRPr="00F17B70">
        <w:t xml:space="preserve">With </w:t>
      </w:r>
      <w:bookmarkStart w:id="198" w:name="_Hlk213336529"/>
      <w:r w:rsidRPr="00F17B70">
        <w:t>24% and 31% identified (525 officers and staff in total) within the red and amber categories respectively and a proactive approach has been made</w:t>
      </w:r>
      <w:bookmarkEnd w:id="198"/>
      <w:r w:rsidRPr="00F17B70">
        <w:t xml:space="preserve">. </w:t>
      </w:r>
    </w:p>
    <w:p w14:paraId="08CB312F" w14:textId="79A08663" w:rsidR="00F60E73" w:rsidRPr="00F17B70" w:rsidRDefault="00C244AD" w:rsidP="00F60E73">
      <w:pPr>
        <w:pStyle w:val="KPIHeading4TW"/>
      </w:pPr>
      <w:r>
        <w:lastRenderedPageBreak/>
        <w:t>Employee Assistance Programme (</w:t>
      </w:r>
      <w:r w:rsidR="00F60E73" w:rsidRPr="00F17B70">
        <w:t>EAP</w:t>
      </w:r>
      <w:r>
        <w:t>)</w:t>
      </w:r>
      <w:r w:rsidR="00F60E73" w:rsidRPr="00F17B70">
        <w:t xml:space="preserve"> </w:t>
      </w:r>
    </w:p>
    <w:p w14:paraId="762A985C" w14:textId="77777777" w:rsidR="00F60E73" w:rsidRPr="00F17B70" w:rsidRDefault="00F60E73" w:rsidP="00F60E73">
      <w:pPr>
        <w:pStyle w:val="Bullets"/>
      </w:pPr>
      <w:r w:rsidRPr="00F17B70">
        <w:t xml:space="preserve">We are keen that officers and staff can receive the right support at the right time and are aware of and proactively engage with the avenues of support, with EAP being one of the main pathways. </w:t>
      </w:r>
    </w:p>
    <w:p w14:paraId="5B23FBC7" w14:textId="77777777" w:rsidR="00F60E73" w:rsidRPr="00F17B70" w:rsidRDefault="00F60E73" w:rsidP="00F60E73">
      <w:pPr>
        <w:pStyle w:val="Bullets"/>
      </w:pPr>
      <w:r w:rsidRPr="00F17B70">
        <w:t>There have been 425 contacts with EAP during this period, with 263 new officers and staff progressing through the pathway.</w:t>
      </w:r>
    </w:p>
    <w:p w14:paraId="0E7EF2F6" w14:textId="4BEEFD2B" w:rsidR="00F60E73" w:rsidRPr="00F17B70" w:rsidRDefault="00F60E73" w:rsidP="007C3F41">
      <w:pPr>
        <w:pStyle w:val="Bullets"/>
      </w:pPr>
      <w:r w:rsidRPr="00F17B70">
        <w:t xml:space="preserve">We have enhanced the support offering for officers and staff with </w:t>
      </w:r>
      <w:r w:rsidR="007C3F41" w:rsidRPr="007C3F41">
        <w:t xml:space="preserve">Eye Movement Desensitisation Reprocessing </w:t>
      </w:r>
      <w:r w:rsidR="007C3F41">
        <w:t>(</w:t>
      </w:r>
      <w:r w:rsidRPr="00F17B70">
        <w:t>EMDR</w:t>
      </w:r>
      <w:r w:rsidR="007C3F41">
        <w:t>)</w:t>
      </w:r>
      <w:r w:rsidRPr="00F17B70">
        <w:t xml:space="preserve"> and </w:t>
      </w:r>
      <w:r w:rsidR="007C3F41" w:rsidRPr="007C3F41">
        <w:t xml:space="preserve">Cognitive Behaviour Therapy </w:t>
      </w:r>
      <w:r w:rsidR="007C3F41">
        <w:t>(</w:t>
      </w:r>
      <w:r w:rsidRPr="00F17B70">
        <w:t>CBT</w:t>
      </w:r>
      <w:r w:rsidR="007C3F41">
        <w:t>)</w:t>
      </w:r>
      <w:r w:rsidRPr="00F17B70">
        <w:t xml:space="preserve"> available to those if deemed clinically appropriate. </w:t>
      </w:r>
    </w:p>
    <w:p w14:paraId="373B8FE6" w14:textId="68F47A29" w:rsidR="00F60E73" w:rsidRPr="00F17B70" w:rsidRDefault="00F60E73" w:rsidP="00F60E73">
      <w:pPr>
        <w:pStyle w:val="Bullets"/>
      </w:pPr>
      <w:r w:rsidRPr="00F17B70">
        <w:t>1</w:t>
      </w:r>
      <w:r>
        <w:t>,</w:t>
      </w:r>
      <w:r w:rsidRPr="00F17B70">
        <w:t xml:space="preserve">825 clinical sessions have been delivered during this period. </w:t>
      </w:r>
    </w:p>
    <w:p w14:paraId="030C3DCE" w14:textId="77777777" w:rsidR="00F60E73" w:rsidRPr="00F17B70" w:rsidRDefault="00F60E73" w:rsidP="00F60E73">
      <w:pPr>
        <w:pStyle w:val="Bullets"/>
      </w:pPr>
      <w:r w:rsidRPr="00F17B70">
        <w:t xml:space="preserve">We have enhanced the support offering for officers and staff with EMDR and CBT available to those if deemed clinically appropriate, 101 sessions delivered in this period. </w:t>
      </w:r>
    </w:p>
    <w:p w14:paraId="6AF5B320" w14:textId="07ABB3BF" w:rsidR="00053F48" w:rsidRPr="00573550" w:rsidRDefault="00F60E73" w:rsidP="00F60E73">
      <w:pPr>
        <w:pStyle w:val="Bullets"/>
      </w:pPr>
      <w:r w:rsidRPr="00F17B70">
        <w:t>Counselling interventions appear to have led to positive improvements, with an improved average CORE-OM (clinical outcomes in routine evaluation – outcome measure) score from 16.35 (pre) to 11.78 (post), an average change of -4.57</w:t>
      </w:r>
      <w:r w:rsidR="00EC324C" w:rsidRPr="00573550">
        <w:t>.</w:t>
      </w:r>
    </w:p>
    <w:p w14:paraId="6EE5AFFC" w14:textId="77777777" w:rsidR="00053F48" w:rsidRPr="001A7247" w:rsidRDefault="00053F48" w:rsidP="00053F48">
      <w:pPr>
        <w:pStyle w:val="KPIHeading3TW"/>
      </w:pPr>
      <w:r w:rsidRPr="001A7247">
        <w:t>KPI: Our Culture: % turnover by Police Officers/Staff</w:t>
      </w:r>
    </w:p>
    <w:p w14:paraId="7DB2BCE8" w14:textId="77777777" w:rsidR="00220AC7" w:rsidRDefault="00220AC7" w:rsidP="00220AC7">
      <w:pPr>
        <w:pStyle w:val="Heading4"/>
        <w:rPr>
          <w:rStyle w:val="Heading4Char"/>
          <w:b/>
        </w:rPr>
      </w:pPr>
      <w:bookmarkStart w:id="199" w:name="_Hlk213244264"/>
      <w:r>
        <w:rPr>
          <w:rStyle w:val="Heading4Char"/>
          <w:b/>
        </w:rPr>
        <w:t>Turnover Data</w:t>
      </w:r>
    </w:p>
    <w:p w14:paraId="12F30AD4" w14:textId="34FDDB0B" w:rsidR="003A29F9" w:rsidRPr="00573550" w:rsidRDefault="003A29F9" w:rsidP="00573550">
      <w:pPr>
        <w:pStyle w:val="KPIHeading4TW"/>
        <w:rPr>
          <w:rStyle w:val="Heading4Char"/>
          <w:b/>
        </w:rPr>
      </w:pPr>
      <w:r w:rsidRPr="00573550">
        <w:rPr>
          <w:rStyle w:val="Heading4Char"/>
          <w:b/>
        </w:rPr>
        <w:t>Fluctuation in turnover of police officers and police staff</w:t>
      </w:r>
      <w:bookmarkEnd w:id="199"/>
    </w:p>
    <w:p w14:paraId="4A0DF2F1" w14:textId="77777777" w:rsidR="00AF5848" w:rsidRDefault="00AF5848" w:rsidP="003A29F9">
      <w:r w:rsidRPr="00AF5848">
        <w:rPr>
          <w:noProof/>
        </w:rPr>
        <w:drawing>
          <wp:inline distT="0" distB="0" distL="0" distR="0" wp14:anchorId="08770F8A" wp14:editId="414CF44D">
            <wp:extent cx="6188710" cy="1156970"/>
            <wp:effectExtent l="0" t="0" r="2540" b="5080"/>
            <wp:docPr id="1256842147" name="Picture 1" descr="Workforce Planning Data&#10;The first row of this table shows the percentage turnover of police officers (voluntary, not including retirements and involuntary) was 0.42% YTD compared to 0.40% PYTD (up 0.02% points on PYTD).&#10;The second row shows the percentage turnover of police staff (voluntary, not including retirements and involuntary) was 0.82% YTD compared to 2.08% PYTD (down 1.26%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2147" name="Picture 1" descr="Workforce Planning Data&#10;The first row of this table shows the percentage turnover of police officers (voluntary, not including retirements and involuntary) was 0.42% YTD compared to 0.40% PYTD (up 0.02% points on PYTD).&#10;The second row shows the percentage turnover of police staff (voluntary, not including retirements and involuntary) was 0.82% YTD compared to 2.08% PYTD (down 1.26% points on PYTD).&#10;"/>
                    <pic:cNvPicPr/>
                  </pic:nvPicPr>
                  <pic:blipFill>
                    <a:blip r:embed="rId80"/>
                    <a:stretch>
                      <a:fillRect/>
                    </a:stretch>
                  </pic:blipFill>
                  <pic:spPr>
                    <a:xfrm>
                      <a:off x="0" y="0"/>
                      <a:ext cx="6188710" cy="1156970"/>
                    </a:xfrm>
                    <a:prstGeom prst="rect">
                      <a:avLst/>
                    </a:prstGeom>
                  </pic:spPr>
                </pic:pic>
              </a:graphicData>
            </a:graphic>
          </wp:inline>
        </w:drawing>
      </w:r>
    </w:p>
    <w:p w14:paraId="110B0175" w14:textId="77777777" w:rsidR="00C244AD" w:rsidRDefault="003A29F9" w:rsidP="003A29F9">
      <w:bookmarkStart w:id="200" w:name="_Hlk213336794"/>
      <w:r>
        <w:t>P</w:t>
      </w:r>
      <w:r w:rsidRPr="0066500D">
        <w:t>olice officer turnover</w:t>
      </w:r>
      <w:r>
        <w:t xml:space="preserve"> has stayed relatively stable when compared to the same period last year. Police staff is showing a more significant decrease as a large number of voluntary redundancies were taken in Q</w:t>
      </w:r>
      <w:r w:rsidR="00573550">
        <w:t xml:space="preserve">uarter </w:t>
      </w:r>
      <w:r>
        <w:t>2 last year</w:t>
      </w:r>
      <w:bookmarkEnd w:id="200"/>
      <w:r>
        <w:t>.</w:t>
      </w:r>
    </w:p>
    <w:p w14:paraId="35786284" w14:textId="77777777" w:rsidR="00C244AD" w:rsidRDefault="00C244AD">
      <w:pPr>
        <w:spacing w:before="0" w:after="160" w:line="259" w:lineRule="auto"/>
      </w:pPr>
      <w:r>
        <w:br w:type="page"/>
      </w:r>
    </w:p>
    <w:p w14:paraId="213FCB18" w14:textId="5F06A5C6" w:rsidR="00663C10" w:rsidRPr="001A7247" w:rsidRDefault="00663C10" w:rsidP="00794D39">
      <w:pPr>
        <w:pStyle w:val="KPIHeading3TW"/>
      </w:pPr>
      <w:r w:rsidRPr="001A7247">
        <w:lastRenderedPageBreak/>
        <w:t xml:space="preserve">KPI: </w:t>
      </w:r>
      <w:r w:rsidR="00C362D4" w:rsidRPr="001A7247">
        <w:t xml:space="preserve">Our Culture: </w:t>
      </w:r>
      <w:bookmarkStart w:id="201" w:name="_Hlk205901553"/>
      <w:r w:rsidR="00C362D4" w:rsidRPr="001A7247">
        <w:t xml:space="preserve">Number of </w:t>
      </w:r>
      <w:r w:rsidR="000A14DB">
        <w:t>A</w:t>
      </w:r>
      <w:r w:rsidR="00C362D4" w:rsidRPr="001A7247">
        <w:t>ssaults on Police Officers/Staff</w:t>
      </w:r>
      <w:bookmarkEnd w:id="201"/>
    </w:p>
    <w:p w14:paraId="275F2A84" w14:textId="3FDDC5A5" w:rsidR="00663C10" w:rsidRPr="00794D39" w:rsidRDefault="00C362D4" w:rsidP="00974DED">
      <w:pPr>
        <w:pStyle w:val="Heading4"/>
      </w:pPr>
      <w:r w:rsidRPr="00794D39">
        <w:t>Assaults and Injuries Data</w:t>
      </w:r>
    </w:p>
    <w:p w14:paraId="60AF0447" w14:textId="6794337F" w:rsidR="006A5A76" w:rsidRPr="006A5A76" w:rsidRDefault="00CD70FE" w:rsidP="00974DED">
      <w:pPr>
        <w:pStyle w:val="KPIPullOutTW"/>
      </w:pPr>
      <w:r>
        <w:t>A</w:t>
      </w:r>
      <w:r w:rsidR="006A5A76">
        <w:t>ssaults on police officers/staff</w:t>
      </w:r>
      <w:r>
        <w:t xml:space="preserve"> </w:t>
      </w:r>
      <w:r w:rsidR="005C7897">
        <w:t>up 7.</w:t>
      </w:r>
      <w:r w:rsidR="004D4462">
        <w:t>1</w:t>
      </w:r>
      <w:r w:rsidR="005C7897">
        <w:t>% on PYTD</w:t>
      </w:r>
    </w:p>
    <w:p w14:paraId="79D5FE9D" w14:textId="29563A21" w:rsidR="005C7897" w:rsidRDefault="00124A77" w:rsidP="0029294B">
      <w:pPr>
        <w:rPr>
          <w:noProof/>
        </w:rPr>
      </w:pPr>
      <w:r w:rsidRPr="00124A77">
        <w:rPr>
          <w:noProof/>
        </w:rPr>
        <w:drawing>
          <wp:inline distT="0" distB="0" distL="0" distR="0" wp14:anchorId="6C00C33A" wp14:editId="4CF49FB1">
            <wp:extent cx="6188710" cy="1849755"/>
            <wp:effectExtent l="0" t="0" r="2540" b="0"/>
            <wp:docPr id="1789817637" name="Picture 1" descr="Assaults and Injuries Data&#10;The first row of this table shows 4,088 assaults on police officers/staff YTD compared to 3,820 PYTD (up 7.0% on PYTD); and 7,438 assaults on police officers/staff in the rolling 12 months period compared to 7,048 in the previous rolling 12 months (up 5.5% on previous period).&#10;The second row shows the percentage of assaults leading to injury was 23.4% YTD compared to 25.2% PYTD (down 1.8% points on PYTD); and the percentage of assaults leading to injury was 23.8% in the rolling 12 months period compared to 25.1% in the previous rolling 12 months (down 1.3% points on previous period).&#10;The third row shows 19 assault RIDDORS YTD compared to 24 PYTD (down 20.8% on PYTD); and 42 assault RIDDORS in the rolling 12 months period compared to 44 in the previous rolling 12 months (down 4.5% on previous period).&#10;The fourth row shows 1.6 assault RIDDORS per 1k employment YTD compared to 2.2 PYTD (down 27.3% on PYTD); and 2.8 assault RIDDORS per 1k employment in the rolling 12 months period compared to 2.7 in the previous rolling 12 months (up 3.7%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17637" name="Picture 1" descr="Assaults and Injuries Data&#10;The first row of this table shows 4,088 assaults on police officers/staff YTD compared to 3,820 PYTD (up 7.0% on PYTD); and 7,438 assaults on police officers/staff in the rolling 12 months period compared to 7,048 in the previous rolling 12 months (up 5.5% on previous period).&#10;The second row shows the percentage of assaults leading to injury was 23.4% YTD compared to 25.2% PYTD (down 1.8% points on PYTD); and the percentage of assaults leading to injury was 23.8% in the rolling 12 months period compared to 25.1% in the previous rolling 12 months (down 1.3% points on previous period).&#10;The third row shows 19 assault RIDDORS YTD compared to 24 PYTD (down 20.8% on PYTD); and 42 assault RIDDORS in the rolling 12 months period compared to 44 in the previous rolling 12 months (down 4.5% on previous period).&#10;The fourth row shows 1.6 assault RIDDORS per 1k employment YTD compared to 2.2 PYTD (down 27.3% on PYTD); and 2.8 assault RIDDORS per 1k employment in the rolling 12 months period compared to 2.7 in the previous rolling 12 months (up 3.7% on previous period).&#10;"/>
                    <pic:cNvPicPr/>
                  </pic:nvPicPr>
                  <pic:blipFill>
                    <a:blip r:embed="rId81"/>
                    <a:stretch>
                      <a:fillRect/>
                    </a:stretch>
                  </pic:blipFill>
                  <pic:spPr>
                    <a:xfrm>
                      <a:off x="0" y="0"/>
                      <a:ext cx="6188710" cy="1849755"/>
                    </a:xfrm>
                    <a:prstGeom prst="rect">
                      <a:avLst/>
                    </a:prstGeom>
                  </pic:spPr>
                </pic:pic>
              </a:graphicData>
            </a:graphic>
          </wp:inline>
        </w:drawing>
      </w:r>
    </w:p>
    <w:p w14:paraId="782B919D" w14:textId="27F95467" w:rsidR="005C7897" w:rsidRDefault="005C7897" w:rsidP="005C7897">
      <w:bookmarkStart w:id="202" w:name="_Hlk205901583"/>
      <w:r>
        <w:t>In the YTD, a total of 4,</w:t>
      </w:r>
      <w:r w:rsidR="00124A77">
        <w:t xml:space="preserve">088 </w:t>
      </w:r>
      <w:r>
        <w:t xml:space="preserve">assaults on police officers/staff have been recorded. This is an increase of </w:t>
      </w:r>
      <w:r w:rsidR="00124A77">
        <w:t xml:space="preserve">268 </w:t>
      </w:r>
      <w:r>
        <w:t>assaults (up 7.</w:t>
      </w:r>
      <w:r w:rsidR="00124A77">
        <w:t>0</w:t>
      </w:r>
      <w:r>
        <w:t xml:space="preserve">%) compared to the same period last year. This equates to an average of </w:t>
      </w:r>
      <w:r w:rsidR="00656208">
        <w:t xml:space="preserve">around </w:t>
      </w:r>
      <w:r>
        <w:t>22 assaults on officers/staff per day (unchanged from the figures presented in Quarter 1).</w:t>
      </w:r>
    </w:p>
    <w:p w14:paraId="07954C64" w14:textId="77777777" w:rsidR="004D4462" w:rsidRDefault="004D4462" w:rsidP="005C7897">
      <w:bookmarkStart w:id="203" w:name="_Hlk213336972"/>
      <w:r>
        <w:t xml:space="preserve">Eight of the thirteen </w:t>
      </w:r>
      <w:r w:rsidR="005C7897">
        <w:t>Local Policing Divisions</w:t>
      </w:r>
      <w:r>
        <w:t xml:space="preserve"> have recorded an increase in their volume of assaults on police officers/staff compared to the PYTD</w:t>
      </w:r>
      <w:r w:rsidR="005C7897">
        <w:t xml:space="preserve">. </w:t>
      </w:r>
      <w:r>
        <w:t>The biggest YTD increases in assaults were in Lanarkshire (138 more crimes, up 27.5%) in the West region followed by Fife (101 more crimes, up 42.8%) in the East region</w:t>
      </w:r>
      <w:bookmarkEnd w:id="203"/>
      <w:r>
        <w:t>.</w:t>
      </w:r>
    </w:p>
    <w:p w14:paraId="3A7E2B19" w14:textId="4CD7D2E3" w:rsidR="005C7897" w:rsidRDefault="004D4462" w:rsidP="005C7897">
      <w:bookmarkStart w:id="204" w:name="_Hlk213337003"/>
      <w:r>
        <w:t>Smaller increases were noted in North East, Tayside, Forth Valley, Edinburgh, Greater Glasgow and Renfrewshire &amp; Inverclyde divisions with decreases recorded in Highland &amp; Islands, the Lothians &amp; Scottish Borders, Ayrshire and Dumfries &amp; Galloway divisions. Argyll &amp; West Dunbartonshire remained unchanged from PYTD</w:t>
      </w:r>
      <w:bookmarkEnd w:id="204"/>
      <w:r w:rsidR="005C7897">
        <w:t>.</w:t>
      </w:r>
    </w:p>
    <w:p w14:paraId="154829B0" w14:textId="78D20049" w:rsidR="005C7897" w:rsidRDefault="005C7897" w:rsidP="005C7897">
      <w:r>
        <w:t>The rolling 12 month figures show</w:t>
      </w:r>
      <w:r w:rsidR="00124A77">
        <w:t xml:space="preserve"> 7,438</w:t>
      </w:r>
      <w:r>
        <w:t xml:space="preserve"> assaults on police officers/staff from </w:t>
      </w:r>
      <w:r w:rsidR="00656208">
        <w:t>October</w:t>
      </w:r>
      <w:r>
        <w:t xml:space="preserve"> 2024 to </w:t>
      </w:r>
      <w:r w:rsidR="00656208">
        <w:t>September</w:t>
      </w:r>
      <w:r>
        <w:t xml:space="preserve"> 2025, up</w:t>
      </w:r>
      <w:r w:rsidR="00124A77">
        <w:t xml:space="preserve"> 5.5</w:t>
      </w:r>
      <w:r>
        <w:t>% (</w:t>
      </w:r>
      <w:r w:rsidR="00124A77">
        <w:t>390</w:t>
      </w:r>
      <w:r>
        <w:t xml:space="preserve"> more assaults) on the same period in the previous year. This is around</w:t>
      </w:r>
      <w:r w:rsidR="00584016">
        <w:t xml:space="preserve"> 20</w:t>
      </w:r>
      <w:r>
        <w:t xml:space="preserve"> assaults per day on average</w:t>
      </w:r>
      <w:r w:rsidR="00656208">
        <w:t>.</w:t>
      </w:r>
    </w:p>
    <w:p w14:paraId="5DE319CF" w14:textId="2FFCD64B" w:rsidR="0015563A" w:rsidRDefault="005C7897" w:rsidP="005C7897">
      <w:bookmarkStart w:id="205" w:name="_Hlk213337077"/>
      <w:r>
        <w:t xml:space="preserve">Despite the increases in assaults, the </w:t>
      </w:r>
      <w:r w:rsidR="00044514">
        <w:t xml:space="preserve">YTD percentage of assaults leading to </w:t>
      </w:r>
      <w:r>
        <w:t xml:space="preserve">injury </w:t>
      </w:r>
      <w:r w:rsidR="00544A5A">
        <w:t>(</w:t>
      </w:r>
      <w:r w:rsidR="00124A77">
        <w:t>23.4</w:t>
      </w:r>
      <w:r w:rsidR="00544A5A">
        <w:t xml:space="preserve">%) </w:t>
      </w:r>
      <w:r w:rsidR="00044514">
        <w:t xml:space="preserve">is down </w:t>
      </w:r>
      <w:r w:rsidR="00124A77">
        <w:t>1.8</w:t>
      </w:r>
      <w:r w:rsidR="00044514">
        <w:t xml:space="preserve"> percentage points</w:t>
      </w:r>
      <w:r>
        <w:t xml:space="preserve"> compared to the previous </w:t>
      </w:r>
      <w:r w:rsidR="00044514">
        <w:t>YTD</w:t>
      </w:r>
      <w:r w:rsidR="00544A5A">
        <w:t xml:space="preserve"> (</w:t>
      </w:r>
      <w:r w:rsidR="00124A77">
        <w:t>25.2</w:t>
      </w:r>
      <w:r w:rsidR="00544A5A">
        <w:t>%)</w:t>
      </w:r>
      <w:r w:rsidR="00656208">
        <w:t xml:space="preserve"> with a drop also in the number of assault RIDDORS (</w:t>
      </w:r>
      <w:r w:rsidR="00124A77">
        <w:t>five</w:t>
      </w:r>
      <w:r w:rsidR="00656208">
        <w:t xml:space="preserve"> fewer, down </w:t>
      </w:r>
      <w:r w:rsidR="00124A77">
        <w:t>20.8</w:t>
      </w:r>
      <w:r w:rsidR="00656208">
        <w:t>%)</w:t>
      </w:r>
      <w:bookmarkEnd w:id="205"/>
      <w:r w:rsidR="00255217">
        <w:t>.</w:t>
      </w:r>
      <w:bookmarkEnd w:id="202"/>
    </w:p>
    <w:p w14:paraId="5E0F80B1" w14:textId="04DE3A4C" w:rsidR="00663C10" w:rsidRPr="001A7247" w:rsidRDefault="00663C10" w:rsidP="008A609B">
      <w:pPr>
        <w:pStyle w:val="KPIHeading3TW"/>
      </w:pPr>
      <w:r w:rsidRPr="001A7247">
        <w:t xml:space="preserve">KPI: </w:t>
      </w:r>
      <w:r w:rsidR="005433B2" w:rsidRPr="001A7247">
        <w:t xml:space="preserve">Our Culture: </w:t>
      </w:r>
      <w:bookmarkStart w:id="206" w:name="_Hlk205901701"/>
      <w:r w:rsidR="005433B2" w:rsidRPr="001A7247">
        <w:t>Financial Sustainability, Improved Fleet Efficiency and Reduction in Utilities Consumption</w:t>
      </w:r>
      <w:bookmarkEnd w:id="206"/>
    </w:p>
    <w:p w14:paraId="38C3226C" w14:textId="78CD7BD6" w:rsidR="005433B2" w:rsidRDefault="00953B91" w:rsidP="00974DED">
      <w:pPr>
        <w:pStyle w:val="Heading4"/>
      </w:pPr>
      <w:r>
        <w:t xml:space="preserve">Maintaining a Balanced Budget / </w:t>
      </w:r>
      <w:r w:rsidR="005433B2" w:rsidRPr="001A7247">
        <w:t>Financial Sustainability</w:t>
      </w:r>
    </w:p>
    <w:p w14:paraId="035AE6D9" w14:textId="2DB79DBA" w:rsidR="00953B91" w:rsidRDefault="00953B91" w:rsidP="00953B91">
      <w:r>
        <w:t>The 2025/26 budget was approved by the Board at the Authority meeting held on 27 March 2025.</w:t>
      </w:r>
    </w:p>
    <w:p w14:paraId="6D81B00A" w14:textId="0D46F5B6" w:rsidR="00953B91" w:rsidRPr="00953B91" w:rsidRDefault="00953B91" w:rsidP="00953B91">
      <w:r>
        <w:t>The budget report highlighted the key budgeting assumptions that are sensitive to change, and which could result in a material change to the 2025/26 budget. The overall financial position will continue to be monitored and reported throughout the year</w:t>
      </w:r>
    </w:p>
    <w:p w14:paraId="680325C8" w14:textId="394BB76E" w:rsidR="00B70840" w:rsidRPr="00B70840" w:rsidRDefault="00953B91" w:rsidP="00974DED">
      <w:pPr>
        <w:pStyle w:val="KPIPullOutTW"/>
      </w:pPr>
      <w:r>
        <w:lastRenderedPageBreak/>
        <w:t xml:space="preserve">£1.1m YTD underspend against </w:t>
      </w:r>
      <w:r w:rsidR="00B70840" w:rsidRPr="00B70840">
        <w:t>Revenue</w:t>
      </w:r>
      <w:r w:rsidR="006A5A76">
        <w:t xml:space="preserve"> budget</w:t>
      </w:r>
    </w:p>
    <w:p w14:paraId="0FC9D8F9" w14:textId="77777777" w:rsidR="00953B91" w:rsidRDefault="00953B91" w:rsidP="00953B91">
      <w:bookmarkStart w:id="207" w:name="_Hlk205901776"/>
      <w:r>
        <w:t>The Quarter 2 forecast is reporting an overall breakeven position against budget and funding.</w:t>
      </w:r>
    </w:p>
    <w:p w14:paraId="4D958C91" w14:textId="23BBD4E9" w:rsidR="00953B91" w:rsidRDefault="00953B91" w:rsidP="00953B91">
      <w:r>
        <w:t xml:space="preserve">The Quarter 2 forecast position presents a number of challenges, particularly when viewed in the context of the emerging cost pressures. </w:t>
      </w:r>
      <w:bookmarkStart w:id="208" w:name="_Hlk213337161"/>
      <w:r>
        <w:t>Key risk areas include overtime, ill-health pension costs, liability claims, and a potential inflation guarantee payment that may be triggered as part of pay award agreements</w:t>
      </w:r>
      <w:r w:rsidR="007C3F41">
        <w:t>.</w:t>
      </w:r>
      <w:bookmarkEnd w:id="208"/>
    </w:p>
    <w:p w14:paraId="7D3E74C8" w14:textId="77777777" w:rsidR="00953B91" w:rsidRDefault="00953B91" w:rsidP="00953B91">
      <w:r>
        <w:t>It is critical that spend is tightly controlled over the remainder of the financial year to ensure a balanced position in line with funding.</w:t>
      </w:r>
    </w:p>
    <w:p w14:paraId="60132240" w14:textId="77777777" w:rsidR="00953B91" w:rsidRDefault="00953B91" w:rsidP="00953B91">
      <w:r>
        <w:t>The forecast will be closely monitored alongside the financial threats and opportunities, with appropriate action to be taken if required.</w:t>
      </w:r>
    </w:p>
    <w:p w14:paraId="5915EC5B" w14:textId="42732735" w:rsidR="00953B91" w:rsidRDefault="00953B91" w:rsidP="00953B91">
      <w:bookmarkStart w:id="209" w:name="_Hlk213337176"/>
      <w:r>
        <w:t>Funding discussions are ongoing with regards to Operation ROLL (POTUS visit) and Operation OCLATE (VPOTUS visit) totalling £24.1m. Confirmation of funding is not expected until the Spring Budget Review is completed in the early part of 2026</w:t>
      </w:r>
      <w:bookmarkEnd w:id="209"/>
      <w:r>
        <w:t>.</w:t>
      </w:r>
    </w:p>
    <w:p w14:paraId="6ADD32E0" w14:textId="59828FA7" w:rsidR="00B70840" w:rsidRPr="00B70840" w:rsidRDefault="00953B91" w:rsidP="00953B91">
      <w:bookmarkStart w:id="210" w:name="_Hlk213337219"/>
      <w:r>
        <w:t>At the end of Quarter 2 we are reporting a £4.5m year-to-date overspend against Quarter 1 forecast and a £1.1m year-to-date underspend against budget</w:t>
      </w:r>
      <w:bookmarkEnd w:id="207"/>
      <w:bookmarkEnd w:id="210"/>
      <w:r>
        <w:t>.</w:t>
      </w:r>
    </w:p>
    <w:p w14:paraId="42F5A45A" w14:textId="0FA77BD3" w:rsidR="00B70840" w:rsidRPr="00B70840" w:rsidRDefault="00B70840" w:rsidP="00974DED">
      <w:pPr>
        <w:pStyle w:val="KPIPullOutTW"/>
      </w:pPr>
      <w:r w:rsidRPr="00B70840">
        <w:t>Capital</w:t>
      </w:r>
      <w:r w:rsidR="006A5A76">
        <w:t xml:space="preserve"> </w:t>
      </w:r>
      <w:r w:rsidR="00A701CA">
        <w:t xml:space="preserve">spend over </w:t>
      </w:r>
      <w:r w:rsidR="006A5A76">
        <w:t>budget</w:t>
      </w:r>
      <w:r w:rsidR="00A701CA">
        <w:t xml:space="preserve"> </w:t>
      </w:r>
      <w:r w:rsidR="00953B91">
        <w:t>by £0.9m</w:t>
      </w:r>
    </w:p>
    <w:p w14:paraId="327F193E" w14:textId="77777777" w:rsidR="00953B91" w:rsidRDefault="00953B91" w:rsidP="00953B91">
      <w:bookmarkStart w:id="211" w:name="_Hlk205901851"/>
      <w:r>
        <w:t>The capital forecast at Quarter 2 is £73.1m, £2.1m above the budget position of £71.0m. The forecast overspend is fully funded by additional capital receipts and other grants.</w:t>
      </w:r>
    </w:p>
    <w:p w14:paraId="50F83371" w14:textId="77777777" w:rsidR="00953B91" w:rsidRDefault="00953B91" w:rsidP="00953B91">
      <w:r>
        <w:t>Capital delivery plans and forecasts have been updated by business areas to accurately reflect current timelines and spend profiles at Quarter 2 forecast.</w:t>
      </w:r>
    </w:p>
    <w:p w14:paraId="5CDA60AC" w14:textId="77777777" w:rsidR="00953B91" w:rsidRDefault="00953B91" w:rsidP="00953B91">
      <w:r>
        <w:t>The capital forecast at Quarter 2 requires £5.9m of slippage to be achieved throughout the remaining part of the financial year.</w:t>
      </w:r>
    </w:p>
    <w:p w14:paraId="40BB9288" w14:textId="77777777" w:rsidR="00953B91" w:rsidRDefault="00953B91" w:rsidP="00953B91">
      <w:r>
        <w:t>Committed and uncommitted spend will continue to be monitored throughout the year.</w:t>
      </w:r>
    </w:p>
    <w:p w14:paraId="76F14265" w14:textId="77777777" w:rsidR="00953B91" w:rsidRDefault="00953B91" w:rsidP="00953B91">
      <w:r>
        <w:t>Finance are engaging regularly with business areas to support delivery of their capital plans.</w:t>
      </w:r>
    </w:p>
    <w:p w14:paraId="42728257" w14:textId="2CEE646E" w:rsidR="00B70840" w:rsidRPr="00B70840" w:rsidRDefault="00953B91" w:rsidP="00953B91">
      <w:r>
        <w:t xml:space="preserve">The year-to-date capital spend at September 2025 is </w:t>
      </w:r>
      <w:bookmarkStart w:id="212" w:name="_Hlk213337293"/>
      <w:r>
        <w:t>over Quarter 1 forecast by £4.8m and over budget by £0.9m.</w:t>
      </w:r>
    </w:p>
    <w:bookmarkEnd w:id="211"/>
    <w:bookmarkEnd w:id="212"/>
    <w:p w14:paraId="3DFF1F65" w14:textId="410B0DD2" w:rsidR="00B70840" w:rsidRPr="00B70840" w:rsidRDefault="00B70840" w:rsidP="00974DED">
      <w:pPr>
        <w:pStyle w:val="KPIPullOutTW"/>
      </w:pPr>
      <w:r w:rsidRPr="00B70840">
        <w:t>Reform</w:t>
      </w:r>
      <w:r w:rsidR="006A5A76">
        <w:t xml:space="preserve"> </w:t>
      </w:r>
      <w:r w:rsidR="00A701CA">
        <w:t xml:space="preserve">spend under </w:t>
      </w:r>
      <w:r w:rsidR="006A5A76">
        <w:t xml:space="preserve">budget </w:t>
      </w:r>
      <w:r w:rsidR="00A701CA">
        <w:t>by £0.2m</w:t>
      </w:r>
    </w:p>
    <w:p w14:paraId="462D60AA" w14:textId="77777777" w:rsidR="00953B91" w:rsidRDefault="00953B91" w:rsidP="00953B91">
      <w:bookmarkStart w:id="213" w:name="_Hlk205901907"/>
      <w:r>
        <w:t>The reform forecast at Quarter 2 of £20.8m, £0.4m (fully funded) above the budget position of £20.4m.</w:t>
      </w:r>
    </w:p>
    <w:p w14:paraId="55E24701" w14:textId="77777777" w:rsidR="00953B91" w:rsidRDefault="00953B91" w:rsidP="00953B91">
      <w:bookmarkStart w:id="214" w:name="_Hlk213337340"/>
      <w:r>
        <w:t>The reform forecast has removed £15.9m of the £16.2m overprogramming included as part of the approved budget, leaving only £0.3m of slippage still to be achieved across the remainder of the year</w:t>
      </w:r>
      <w:bookmarkEnd w:id="214"/>
      <w:r>
        <w:t>.</w:t>
      </w:r>
    </w:p>
    <w:p w14:paraId="64CAC4C2" w14:textId="77777777" w:rsidR="00953B91" w:rsidRDefault="00953B91" w:rsidP="00953B91">
      <w:r>
        <w:t>Committed and uncommitted spend will continue to be monitored throughout the year.</w:t>
      </w:r>
    </w:p>
    <w:p w14:paraId="4478139B" w14:textId="58DFB6A5" w:rsidR="005433B2" w:rsidRDefault="00953B91" w:rsidP="00953B91">
      <w:bookmarkStart w:id="215" w:name="_Hlk213337363"/>
      <w:r>
        <w:t xml:space="preserve">The year-to-date reform spend at </w:t>
      </w:r>
      <w:r w:rsidR="00A701CA">
        <w:t>September 2025</w:t>
      </w:r>
      <w:r>
        <w:t xml:space="preserve"> is under Quarter 1 forecast by £0.4m and under budget by £0.2m</w:t>
      </w:r>
      <w:bookmarkEnd w:id="215"/>
      <w:r>
        <w:t>.</w:t>
      </w:r>
    </w:p>
    <w:bookmarkEnd w:id="213"/>
    <w:p w14:paraId="3989D887" w14:textId="65697CC3" w:rsidR="0038510A" w:rsidRPr="001A7247" w:rsidRDefault="006A5A76" w:rsidP="00CD70FE">
      <w:pPr>
        <w:pStyle w:val="KPIPullOutTW"/>
      </w:pPr>
      <w:r>
        <w:lastRenderedPageBreak/>
        <w:t xml:space="preserve">Green miles </w:t>
      </w:r>
      <w:r w:rsidR="00552745">
        <w:t xml:space="preserve">used </w:t>
      </w:r>
      <w:r>
        <w:t xml:space="preserve">by electric vehicles </w:t>
      </w:r>
      <w:r w:rsidR="00552745">
        <w:t>up 2.6% on previous quarter</w:t>
      </w:r>
    </w:p>
    <w:p w14:paraId="08351B95" w14:textId="7BF4667F" w:rsidR="00CD70FE" w:rsidRDefault="00552745" w:rsidP="005433B2">
      <w:bookmarkStart w:id="216" w:name="_Hlk205901953"/>
      <w:r w:rsidRPr="00552745">
        <w:rPr>
          <w:noProof/>
        </w:rPr>
        <w:drawing>
          <wp:inline distT="0" distB="0" distL="0" distR="0" wp14:anchorId="28361CE1" wp14:editId="19EA5A63">
            <wp:extent cx="6188710" cy="1503045"/>
            <wp:effectExtent l="0" t="0" r="2540" b="1905"/>
            <wp:docPr id="1419120969" name="Picture 1" descr="Fleet&#10;The first row of this table show the average age of fleet was 3.91 years in Quarter 2 2025/26 compared to 3.93 years in Quarter 1 2025/26 (down 0.5% on previous quarter).&#10;The second row shows the proportion of vehicles that are ULEV was 33.0% in Quarter 2 2025/26 compared to 33.0% in Quarter 1 2025/26 (no change from previous quarter).&#10;The total mileage of electric vehicles (green miles) was 1,866,859 in Quarter 2 2025/26 compared to 1,820,035 miles in Quarter 1 2025/26 (up 2.6% on previous qua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20969" name="Picture 1" descr="Fleet&#10;The first row of this table show the average age of fleet was 3.91 years in Quarter 2 2025/26 compared to 3.93 years in Quarter 1 2025/26 (down 0.5% on previous quarter).&#10;The second row shows the proportion of vehicles that are ULEV was 33.0% in Quarter 2 2025/26 compared to 33.0% in Quarter 1 2025/26 (no change from previous quarter).&#10;The total mileage of electric vehicles (green miles) was 1,866,859 in Quarter 2 2025/26 compared to 1,820,035 miles in Quarter 1 2025/26 (up 2.6% on previous quarter).&#10;"/>
                    <pic:cNvPicPr/>
                  </pic:nvPicPr>
                  <pic:blipFill>
                    <a:blip r:embed="rId82"/>
                    <a:stretch>
                      <a:fillRect/>
                    </a:stretch>
                  </pic:blipFill>
                  <pic:spPr>
                    <a:xfrm>
                      <a:off x="0" y="0"/>
                      <a:ext cx="6188710" cy="1503045"/>
                    </a:xfrm>
                    <a:prstGeom prst="rect">
                      <a:avLst/>
                    </a:prstGeom>
                  </pic:spPr>
                </pic:pic>
              </a:graphicData>
            </a:graphic>
          </wp:inline>
        </w:drawing>
      </w:r>
    </w:p>
    <w:p w14:paraId="2AAC9E2F" w14:textId="263A18B7" w:rsidR="002B3029" w:rsidRDefault="002B3029" w:rsidP="002B3029">
      <w:r>
        <w:t>Police Scotland is working towards implementing the move to an Ultra-Low Emission Fleet as part of the Scottish Police Authority (SPA) approved Fleet Strategy. In Quarter 2 2025/26, 1,195 ULEV vehicles make up 33% of Police Scotland’s overall fleet. 47% of the unmarked fleet are ULEV (ultra-low emission vehicles).</w:t>
      </w:r>
    </w:p>
    <w:p w14:paraId="3B3D3170" w14:textId="0FFFF98D" w:rsidR="002B3029" w:rsidRDefault="002B3029" w:rsidP="002B3029">
      <w:r>
        <w:t>The total mileage of electric vehicles (green miles) during Quarter 2 2025/26 is 1,866,859 miles.</w:t>
      </w:r>
      <w:r w:rsidR="003E732F">
        <w:t xml:space="preserve"> This is up 2.6% (46,824 additional miles) from the previous quarter.</w:t>
      </w:r>
    </w:p>
    <w:p w14:paraId="3B2B349F" w14:textId="55872BAA" w:rsidR="00E54B68" w:rsidRDefault="002B3029" w:rsidP="002B3029">
      <w:r>
        <w:t>The current average Fleet age for Police Scotland fleet is 3.91 years</w:t>
      </w:r>
      <w:r w:rsidR="003E732F">
        <w:t xml:space="preserve"> (down 0.2 years from the previous quarter)</w:t>
      </w:r>
      <w:r>
        <w:t>. This fluctuates from one day to the next as it is a live figure taking on the day, considering vehicles awaiting to be replaced and sold. This will reduce as new vehicles are introduced to the fleet and if the level of capital investment on the fleet is maintained in future years.</w:t>
      </w:r>
      <w:bookmarkEnd w:id="216"/>
    </w:p>
    <w:p w14:paraId="4D9509FC" w14:textId="1C32BB6D" w:rsidR="005433B2" w:rsidRDefault="006A5A76" w:rsidP="00974DED">
      <w:pPr>
        <w:pStyle w:val="KPIPullOutTW"/>
      </w:pPr>
      <w:r>
        <w:t>Gas</w:t>
      </w:r>
      <w:r w:rsidR="00552745">
        <w:t xml:space="preserve"> and </w:t>
      </w:r>
      <w:r w:rsidR="00CD70FE">
        <w:t>e</w:t>
      </w:r>
      <w:r>
        <w:t>lectricity</w:t>
      </w:r>
      <w:r w:rsidR="00CD70FE">
        <w:t xml:space="preserve"> </w:t>
      </w:r>
      <w:r>
        <w:t xml:space="preserve">consumption </w:t>
      </w:r>
      <w:r w:rsidR="00552745">
        <w:t>down on both PYTD and rolling 12 months</w:t>
      </w:r>
    </w:p>
    <w:p w14:paraId="72CF6E89" w14:textId="2E1BBFCD" w:rsidR="0038510A" w:rsidRPr="001A7247" w:rsidRDefault="00552745" w:rsidP="0029294B">
      <w:pPr>
        <w:rPr>
          <w:color w:val="C74D00"/>
        </w:rPr>
      </w:pPr>
      <w:r w:rsidRPr="00552745">
        <w:rPr>
          <w:noProof/>
        </w:rPr>
        <w:drawing>
          <wp:inline distT="0" distB="0" distL="0" distR="0" wp14:anchorId="4A2E3873" wp14:editId="238A29AE">
            <wp:extent cx="6188710" cy="1517015"/>
            <wp:effectExtent l="0" t="0" r="2540" b="6985"/>
            <wp:docPr id="1793880470" name="Picture 1" descr="Consumption Data&#10;The first row of this table shows Gas consumption (kWh) of 17,715,651 YTD compared to 19,230,311 PYTD (down 17.9% on PYTD); and Gas consumption (kWh) of 67,311,324 in the rolling 12 months period compared to 71,709,007 in the previous rolling 12 months (down 6.1% on previous period).&#10;The second row of this table shows Electricity consumption (kWh) of 18,563,698 YTD compared to 18,899,949 PYTD (down 1.8% on PYTD); and Electricity consumption (kWh) of 48,395,177 in the rolling 12 months period compared to 50,880,813 in the previous rolling 12 months (down 4.9% on previous period).&#10;The third row of this table shows Water consumption (m3) of 116,581 YTD compared to 107,886 PYTD (up 8.1% on PYTD); and Water consumption (m3) of 277,833 in the rolling 12 months period compared to 273,780 in the previous rolling 12 months (up 1.5%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0470" name="Picture 1" descr="Consumption Data&#10;The first row of this table shows Gas consumption (kWh) of 17,715,651 YTD compared to 19,230,311 PYTD (down 17.9% on PYTD); and Gas consumption (kWh) of 67,311,324 in the rolling 12 months period compared to 71,709,007 in the previous rolling 12 months (down 6.1% on previous period).&#10;The second row of this table shows Electricity consumption (kWh) of 18,563,698 YTD compared to 18,899,949 PYTD (down 1.8% on PYTD); and Electricity consumption (kWh) of 48,395,177 in the rolling 12 months period compared to 50,880,813 in the previous rolling 12 months (down 4.9% on previous period).&#10;The third row of this table shows Water consumption (m3) of 116,581 YTD compared to 107,886 PYTD (up 8.1% on PYTD); and Water consumption (m3) of 277,833 in the rolling 12 months period compared to 273,780 in the previous rolling 12 months (up 1.5% on previous period).&#10;"/>
                    <pic:cNvPicPr/>
                  </pic:nvPicPr>
                  <pic:blipFill>
                    <a:blip r:embed="rId83"/>
                    <a:stretch>
                      <a:fillRect/>
                    </a:stretch>
                  </pic:blipFill>
                  <pic:spPr>
                    <a:xfrm>
                      <a:off x="0" y="0"/>
                      <a:ext cx="6188710" cy="1517015"/>
                    </a:xfrm>
                    <a:prstGeom prst="rect">
                      <a:avLst/>
                    </a:prstGeom>
                  </pic:spPr>
                </pic:pic>
              </a:graphicData>
            </a:graphic>
          </wp:inline>
        </w:drawing>
      </w:r>
    </w:p>
    <w:p w14:paraId="11CE2A3A" w14:textId="499FB4AC" w:rsidR="002B3029" w:rsidRDefault="002B3029" w:rsidP="002B3029">
      <w:pPr>
        <w:rPr>
          <w:noProof/>
        </w:rPr>
      </w:pPr>
      <w:bookmarkStart w:id="217" w:name="_Hlk213337547"/>
      <w:bookmarkStart w:id="218" w:name="_Hlk205902062"/>
      <w:r>
        <w:rPr>
          <w:noProof/>
        </w:rPr>
        <w:t>Gas consumption continues to show a reduction during the YTD and rolling 12 months in comparison to the same periods in the previous year. This is likely due to the warm spring and summer experienced this year</w:t>
      </w:r>
      <w:bookmarkEnd w:id="217"/>
      <w:r>
        <w:rPr>
          <w:noProof/>
        </w:rPr>
        <w:t>. We expect a reduction in percentage change as we move into the heating season during the remainder of the financial year.</w:t>
      </w:r>
    </w:p>
    <w:p w14:paraId="2D36AF17" w14:textId="0D0FED6F" w:rsidR="002B3029" w:rsidRDefault="002B3029" w:rsidP="002B3029">
      <w:pPr>
        <w:rPr>
          <w:noProof/>
        </w:rPr>
      </w:pPr>
      <w:bookmarkStart w:id="219" w:name="_Hlk213337561"/>
      <w:r>
        <w:rPr>
          <w:noProof/>
        </w:rPr>
        <w:t>As with gas, we continue to see a reduction in electricity consumption compared to both periods. As previously stated, this is likely due to continual implementation of energy efficiency measures and building disposal</w:t>
      </w:r>
      <w:bookmarkEnd w:id="219"/>
      <w:r>
        <w:rPr>
          <w:noProof/>
        </w:rPr>
        <w:t>. We also recognise that a portion of electricity savings in buildings has been offset by increased consumption due to EV operation.</w:t>
      </w:r>
    </w:p>
    <w:p w14:paraId="25E7CBCA" w14:textId="2E770D34" w:rsidR="002B3029" w:rsidRDefault="002B3029" w:rsidP="002B3029">
      <w:pPr>
        <w:rPr>
          <w:noProof/>
        </w:rPr>
      </w:pPr>
      <w:bookmarkStart w:id="220" w:name="_Hlk213337580"/>
      <w:r>
        <w:rPr>
          <w:noProof/>
        </w:rPr>
        <w:t xml:space="preserve">We continue to see an increase in water consumption in comparison with the same period last year, and in comparison with the </w:t>
      </w:r>
      <w:r w:rsidR="007E4FD7">
        <w:rPr>
          <w:noProof/>
        </w:rPr>
        <w:t xml:space="preserve">rolling </w:t>
      </w:r>
      <w:r>
        <w:rPr>
          <w:noProof/>
        </w:rPr>
        <w:t>12 month</w:t>
      </w:r>
      <w:r w:rsidR="007E4FD7">
        <w:rPr>
          <w:noProof/>
        </w:rPr>
        <w:t xml:space="preserve"> </w:t>
      </w:r>
      <w:r>
        <w:rPr>
          <w:noProof/>
        </w:rPr>
        <w:t>periods for 2024 and 2025. This is possibly due to an increase in high baseline consumption at various sites across the estate because of issues with supply infrastructure</w:t>
      </w:r>
      <w:bookmarkEnd w:id="220"/>
      <w:r>
        <w:rPr>
          <w:noProof/>
        </w:rPr>
        <w:t>. This is being addressed by Estates FM.</w:t>
      </w:r>
    </w:p>
    <w:p w14:paraId="4881D455" w14:textId="6EE08978" w:rsidR="002B3029" w:rsidRDefault="002B3029" w:rsidP="002B3029">
      <w:pPr>
        <w:rPr>
          <w:noProof/>
        </w:rPr>
      </w:pPr>
      <w:r>
        <w:rPr>
          <w:noProof/>
        </w:rPr>
        <w:lastRenderedPageBreak/>
        <w:t>We have finalised our Public Bodies Duties Climate Change Report for 2024/25. This has now gone through full governance process, and we await final signatures before submitting to Scottish Government.</w:t>
      </w:r>
    </w:p>
    <w:p w14:paraId="37BB9373" w14:textId="3706B1F6" w:rsidR="002B3029" w:rsidRDefault="002B3029" w:rsidP="002B3029">
      <w:pPr>
        <w:rPr>
          <w:noProof/>
        </w:rPr>
      </w:pPr>
      <w:r>
        <w:rPr>
          <w:noProof/>
        </w:rPr>
        <w:t>We are making progress with our Sustainability Strategy and Waste Plan documents and anticipate that these are on track to be on time next year.</w:t>
      </w:r>
    </w:p>
    <w:p w14:paraId="3EF565D6" w14:textId="29F57BEB" w:rsidR="00185340" w:rsidRDefault="002B3029" w:rsidP="002B3029">
      <w:r>
        <w:rPr>
          <w:noProof/>
        </w:rPr>
        <w:t>We await the final outcome of our internal audit later this month and are in discussion with BDO regarding observations and recommendations.</w:t>
      </w:r>
    </w:p>
    <w:bookmarkEnd w:id="218"/>
    <w:p w14:paraId="1FC6ACEA" w14:textId="25A1F158" w:rsidR="00663C10" w:rsidRPr="001A7247" w:rsidRDefault="00663C10" w:rsidP="008A609B">
      <w:pPr>
        <w:pStyle w:val="KPIHeading3TW"/>
      </w:pPr>
      <w:r w:rsidRPr="001A7247">
        <w:t xml:space="preserve">KPI: </w:t>
      </w:r>
      <w:r w:rsidR="005433B2" w:rsidRPr="001A7247">
        <w:t xml:space="preserve">Our Culture: </w:t>
      </w:r>
      <w:r w:rsidR="00013EA2">
        <w:t>Percentage</w:t>
      </w:r>
      <w:r w:rsidR="005433B2" w:rsidRPr="001A7247">
        <w:t xml:space="preserve"> of days undertaken on </w:t>
      </w:r>
      <w:r w:rsidR="00013EA2">
        <w:t>training priorities</w:t>
      </w:r>
    </w:p>
    <w:p w14:paraId="23E44E33" w14:textId="171C3422" w:rsidR="00663C10" w:rsidRDefault="005433B2" w:rsidP="00974DED">
      <w:pPr>
        <w:pStyle w:val="Heading4"/>
      </w:pPr>
      <w:bookmarkStart w:id="221" w:name="_Hlk205902231"/>
      <w:r w:rsidRPr="001A7247">
        <w:t>Learning, Training and Development</w:t>
      </w:r>
    </w:p>
    <w:bookmarkEnd w:id="221"/>
    <w:p w14:paraId="394C9F49" w14:textId="2C67DD83" w:rsidR="00053D83" w:rsidRDefault="002B3029" w:rsidP="00053D83">
      <w:r w:rsidRPr="002B3029">
        <w:rPr>
          <w:noProof/>
        </w:rPr>
        <w:drawing>
          <wp:inline distT="0" distB="0" distL="0" distR="0" wp14:anchorId="118AE383" wp14:editId="2E0048E3">
            <wp:extent cx="6188710" cy="1276350"/>
            <wp:effectExtent l="0" t="0" r="2540" b="0"/>
            <wp:docPr id="530945685" name="Picture 1" descr="Learning, Training and Development Data&#10;The first row of this table shows 38.4% of days were undertaken on training priorities as essential for all officers/staff (not role-specific) YTD and 31.9% of day were undertaken in the rolling 12 months period.&#10;The second row shows 7.6% of training days were lost YTD and 2.5% were lost in rolling 12 months period.&#10;Previous YTD not available to make comparis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5685" name="Picture 1" descr="Learning, Training and Development Data&#10;The first row of this table shows 38.4% of days were undertaken on training priorities as essential for all officers/staff (not role-specific) YTD and 31.9% of day were undertaken in the rolling 12 months period.&#10;The second row shows 7.6% of training days were lost YTD and 2.5% were lost in rolling 12 months period.&#10;Previous YTD not available to make comparisons.&#10;"/>
                    <pic:cNvPicPr/>
                  </pic:nvPicPr>
                  <pic:blipFill>
                    <a:blip r:embed="rId84"/>
                    <a:stretch>
                      <a:fillRect/>
                    </a:stretch>
                  </pic:blipFill>
                  <pic:spPr>
                    <a:xfrm>
                      <a:off x="0" y="0"/>
                      <a:ext cx="6188710" cy="1276350"/>
                    </a:xfrm>
                    <a:prstGeom prst="rect">
                      <a:avLst/>
                    </a:prstGeom>
                  </pic:spPr>
                </pic:pic>
              </a:graphicData>
            </a:graphic>
          </wp:inline>
        </w:drawing>
      </w:r>
    </w:p>
    <w:p w14:paraId="1131AC96" w14:textId="15D90EB0" w:rsidR="00573550" w:rsidRDefault="00646213" w:rsidP="00646213">
      <w:bookmarkStart w:id="222" w:name="_Hlk213337646"/>
      <w:r w:rsidRPr="00646213">
        <w:t>38.4% of time was spent on training identified as priority. This is higher than the rolling 12 month average of 31.9%</w:t>
      </w:r>
      <w:r w:rsidR="007E4FD7">
        <w:t>.</w:t>
      </w:r>
      <w:r w:rsidRPr="00646213">
        <w:t xml:space="preserve"> The actual time spent on priority training is similar to Q</w:t>
      </w:r>
      <w:r w:rsidR="00174C75">
        <w:t xml:space="preserve">uarter </w:t>
      </w:r>
      <w:r w:rsidRPr="00646213">
        <w:t>1</w:t>
      </w:r>
      <w:r>
        <w:t xml:space="preserve"> however</w:t>
      </w:r>
      <w:r w:rsidR="00013EA2">
        <w:t xml:space="preserve"> as</w:t>
      </w:r>
      <w:r w:rsidRPr="00646213">
        <w:t xml:space="preserve"> there </w:t>
      </w:r>
      <w:r>
        <w:t>were much fewer training days overall</w:t>
      </w:r>
      <w:r w:rsidR="00013EA2">
        <w:t>. The fewer training days overall and increase in training days lost was impacted by Operation ROLL (Visit of the President of the USA) and Operation OCLATE (Visit of the Vice President of the USA).</w:t>
      </w:r>
    </w:p>
    <w:bookmarkEnd w:id="222"/>
    <w:p w14:paraId="7DC7385F" w14:textId="55F3AC1B" w:rsidR="00663C10" w:rsidRPr="001A7247" w:rsidRDefault="00663C10" w:rsidP="008A609B">
      <w:pPr>
        <w:pStyle w:val="KPIHeading3TW"/>
      </w:pPr>
      <w:r w:rsidRPr="001A7247">
        <w:t xml:space="preserve">KPI: </w:t>
      </w:r>
      <w:bookmarkStart w:id="223" w:name="_Hlk205902290"/>
      <w:r w:rsidR="005433B2" w:rsidRPr="001A7247">
        <w:t>Workforce Survey: Our organisation creates a safe environment and support systems for colleagues to raise concerns</w:t>
      </w:r>
      <w:bookmarkEnd w:id="223"/>
    </w:p>
    <w:p w14:paraId="65AA974A" w14:textId="79D2678B" w:rsidR="00573550" w:rsidRDefault="00573550" w:rsidP="00573550">
      <w:pPr>
        <w:pStyle w:val="Heading4"/>
      </w:pPr>
      <w:bookmarkStart w:id="224" w:name="_Hlk205902395"/>
      <w:bookmarkStart w:id="225" w:name="_Hlk205902859"/>
      <w:r w:rsidRPr="001A7247">
        <w:t xml:space="preserve">Complaints </w:t>
      </w:r>
      <w:r w:rsidR="00056D8D">
        <w:t>and Allegations</w:t>
      </w:r>
    </w:p>
    <w:bookmarkEnd w:id="224"/>
    <w:p w14:paraId="5C7ADA2E" w14:textId="77777777" w:rsidR="00573550" w:rsidRDefault="00573550" w:rsidP="00573550">
      <w:pPr>
        <w:pStyle w:val="KPIPullOutTW"/>
      </w:pPr>
      <w:r>
        <w:t xml:space="preserve">Complaints &amp; Allegations both down on PYTD and Rolling 12 months </w:t>
      </w:r>
    </w:p>
    <w:p w14:paraId="701110EB" w14:textId="77777777" w:rsidR="00573550" w:rsidRDefault="00573550" w:rsidP="00573550">
      <w:r w:rsidRPr="00DE0B6F">
        <w:rPr>
          <w:noProof/>
        </w:rPr>
        <w:drawing>
          <wp:inline distT="0" distB="0" distL="0" distR="0" wp14:anchorId="7ED25DAC" wp14:editId="67608438">
            <wp:extent cx="6188710" cy="1169035"/>
            <wp:effectExtent l="0" t="0" r="2540" b="0"/>
            <wp:docPr id="1266151893" name="Picture 1" descr="Complaints &amp; Allegations Data&#10;The first row of this table shows 2,806 complaints YTD compared to 3,814 PYTD (down 26.4% on PYTD); and 5,794 complaints in the rolling 12 months period compared to 7,254 in the previous rolling 12 months (down 20.1% on previous period).&#10;The second row shows 5,108 allegations YTD compared to 6,728 PYTD (down 24.1% on PYTD); and 10,360 allegations in the rolling 12 months period compared to 12,806 in the previous rolling 12 months (down 19.1% on previou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51893" name="Picture 1" descr="Complaints &amp; Allegations Data&#10;The first row of this table shows 2,806 complaints YTD compared to 3,814 PYTD (down 26.4% on PYTD); and 5,794 complaints in the rolling 12 months period compared to 7,254 in the previous rolling 12 months (down 20.1% on previous period).&#10;The second row shows 5,108 allegations YTD compared to 6,728 PYTD (down 24.1% on PYTD); and 10,360 allegations in the rolling 12 months period compared to 12,806 in the previous rolling 12 months (down 19.1% on previous period).&#10;"/>
                    <pic:cNvPicPr/>
                  </pic:nvPicPr>
                  <pic:blipFill>
                    <a:blip r:embed="rId85"/>
                    <a:stretch>
                      <a:fillRect/>
                    </a:stretch>
                  </pic:blipFill>
                  <pic:spPr>
                    <a:xfrm>
                      <a:off x="0" y="0"/>
                      <a:ext cx="6188710" cy="1169035"/>
                    </a:xfrm>
                    <a:prstGeom prst="rect">
                      <a:avLst/>
                    </a:prstGeom>
                  </pic:spPr>
                </pic:pic>
              </a:graphicData>
            </a:graphic>
          </wp:inline>
        </w:drawing>
      </w:r>
    </w:p>
    <w:p w14:paraId="59C2EB06" w14:textId="77777777" w:rsidR="00573550" w:rsidRDefault="00573550" w:rsidP="00573550">
      <w:r>
        <w:t>The total number of complaints from members of the public, at the end of Quarter 2 2025/26, are down 26.4% (1,008 fewer complaints) on the same period last year and down 20.1% (1,460 fewer complaints) against the rolling 12 months.</w:t>
      </w:r>
    </w:p>
    <w:p w14:paraId="25BF3580" w14:textId="77777777" w:rsidR="00573550" w:rsidRDefault="00573550" w:rsidP="00573550">
      <w:r>
        <w:t>The total number of allegations from members of the public are down 24.1% (1,620 fewer allegations) on the same period last year and down 19.1% (2,446 fewer allegations) against the rolling 12 months.</w:t>
      </w:r>
    </w:p>
    <w:p w14:paraId="33742DB1" w14:textId="47EA9DDC" w:rsidR="00573550" w:rsidRDefault="00573550" w:rsidP="00573550">
      <w:pPr>
        <w:pStyle w:val="KPIPullOutTW"/>
      </w:pPr>
      <w:r>
        <w:lastRenderedPageBreak/>
        <w:t>3.2% point increase in complaints handled within statutory timescales and 6.6%</w:t>
      </w:r>
      <w:r w:rsidR="007E4FD7">
        <w:t xml:space="preserve"> point</w:t>
      </w:r>
      <w:r>
        <w:t xml:space="preserve"> increase in complaints concluded at front line resolution</w:t>
      </w:r>
    </w:p>
    <w:p w14:paraId="0B09B001" w14:textId="77777777" w:rsidR="00573550" w:rsidRDefault="00573550" w:rsidP="00573550">
      <w:r w:rsidRPr="00DE0B6F">
        <w:rPr>
          <w:noProof/>
        </w:rPr>
        <w:drawing>
          <wp:inline distT="0" distB="0" distL="0" distR="0" wp14:anchorId="7CBD588B" wp14:editId="06FAC489">
            <wp:extent cx="6188710" cy="1497965"/>
            <wp:effectExtent l="0" t="0" r="2540" b="6985"/>
            <wp:docPr id="1770962217" name="Picture 1" descr="Complaints &amp; Allegations Handling Data&#10;The first row of this table shows 12.7% of complaints were handled within statutory timescales YTD compared to 9.5% PYTD (up 3.2% points on PYTD).&#10;The second row shows 55.2% of complaints were concluded at front line resolution YTD compared to 48.6% PYTD (up 6.6% points on PYTD).&#10;The third row shows 15.5% of closed allegations were upheld YTD compared to 16.6% PYTD (down 1.1%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62217" name="Picture 1" descr="Complaints &amp; Allegations Handling Data&#10;The first row of this table shows 12.7% of complaints were handled within statutory timescales YTD compared to 9.5% PYTD (up 3.2% points on PYTD).&#10;The second row shows 55.2% of complaints were concluded at front line resolution YTD compared to 48.6% PYTD (up 6.6% points on PYTD).&#10;The third row shows 15.5% of closed allegations were upheld YTD compared to 16.6% PYTD (down 1.1% points on PYTD).&#10;"/>
                    <pic:cNvPicPr/>
                  </pic:nvPicPr>
                  <pic:blipFill>
                    <a:blip r:embed="rId86"/>
                    <a:stretch>
                      <a:fillRect/>
                    </a:stretch>
                  </pic:blipFill>
                  <pic:spPr>
                    <a:xfrm>
                      <a:off x="0" y="0"/>
                      <a:ext cx="6188710" cy="1497965"/>
                    </a:xfrm>
                    <a:prstGeom prst="rect">
                      <a:avLst/>
                    </a:prstGeom>
                  </pic:spPr>
                </pic:pic>
              </a:graphicData>
            </a:graphic>
          </wp:inline>
        </w:drawing>
      </w:r>
    </w:p>
    <w:p w14:paraId="0DB1BB88" w14:textId="77777777" w:rsidR="00573550" w:rsidRDefault="00573550" w:rsidP="00573550">
      <w:bookmarkStart w:id="226" w:name="_Hlk205902517"/>
      <w:r>
        <w:t>There were 300 non-criminal (not FLR) complaints closed, with 12.7% closed within the 56 day statutory timescale. This is 3.2 percentage points up on the same period in 2024/25.</w:t>
      </w:r>
    </w:p>
    <w:p w14:paraId="7674077A" w14:textId="77777777" w:rsidR="00573550" w:rsidRDefault="00573550" w:rsidP="00573550">
      <w:r>
        <w:t>A total of 1,548 complaints (55.2%) were frontline resolved (FLR), compared with 48.6% in PYTD (up 6.6 percentage points). This includes early resolution and subsequent resolution by PSD/Specialist officers.</w:t>
      </w:r>
    </w:p>
    <w:p w14:paraId="5C4FC090" w14:textId="77777777" w:rsidR="00573550" w:rsidRDefault="00573550" w:rsidP="00573550">
      <w:r>
        <w:t>In total, 1,499 allegations were attached to completed complaint investigations (criminal and non-criminal) with 15.5% upheld (down 1.1 percentage points on PYTD).</w:t>
      </w:r>
    </w:p>
    <w:bookmarkEnd w:id="226"/>
    <w:p w14:paraId="7A9B4E38" w14:textId="77777777" w:rsidR="00573550" w:rsidRDefault="00573550" w:rsidP="00573550">
      <w:pPr>
        <w:pStyle w:val="KPIPullOutTW"/>
      </w:pPr>
      <w:r>
        <w:t>10.2% reduction in number of allegations considered by PIRC</w:t>
      </w:r>
    </w:p>
    <w:p w14:paraId="3314A87D" w14:textId="77777777" w:rsidR="00573550" w:rsidRDefault="00573550" w:rsidP="00573550">
      <w:r w:rsidRPr="00DE0B6F">
        <w:rPr>
          <w:noProof/>
        </w:rPr>
        <w:drawing>
          <wp:inline distT="0" distB="0" distL="0" distR="0" wp14:anchorId="5D526EF2" wp14:editId="3E771614">
            <wp:extent cx="6188710" cy="1511935"/>
            <wp:effectExtent l="0" t="0" r="2540" b="0"/>
            <wp:docPr id="105789583" name="Picture 1" descr="Police Investigations and Review Commissioner (PIRC) Data&#10;The first row of this table shows 70 PIRC Complaint Handling Reviews (CHRs) YTD compared to 65 PYTD (up 7.7% on PYTD).&#10;The second row shows 230 allegations considered by PIRC (CHRs) YTD compared to 256 PYTD (down 10.2% on PYTD).&#10;The third row shows 47.0% of allegations were assessed as handled to a reasonable standard YTD compared to 65.2% PYTD (down 18.2% points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583" name="Picture 1" descr="Police Investigations and Review Commissioner (PIRC) Data&#10;The first row of this table shows 70 PIRC Complaint Handling Reviews (CHRs) YTD compared to 65 PYTD (up 7.7% on PYTD).&#10;The second row shows 230 allegations considered by PIRC (CHRs) YTD compared to 256 PYTD (down 10.2% on PYTD).&#10;The third row shows 47.0% of allegations were assessed as handled to a reasonable standard YTD compared to 65.2% PYTD (down 18.2% points on PYTD).&#10;"/>
                    <pic:cNvPicPr/>
                  </pic:nvPicPr>
                  <pic:blipFill>
                    <a:blip r:embed="rId87"/>
                    <a:stretch>
                      <a:fillRect/>
                    </a:stretch>
                  </pic:blipFill>
                  <pic:spPr>
                    <a:xfrm>
                      <a:off x="0" y="0"/>
                      <a:ext cx="6188710" cy="1511935"/>
                    </a:xfrm>
                    <a:prstGeom prst="rect">
                      <a:avLst/>
                    </a:prstGeom>
                  </pic:spPr>
                </pic:pic>
              </a:graphicData>
            </a:graphic>
          </wp:inline>
        </w:drawing>
      </w:r>
    </w:p>
    <w:p w14:paraId="3A909DD9" w14:textId="77777777" w:rsidR="00573550" w:rsidRDefault="00573550" w:rsidP="00573550">
      <w:bookmarkStart w:id="227" w:name="_Hlk205902584"/>
      <w:r>
        <w:t xml:space="preserve">The </w:t>
      </w:r>
      <w:r w:rsidRPr="002B6C72">
        <w:t xml:space="preserve">Police Investigations and Review Commissioner (PIRC) have submitted </w:t>
      </w:r>
      <w:r>
        <w:t>70</w:t>
      </w:r>
      <w:r w:rsidRPr="002B6C72">
        <w:t xml:space="preserve"> Complaint Handling Reviews (CHRs) to Police Scotland for consideration during this period</w:t>
      </w:r>
      <w:r>
        <w:t xml:space="preserve"> (up 7.7% from PYTD)</w:t>
      </w:r>
      <w:r w:rsidRPr="002B6C72">
        <w:t>. This notionally equates to 2.</w:t>
      </w:r>
      <w:r>
        <w:t>5</w:t>
      </w:r>
      <w:r w:rsidRPr="002B6C72">
        <w:t>% of all complaints</w:t>
      </w:r>
      <w:r>
        <w:t>, however some of these complaints may have been received prior to the YTD reporting period.</w:t>
      </w:r>
    </w:p>
    <w:p w14:paraId="590470E3" w14:textId="77777777" w:rsidR="00573550" w:rsidRDefault="00573550" w:rsidP="00573550">
      <w:r>
        <w:t xml:space="preserve">Overall, 230 </w:t>
      </w:r>
      <w:r w:rsidRPr="002B6C72">
        <w:t>allegations were considered</w:t>
      </w:r>
      <w:r>
        <w:t xml:space="preserve"> (down 10.2% from PYTD), from the 70 CHRs received from PIRC. 10</w:t>
      </w:r>
      <w:r w:rsidRPr="002B6C72">
        <w:t>8 (</w:t>
      </w:r>
      <w:r>
        <w:t>47.0</w:t>
      </w:r>
      <w:r w:rsidRPr="002B6C72">
        <w:t>%)</w:t>
      </w:r>
      <w:r>
        <w:t xml:space="preserve"> were </w:t>
      </w:r>
      <w:r w:rsidRPr="002B6C72">
        <w:t>assessed to have been handled to a reasonable standard</w:t>
      </w:r>
      <w:r>
        <w:t xml:space="preserve"> (</w:t>
      </w:r>
      <w:r w:rsidRPr="002B6C72">
        <w:t>a</w:t>
      </w:r>
      <w:r>
        <w:t xml:space="preserve">n 18.3 percentage point </w:t>
      </w:r>
      <w:r w:rsidRPr="002B6C72">
        <w:t xml:space="preserve">decrease from the same period </w:t>
      </w:r>
      <w:r>
        <w:t xml:space="preserve">in </w:t>
      </w:r>
      <w:r w:rsidRPr="002B6C72">
        <w:t xml:space="preserve">2024/25. These CHRs included </w:t>
      </w:r>
      <w:r>
        <w:t>112</w:t>
      </w:r>
      <w:r w:rsidRPr="002B6C72">
        <w:t xml:space="preserve"> recommendations</w:t>
      </w:r>
      <w:r>
        <w:t>.</w:t>
      </w:r>
    </w:p>
    <w:bookmarkEnd w:id="227"/>
    <w:p w14:paraId="1A6B9340" w14:textId="77777777" w:rsidR="00573550" w:rsidRDefault="00573550" w:rsidP="00573550">
      <w:pPr>
        <w:pStyle w:val="KPIPullOutTW"/>
      </w:pPr>
      <w:r>
        <w:lastRenderedPageBreak/>
        <w:t xml:space="preserve">14.7% increase in Statutory PIRC Referrals </w:t>
      </w:r>
    </w:p>
    <w:p w14:paraId="2BFCCF79" w14:textId="46FDC4D6" w:rsidR="00573550" w:rsidRDefault="000729D4" w:rsidP="00573550">
      <w:r w:rsidRPr="000729D4">
        <w:rPr>
          <w:noProof/>
        </w:rPr>
        <w:drawing>
          <wp:inline distT="0" distB="0" distL="0" distR="0" wp14:anchorId="10751C83" wp14:editId="1C608E1A">
            <wp:extent cx="6192000" cy="3636575"/>
            <wp:effectExtent l="0" t="0" r="0" b="2540"/>
            <wp:docPr id="911528407" name="Picture 1" descr="Statutory PIRC Referral Reasons Data&#10;The first row of this table shows 72 Armed Policing PIRC referrals YTD compared to 53 PYTD (up 35.8% on PYTD).&#10;The second row shows 6 crown directed criminality PIRC referrals YTD compared to 5 PYTD (up 20.0% on PYTD).&#10;The third row shows 9 death following police contact PIRC referrals YTD compared to 3 PYTD (up 200.0% on PYTD).&#10;The fourth row shows 2 death in police custody PIRC referrals YTD compared to 1 PYTD (up 100.0% on PYTD).&#10;The fifth row shows zero other serious incident PIRC referrals in both YTD and PYTD (no change from PYTD).&#10;The sixth row shows 37 serious injury following police contact PIRC referrals YTD compared to 24 PYTD (up 54.2% on PYTD).&#10;The seventh row shows 19 serious injury in police custody PIRC referrals YTD compared to 36 PYTD (down 47.2% on PYTD).&#10;The eighth row shows 42 STO Taser PIRC referrals YTD compared to 41 PYTD (up 2.4% on PYTD).&#10;The ninth row shows 187 total PIRC referrals YTD compared to 163 PYTD (up 14.7%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8407" name="Picture 1" descr="Statutory PIRC Referral Reasons Data&#10;The first row of this table shows 72 Armed Policing PIRC referrals YTD compared to 53 PYTD (up 35.8% on PYTD).&#10;The second row shows 6 crown directed criminality PIRC referrals YTD compared to 5 PYTD (up 20.0% on PYTD).&#10;The third row shows 9 death following police contact PIRC referrals YTD compared to 3 PYTD (up 200.0% on PYTD).&#10;The fourth row shows 2 death in police custody PIRC referrals YTD compared to 1 PYTD (up 100.0% on PYTD).&#10;The fifth row shows zero other serious incident PIRC referrals in both YTD and PYTD (no change from PYTD).&#10;The sixth row shows 37 serious injury following police contact PIRC referrals YTD compared to 24 PYTD (up 54.2% on PYTD).&#10;The seventh row shows 19 serious injury in police custody PIRC referrals YTD compared to 36 PYTD (down 47.2% on PYTD).&#10;The eighth row shows 42 STO Taser PIRC referrals YTD compared to 41 PYTD (up 2.4% on PYTD).&#10;The ninth row shows 187 total PIRC referrals YTD compared to 163 PYTD (up 14.7% on PYTD).&#10;"/>
                    <pic:cNvPicPr/>
                  </pic:nvPicPr>
                  <pic:blipFill>
                    <a:blip r:embed="rId88"/>
                    <a:stretch>
                      <a:fillRect/>
                    </a:stretch>
                  </pic:blipFill>
                  <pic:spPr>
                    <a:xfrm>
                      <a:off x="0" y="0"/>
                      <a:ext cx="6192000" cy="3636575"/>
                    </a:xfrm>
                    <a:prstGeom prst="rect">
                      <a:avLst/>
                    </a:prstGeom>
                  </pic:spPr>
                </pic:pic>
              </a:graphicData>
            </a:graphic>
          </wp:inline>
        </w:drawing>
      </w:r>
    </w:p>
    <w:p w14:paraId="72B2423F" w14:textId="77777777" w:rsidR="00BD214C" w:rsidRDefault="00573550" w:rsidP="00573550">
      <w:bookmarkStart w:id="228" w:name="_Hlk205902743"/>
      <w:r>
        <w:t xml:space="preserve">Statutory </w:t>
      </w:r>
      <w:r w:rsidRPr="00D9128B">
        <w:t xml:space="preserve">referrals to the PIRC facilitate independent and transparent scrutiny in relation to serious incidents involving the police. Police Scotland made </w:t>
      </w:r>
      <w:r>
        <w:t>187</w:t>
      </w:r>
      <w:r w:rsidRPr="00D9128B">
        <w:t xml:space="preserve"> referrals to the PIRC.</w:t>
      </w:r>
    </w:p>
    <w:p w14:paraId="1CB02AE7" w14:textId="057B9FE8" w:rsidR="00573550" w:rsidRDefault="00573550" w:rsidP="00573550">
      <w:r w:rsidRPr="00D9128B">
        <w:t>Of those, 1</w:t>
      </w:r>
      <w:r>
        <w:t>8</w:t>
      </w:r>
      <w:r w:rsidRPr="00D9128B">
        <w:t xml:space="preserve"> resulted in an investigation (</w:t>
      </w:r>
      <w:r>
        <w:t>9.6</w:t>
      </w:r>
      <w:r w:rsidRPr="00D9128B">
        <w:t>%)</w:t>
      </w:r>
      <w:r>
        <w:t>. This is</w:t>
      </w:r>
      <w:r w:rsidRPr="00D9128B">
        <w:t xml:space="preserve"> a</w:t>
      </w:r>
      <w:r>
        <w:t>n in</w:t>
      </w:r>
      <w:r w:rsidRPr="00D9128B">
        <w:t xml:space="preserve">crease of </w:t>
      </w:r>
      <w:r>
        <w:t>1</w:t>
      </w:r>
      <w:r w:rsidRPr="00D9128B">
        <w:t>.0</w:t>
      </w:r>
      <w:r>
        <w:t xml:space="preserve"> percentage points</w:t>
      </w:r>
      <w:r w:rsidRPr="00D9128B">
        <w:t xml:space="preserve"> compared to the same period </w:t>
      </w:r>
      <w:r>
        <w:t xml:space="preserve">in </w:t>
      </w:r>
      <w:r w:rsidRPr="00D9128B">
        <w:t>2024/25.</w:t>
      </w:r>
    </w:p>
    <w:p w14:paraId="671ABF5F" w14:textId="0EB6CE7A" w:rsidR="00BD214C" w:rsidRDefault="00573550" w:rsidP="00573550">
      <w:r>
        <w:t xml:space="preserve">Allegations </w:t>
      </w:r>
      <w:r w:rsidRPr="00D9128B">
        <w:t>of On Duty Assault (breaches of Article 3 of the European Convention on Human Rights), plus any associated criminal allegations, are now referred to the PIRC.</w:t>
      </w:r>
      <w:r w:rsidR="007E4FD7">
        <w:t xml:space="preserve"> </w:t>
      </w:r>
      <w:r w:rsidRPr="00D9128B">
        <w:t xml:space="preserve">In total, </w:t>
      </w:r>
      <w:r>
        <w:t>108</w:t>
      </w:r>
      <w:r w:rsidRPr="00D9128B">
        <w:t xml:space="preserve"> of these referrals were made during this period</w:t>
      </w:r>
      <w:r>
        <w:t xml:space="preserve"> (down</w:t>
      </w:r>
      <w:r w:rsidRPr="00D9128B">
        <w:t xml:space="preserve"> </w:t>
      </w:r>
      <w:r>
        <w:t>49.1</w:t>
      </w:r>
      <w:r w:rsidRPr="00D9128B">
        <w:t>% from 2024/25</w:t>
      </w:r>
      <w:r>
        <w:t>)</w:t>
      </w:r>
      <w:r w:rsidRPr="00D9128B">
        <w:t xml:space="preserve">, </w:t>
      </w:r>
      <w:r>
        <w:t>with 75</w:t>
      </w:r>
      <w:r w:rsidRPr="00D9128B">
        <w:t xml:space="preserve"> subject to PIRC investigation (6</w:t>
      </w:r>
      <w:r>
        <w:t>9.4</w:t>
      </w:r>
      <w:r w:rsidRPr="00D9128B">
        <w:t>%).</w:t>
      </w:r>
      <w:bookmarkStart w:id="229" w:name="_Hlk213338190"/>
    </w:p>
    <w:p w14:paraId="2D6AA082" w14:textId="37482E08" w:rsidR="00573550" w:rsidRDefault="00573550" w:rsidP="00573550">
      <w:r>
        <w:t>As of 01 October 2025,</w:t>
      </w:r>
      <w:r w:rsidRPr="00D9128B">
        <w:t xml:space="preserve"> 1</w:t>
      </w:r>
      <w:r>
        <w:t>6</w:t>
      </w:r>
      <w:r w:rsidRPr="00D9128B">
        <w:t xml:space="preserve"> of these referrals are awaiting a decision from PIRC regarding possible investigation. The remaining </w:t>
      </w:r>
      <w:r>
        <w:t xml:space="preserve">17 </w:t>
      </w:r>
      <w:r w:rsidRPr="00D9128B">
        <w:t>cases have been marked as no investigation by PIRC</w:t>
      </w:r>
      <w:bookmarkEnd w:id="229"/>
      <w:r>
        <w:t>.</w:t>
      </w:r>
    </w:p>
    <w:bookmarkEnd w:id="228"/>
    <w:p w14:paraId="6E9C64BB" w14:textId="77777777" w:rsidR="00573550" w:rsidRDefault="00573550" w:rsidP="00573550">
      <w:pPr>
        <w:pStyle w:val="KPIPullOutTW"/>
      </w:pPr>
      <w:r>
        <w:t xml:space="preserve">Misconduct / Gross Misconduct Investigations unchanged from PYTD </w:t>
      </w:r>
    </w:p>
    <w:p w14:paraId="00D13B0B" w14:textId="77777777" w:rsidR="00573550" w:rsidRDefault="00573550" w:rsidP="00573550">
      <w:r w:rsidRPr="00DE0B6F">
        <w:rPr>
          <w:noProof/>
        </w:rPr>
        <w:drawing>
          <wp:inline distT="0" distB="0" distL="0" distR="0" wp14:anchorId="50401CA8" wp14:editId="46982AB4">
            <wp:extent cx="6188710" cy="1849755"/>
            <wp:effectExtent l="0" t="0" r="2540" b="0"/>
            <wp:docPr id="1620037860" name="Picture 1" descr="Preliminary Conduct Assessments Data&#10;The first row of this table shows 54 misconduct/gross misconduct investigations YTD compared to 54 PYTD (no change from PYTD).&#10;The second row shows 148 misconduct no investigations YTD compared to 127 PYTD (up 16.5% on PYTD).&#10;The third row shows 24 no misconduct YTD compared to 42 PYTD (down 42.9% on PYTD).&#10;The fourth row shows 226 total assessments YTD compared to 223 PYTD (up 1.3% on PY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37860" name="Picture 1" descr="Preliminary Conduct Assessments Data&#10;The first row of this table shows 54 misconduct/gross misconduct investigations YTD compared to 54 PYTD (no change from PYTD).&#10;The second row shows 148 misconduct no investigations YTD compared to 127 PYTD (up 16.5% on PYTD).&#10;The third row shows 24 no misconduct YTD compared to 42 PYTD (down 42.9% on PYTD).&#10;The fourth row shows 226 total assessments YTD compared to 223 PYTD (up 1.3% on PYTD).&#10;"/>
                    <pic:cNvPicPr/>
                  </pic:nvPicPr>
                  <pic:blipFill>
                    <a:blip r:embed="rId89"/>
                    <a:stretch>
                      <a:fillRect/>
                    </a:stretch>
                  </pic:blipFill>
                  <pic:spPr>
                    <a:xfrm>
                      <a:off x="0" y="0"/>
                      <a:ext cx="6188710" cy="1849755"/>
                    </a:xfrm>
                    <a:prstGeom prst="rect">
                      <a:avLst/>
                    </a:prstGeom>
                  </pic:spPr>
                </pic:pic>
              </a:graphicData>
            </a:graphic>
          </wp:inline>
        </w:drawing>
      </w:r>
    </w:p>
    <w:p w14:paraId="75D2D80E" w14:textId="77777777" w:rsidR="00573550" w:rsidRDefault="00573550" w:rsidP="00573550">
      <w:r w:rsidRPr="00D9128B">
        <w:lastRenderedPageBreak/>
        <w:t xml:space="preserve">There </w:t>
      </w:r>
      <w:r>
        <w:t>have been</w:t>
      </w:r>
      <w:r w:rsidRPr="00D9128B">
        <w:t xml:space="preserve"> </w:t>
      </w:r>
      <w:r>
        <w:t>226</w:t>
      </w:r>
      <w:r w:rsidRPr="00D9128B">
        <w:t xml:space="preserve"> preliminary conduct assessments undertaken YTD which is down </w:t>
      </w:r>
      <w:r>
        <w:t>1.3</w:t>
      </w:r>
      <w:r w:rsidRPr="00D9128B">
        <w:t>% (</w:t>
      </w:r>
      <w:r>
        <w:t xml:space="preserve">three </w:t>
      </w:r>
      <w:r w:rsidRPr="00D9128B">
        <w:t>fewer assessments) on the same period last year.</w:t>
      </w:r>
    </w:p>
    <w:p w14:paraId="47A3C271" w14:textId="34B780BB" w:rsidR="00ED5454" w:rsidRPr="00573550" w:rsidRDefault="00573550" w:rsidP="00573550">
      <w:r>
        <w:t>54</w:t>
      </w:r>
      <w:r w:rsidRPr="00D9128B">
        <w:t xml:space="preserve"> assessments have required a misconduct/gross misconduct investigation, this is </w:t>
      </w:r>
      <w:r>
        <w:t xml:space="preserve">unchanged </w:t>
      </w:r>
      <w:r w:rsidRPr="00D9128B">
        <w:t xml:space="preserve">compared to </w:t>
      </w:r>
      <w:r>
        <w:t xml:space="preserve">the same period </w:t>
      </w:r>
      <w:r w:rsidRPr="00D9128B">
        <w:t>last year. The remaining assessments resulted in either misconduct – no investigation (</w:t>
      </w:r>
      <w:r>
        <w:t>148 assessments, up 16.5%</w:t>
      </w:r>
      <w:r w:rsidRPr="00D9128B">
        <w:t>) or no misconduct (</w:t>
      </w:r>
      <w:r>
        <w:t>24 assessments, down 42.9</w:t>
      </w:r>
      <w:r w:rsidRPr="00573550">
        <w:t>%)</w:t>
      </w:r>
      <w:r w:rsidR="00964B5E" w:rsidRPr="00573550">
        <w:t>.</w:t>
      </w:r>
    </w:p>
    <w:tbl>
      <w:tblPr>
        <w:tblpPr w:leftFromText="180" w:rightFromText="180" w:vertAnchor="text" w:horzAnchor="margin" w:tblpY="15"/>
        <w:tblW w:w="98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62"/>
      </w:tblGrid>
      <w:tr w:rsidR="00D9128B" w:rsidRPr="0003495F" w14:paraId="0DEDA8E6" w14:textId="77777777" w:rsidTr="001C1F2D">
        <w:trPr>
          <w:trHeight w:val="680"/>
          <w:tblHeader/>
        </w:trPr>
        <w:tc>
          <w:tcPr>
            <w:tcW w:w="9862" w:type="dxa"/>
            <w:shd w:val="clear" w:color="auto" w:fill="C74D00"/>
            <w:vAlign w:val="center"/>
            <w:hideMark/>
          </w:tcPr>
          <w:p w14:paraId="3056D31C" w14:textId="5239F114" w:rsidR="00D9128B" w:rsidRPr="00366718" w:rsidRDefault="00D9128B" w:rsidP="001C1F2D">
            <w:pPr>
              <w:pStyle w:val="CaseHeaderLeft"/>
              <w:rPr>
                <w:color w:val="FFFFFF" w:themeColor="background1"/>
              </w:rPr>
            </w:pPr>
            <w:bookmarkStart w:id="230" w:name="PP9PSDLearning"/>
            <w:bookmarkEnd w:id="225"/>
            <w:bookmarkEnd w:id="230"/>
            <w:r w:rsidRPr="00366718">
              <w:rPr>
                <w:color w:val="FFFFFF" w:themeColor="background1"/>
              </w:rPr>
              <w:t xml:space="preserve">Proactive/Preventative </w:t>
            </w:r>
            <w:r w:rsidR="00BF2EB6" w:rsidRPr="00366718">
              <w:rPr>
                <w:color w:val="FFFFFF" w:themeColor="background1"/>
              </w:rPr>
              <w:t>Policing</w:t>
            </w:r>
            <w:r w:rsidR="00BF2EB6">
              <w:rPr>
                <w:color w:val="FFFFFF" w:themeColor="background1"/>
              </w:rPr>
              <w:t xml:space="preserve"> </w:t>
            </w:r>
            <w:r w:rsidR="00F232A3" w:rsidRPr="00366718">
              <w:rPr>
                <w:color w:val="FFFFFF" w:themeColor="background1"/>
              </w:rPr>
              <w:t xml:space="preserve">– </w:t>
            </w:r>
            <w:r w:rsidR="00F232A3" w:rsidRPr="00F232A3">
              <w:rPr>
                <w:color w:val="FFFFFF" w:themeColor="background1"/>
              </w:rPr>
              <w:t>Professional</w:t>
            </w:r>
            <w:r w:rsidR="00CF0EB4" w:rsidRPr="00F232A3">
              <w:rPr>
                <w:color w:val="FFFFFF" w:themeColor="background1"/>
              </w:rPr>
              <w:t xml:space="preserve"> </w:t>
            </w:r>
            <w:r w:rsidRPr="00D9128B">
              <w:rPr>
                <w:color w:val="FFFFFF" w:themeColor="background1"/>
              </w:rPr>
              <w:t>S</w:t>
            </w:r>
            <w:r w:rsidR="00CF0EB4">
              <w:rPr>
                <w:color w:val="FFFFFF" w:themeColor="background1"/>
              </w:rPr>
              <w:t>tandards</w:t>
            </w:r>
            <w:r w:rsidRPr="00D9128B">
              <w:rPr>
                <w:color w:val="FFFFFF" w:themeColor="background1"/>
              </w:rPr>
              <w:t xml:space="preserve"> Disseminated Learning</w:t>
            </w:r>
          </w:p>
        </w:tc>
      </w:tr>
      <w:tr w:rsidR="00D9128B" w:rsidRPr="0003495F" w14:paraId="6F8A6E31" w14:textId="77777777" w:rsidTr="001C1F2D">
        <w:trPr>
          <w:trHeight w:val="680"/>
        </w:trPr>
        <w:tc>
          <w:tcPr>
            <w:tcW w:w="9862" w:type="dxa"/>
            <w:shd w:val="clear" w:color="auto" w:fill="FFF2CC" w:themeFill="accent4" w:themeFillTint="33"/>
            <w:vAlign w:val="center"/>
            <w:hideMark/>
          </w:tcPr>
          <w:p w14:paraId="287D0F87" w14:textId="77777777" w:rsidR="00573550" w:rsidRPr="00573550" w:rsidRDefault="00573550" w:rsidP="00573550">
            <w:pPr>
              <w:pStyle w:val="CaseBodyLeft"/>
              <w:rPr>
                <w:color w:val="000000" w:themeColor="text1"/>
              </w:rPr>
            </w:pPr>
            <w:r w:rsidRPr="00573550">
              <w:rPr>
                <w:color w:val="000000" w:themeColor="text1"/>
              </w:rPr>
              <w:t>In the last quarter, PSD has disseminated learning from a variety of incidents. The following learning outcomes were of particular note:</w:t>
            </w:r>
          </w:p>
          <w:p w14:paraId="60C97227" w14:textId="45C84F30" w:rsidR="00573550" w:rsidRPr="00573550" w:rsidRDefault="00573550" w:rsidP="000729D4">
            <w:pPr>
              <w:pStyle w:val="Bullets"/>
            </w:pPr>
            <w:r w:rsidRPr="00573550">
              <w:t xml:space="preserve">All </w:t>
            </w:r>
            <w:bookmarkStart w:id="231" w:name="_Hlk213338293"/>
            <w:r w:rsidRPr="00573550">
              <w:t>officers are reminded of the importance of completing all relevant persons checks when dealing with incidents or reports which potentially have a ‘domestic’ element, including checks of the UNIFI crime recording system</w:t>
            </w:r>
            <w:bookmarkEnd w:id="231"/>
            <w:r w:rsidRPr="00573550">
              <w:t>.</w:t>
            </w:r>
          </w:p>
          <w:p w14:paraId="4D7DD613" w14:textId="04B6E109" w:rsidR="00D13339" w:rsidRPr="00D13339" w:rsidRDefault="00573550" w:rsidP="000729D4">
            <w:pPr>
              <w:pStyle w:val="Bullets"/>
            </w:pPr>
            <w:r w:rsidRPr="00573550">
              <w:t xml:space="preserve">All </w:t>
            </w:r>
            <w:bookmarkStart w:id="232" w:name="_Hlk213338310"/>
            <w:r w:rsidRPr="00573550">
              <w:t>officers are reminded that; ‘Apprehension Warrants are to be executed as soon as practicable and without undue delay’, however where there are genuine concerns regarding the wanted persons health/wellbeing this should, in the first instance, be discussed with staff from Police Scotland’s Criminal Justice Services Division (CJSD), to ensure appropriate care can be provided while in police custody</w:t>
            </w:r>
            <w:bookmarkEnd w:id="232"/>
            <w:r w:rsidR="00D13339">
              <w:t>.</w:t>
            </w:r>
          </w:p>
        </w:tc>
      </w:tr>
    </w:tbl>
    <w:p w14:paraId="671CB5D8" w14:textId="77777777" w:rsidR="006F1806" w:rsidRDefault="006F1806">
      <w:pPr>
        <w:spacing w:before="0" w:after="160" w:line="259" w:lineRule="auto"/>
      </w:pPr>
      <w:r>
        <w:br w:type="page"/>
      </w:r>
    </w:p>
    <w:p w14:paraId="1202B809" w14:textId="0ECD2DCB" w:rsidR="001D65A2" w:rsidRPr="00162F8E" w:rsidRDefault="001D65A2" w:rsidP="001D65A2">
      <w:pPr>
        <w:pStyle w:val="Heading3"/>
      </w:pPr>
      <w:bookmarkStart w:id="233" w:name="_Toc215149612"/>
      <w:r w:rsidRPr="00162F8E">
        <w:lastRenderedPageBreak/>
        <w:t>Appendix</w:t>
      </w:r>
      <w:bookmarkEnd w:id="233"/>
    </w:p>
    <w:p w14:paraId="664888E5" w14:textId="377653FD" w:rsidR="004B203E" w:rsidRPr="00162F8E" w:rsidRDefault="004B203E" w:rsidP="004B203E">
      <w:r w:rsidRPr="00162F8E">
        <w:t>Crime and incident data is included within this repor</w:t>
      </w:r>
      <w:r w:rsidR="00162F8E" w:rsidRPr="00162F8E">
        <w:t xml:space="preserve">t, illustrating where possible, the Quarter </w:t>
      </w:r>
      <w:r w:rsidR="007C3051">
        <w:t>2 YTD</w:t>
      </w:r>
      <w:r w:rsidR="00162F8E" w:rsidRPr="00162F8E">
        <w:t xml:space="preserve"> comparison (April to </w:t>
      </w:r>
      <w:r w:rsidR="007C3051">
        <w:t>September</w:t>
      </w:r>
      <w:r w:rsidR="00162F8E" w:rsidRPr="00162F8E">
        <w:t>) and the rolling 12</w:t>
      </w:r>
      <w:r w:rsidR="00FE314D">
        <w:t xml:space="preserve"> </w:t>
      </w:r>
      <w:r w:rsidR="00162F8E" w:rsidRPr="00162F8E">
        <w:t>months comparison (</w:t>
      </w:r>
      <w:r w:rsidR="007C3051">
        <w:t>October</w:t>
      </w:r>
      <w:r w:rsidR="00162F8E" w:rsidRPr="00162F8E">
        <w:t xml:space="preserve"> to </w:t>
      </w:r>
      <w:r w:rsidR="007C3051">
        <w:t>September</w:t>
      </w:r>
      <w:r w:rsidR="00162F8E" w:rsidRPr="00162F8E">
        <w:t>) in the year-to-date vs previous year-to-date</w:t>
      </w:r>
      <w:r w:rsidRPr="00162F8E">
        <w:t>.</w:t>
      </w:r>
    </w:p>
    <w:p w14:paraId="623D4C95" w14:textId="36EBD824" w:rsidR="000A5FB7" w:rsidRDefault="004B203E" w:rsidP="008A609B">
      <w:r w:rsidRPr="00162F8E">
        <w:t xml:space="preserve">All data is classed as Management Information and is not considered official statistics. All data is sourced from Police Scotland internal systems. Disaggregated data is available in </w:t>
      </w:r>
      <w:hyperlink r:id="rId90" w:history="1">
        <w:r w:rsidRPr="00162F8E">
          <w:rPr>
            <w:rStyle w:val="Hyperlink"/>
            <w:color w:val="auto"/>
          </w:rPr>
          <w:t>Police Scotland Management Information publication</w:t>
        </w:r>
      </w:hyperlink>
      <w:r w:rsidRPr="00162F8E">
        <w:t>.</w:t>
      </w:r>
    </w:p>
    <w:p w14:paraId="0D2495FA" w14:textId="0F48476D" w:rsidR="008A609B" w:rsidRPr="008A609B" w:rsidRDefault="008A609B" w:rsidP="00974DED">
      <w:pPr>
        <w:pStyle w:val="Heading4"/>
      </w:pPr>
      <w:r>
        <w:t>Notes:</w:t>
      </w:r>
    </w:p>
    <w:p w14:paraId="0FF98C56" w14:textId="77777777" w:rsidR="00D413FE" w:rsidRPr="00D413FE" w:rsidRDefault="00D413FE" w:rsidP="00D413FE">
      <w:pPr>
        <w:pStyle w:val="Bullets"/>
      </w:pPr>
      <w:r w:rsidRPr="00D413FE">
        <w:rPr>
          <w:rStyle w:val="Strong"/>
        </w:rPr>
        <w:t>Homicide</w:t>
      </w:r>
      <w:r w:rsidRPr="00D413FE">
        <w:t xml:space="preserve"> crimes include the crime types murder and culpable homicide (common law).</w:t>
      </w:r>
    </w:p>
    <w:p w14:paraId="5CFAC4C6" w14:textId="5F990EDE" w:rsidR="000A5FB7" w:rsidRDefault="000A5FB7" w:rsidP="002D473E">
      <w:pPr>
        <w:pStyle w:val="Bullets"/>
      </w:pPr>
      <w:r w:rsidRPr="00C8096A">
        <w:t xml:space="preserve">Recent crimes of </w:t>
      </w:r>
      <w:r w:rsidRPr="00C8096A">
        <w:rPr>
          <w:rStyle w:val="Strong"/>
        </w:rPr>
        <w:t>Rape</w:t>
      </w:r>
      <w:r w:rsidRPr="00C8096A">
        <w:t xml:space="preserve"> are defined as being reported less than 365 days from the day committed. Non-Recent crimes of Rape are therefore any reported 366 days or more from the day the crime was committed.</w:t>
      </w:r>
    </w:p>
    <w:p w14:paraId="5FE74718" w14:textId="77AD686A" w:rsidR="001B4F9F" w:rsidRPr="00162F8E" w:rsidRDefault="00C8096A" w:rsidP="00162F8E">
      <w:pPr>
        <w:pStyle w:val="ListBullet"/>
      </w:pPr>
      <w:r>
        <w:rPr>
          <w:lang w:eastAsia="en-GB"/>
        </w:rPr>
        <w:t xml:space="preserve">Crimes of </w:t>
      </w:r>
      <w:r w:rsidRPr="00267C70">
        <w:rPr>
          <w:rStyle w:val="Strong"/>
        </w:rPr>
        <w:t>Violence against Women and Girls</w:t>
      </w:r>
      <w:r>
        <w:rPr>
          <w:lang w:eastAsia="en-GB"/>
        </w:rPr>
        <w:t xml:space="preserve"> refers to any female victim of a Group 1, Group 2, threatening and abusive behaviour crime or any other crime with a domestic element</w:t>
      </w:r>
      <w:r w:rsidRPr="00162F8E">
        <w:t>.</w:t>
      </w:r>
    </w:p>
    <w:p w14:paraId="139B6F07" w14:textId="4FED81F9" w:rsidR="00A7257C" w:rsidRDefault="00A7257C" w:rsidP="002D473E">
      <w:pPr>
        <w:pStyle w:val="Bullets"/>
      </w:pPr>
      <w:r w:rsidRPr="00CB0987">
        <w:rPr>
          <w:rStyle w:val="Strong"/>
        </w:rPr>
        <w:t>DASA of a female</w:t>
      </w:r>
      <w:r w:rsidRPr="00CB0987">
        <w:t xml:space="preserve"> and </w:t>
      </w:r>
      <w:r w:rsidRPr="00CB0987">
        <w:rPr>
          <w:rStyle w:val="Strong"/>
        </w:rPr>
        <w:t>DASA of a male</w:t>
      </w:r>
      <w:r w:rsidRPr="00CB0987">
        <w:t xml:space="preserve"> crimes refers to crimes under the Domestic Abuse (Scotland) Act 2018. These crimes are a small part of the overall Domestic Abuse crimes.</w:t>
      </w:r>
    </w:p>
    <w:p w14:paraId="278FA9F8" w14:textId="122BC1FD" w:rsidR="00BA104B" w:rsidRPr="00BA104B" w:rsidRDefault="00BA104B" w:rsidP="00BA104B">
      <w:pPr>
        <w:pStyle w:val="Bullets"/>
      </w:pPr>
      <w:r>
        <w:rPr>
          <w:b/>
          <w:bCs/>
        </w:rPr>
        <w:t xml:space="preserve">Victim Support Scotland referrals: </w:t>
      </w:r>
      <w:r>
        <w:t>The number of accepted referrals is taken from our daily referral record and is the most accurate number of referrals sent to VSS. The number of declined referrals is taken from our ‘VSS Summary Report V3’ dashboard.</w:t>
      </w:r>
    </w:p>
    <w:p w14:paraId="2F4806A3" w14:textId="72646956" w:rsidR="001D65A2" w:rsidRPr="00CB0987" w:rsidRDefault="001D5DFC" w:rsidP="002D473E">
      <w:pPr>
        <w:pStyle w:val="Bullets"/>
      </w:pPr>
      <w:r w:rsidRPr="00CB0987">
        <w:t xml:space="preserve">The complete Quarter </w:t>
      </w:r>
      <w:r w:rsidR="00CB0987" w:rsidRPr="00CB0987">
        <w:t>1</w:t>
      </w:r>
      <w:r w:rsidRPr="00CB0987">
        <w:t xml:space="preserve"> </w:t>
      </w:r>
      <w:r w:rsidRPr="00CB0987">
        <w:rPr>
          <w:rStyle w:val="Strong"/>
        </w:rPr>
        <w:t>utilities</w:t>
      </w:r>
      <w:r w:rsidR="001B4F9F" w:rsidRPr="00CB0987">
        <w:rPr>
          <w:rStyle w:val="Strong"/>
        </w:rPr>
        <w:t xml:space="preserve"> (Gas, Electricity and Water)</w:t>
      </w:r>
      <w:r w:rsidRPr="00CB0987">
        <w:t xml:space="preserve"> data is not yet available and so we have provided information based on April </w:t>
      </w:r>
      <w:r w:rsidR="00CB0987" w:rsidRPr="00CB0987">
        <w:t xml:space="preserve">to </w:t>
      </w:r>
      <w:r w:rsidR="007C3051">
        <w:t>August</w:t>
      </w:r>
      <w:r w:rsidR="009B7DED" w:rsidRPr="00CB0987">
        <w:t xml:space="preserve"> 2025</w:t>
      </w:r>
      <w:r w:rsidRPr="00CB0987">
        <w:t xml:space="preserve"> of Financial Year 202</w:t>
      </w:r>
      <w:r w:rsidR="00CB0987" w:rsidRPr="00CB0987">
        <w:t>5</w:t>
      </w:r>
      <w:r w:rsidRPr="00CB0987">
        <w:t>/2</w:t>
      </w:r>
      <w:r w:rsidR="00CB0987" w:rsidRPr="00CB0987">
        <w:t>6</w:t>
      </w:r>
      <w:r w:rsidRPr="00CB0987">
        <w:t xml:space="preserve"> with a comparison over the same time period </w:t>
      </w:r>
      <w:r w:rsidR="007A2C38" w:rsidRPr="00CB0987">
        <w:t>in the</w:t>
      </w:r>
      <w:r w:rsidRPr="00CB0987">
        <w:t xml:space="preserve"> previous year. Considering this, all figures provided should be taken as indicative, until the Quarter </w:t>
      </w:r>
      <w:r w:rsidR="007C3051">
        <w:t>2</w:t>
      </w:r>
      <w:r w:rsidRPr="00CB0987">
        <w:t xml:space="preserve"> data set is complete.</w:t>
      </w:r>
    </w:p>
    <w:sectPr w:rsidR="001D65A2" w:rsidRPr="00CB0987" w:rsidSect="0009719F">
      <w:headerReference w:type="even" r:id="rId91"/>
      <w:headerReference w:type="default" r:id="rId92"/>
      <w:footerReference w:type="even" r:id="rId93"/>
      <w:footerReference w:type="default" r:id="rId94"/>
      <w:headerReference w:type="first" r:id="rId95"/>
      <w:footerReference w:type="first" r:id="rId96"/>
      <w:pgSz w:w="11906" w:h="16838"/>
      <w:pgMar w:top="1440" w:right="1080" w:bottom="1440" w:left="108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CC5B9" w14:textId="77777777" w:rsidR="00EC26A0" w:rsidRDefault="00EC26A0" w:rsidP="00773069">
      <w:pPr>
        <w:spacing w:line="240" w:lineRule="auto"/>
      </w:pPr>
      <w:r>
        <w:separator/>
      </w:r>
    </w:p>
  </w:endnote>
  <w:endnote w:type="continuationSeparator" w:id="0">
    <w:p w14:paraId="4FE9EC15" w14:textId="77777777" w:rsidR="00EC26A0" w:rsidRDefault="00EC26A0" w:rsidP="00773069">
      <w:pPr>
        <w:spacing w:line="240" w:lineRule="auto"/>
      </w:pPr>
      <w:r>
        <w:continuationSeparator/>
      </w:r>
    </w:p>
  </w:endnote>
  <w:endnote w:type="continuationNotice" w:id="1">
    <w:p w14:paraId="55F3B929" w14:textId="77777777" w:rsidR="00EC26A0" w:rsidRDefault="00EC2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7BF" w14:textId="5F54E51E" w:rsidR="00EC26A0" w:rsidRDefault="00EC26A0">
    <w:pPr>
      <w:pStyle w:val="Footer"/>
    </w:pPr>
  </w:p>
  <w:p w14:paraId="44955C97" w14:textId="2830AABA"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373DA" w:rsidRPr="000373DA">
      <w:rPr>
        <w:rFonts w:ascii="Times New Roman" w:hAnsi="Times New Roman" w:cs="Times New Roman"/>
        <w:b/>
        <w:color w:val="FF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Pr>
        <w:rFonts w:ascii="Times New Roman" w:hAnsi="Times New Roman" w:cs="Times New Roman"/>
        <w:b/>
      </w:rPr>
      <w:t>OFFICIAL</w:t>
    </w:r>
    <w:r w:rsidRPr="0054502C">
      <w:rPr>
        <w:rFonts w:ascii="Times New Roman" w:hAnsi="Times New Roman" w:cs="Times New Roman"/>
        <w:b/>
      </w:rPr>
      <w:fldChar w:fldCharType="end"/>
    </w:r>
  </w:p>
  <w:p w14:paraId="470D8FC7" w14:textId="77777777" w:rsidR="00EC26A0" w:rsidRDefault="00EC26A0"/>
  <w:p w14:paraId="06845422" w14:textId="77777777" w:rsidR="004E508A" w:rsidRDefault="004E50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7720"/>
      <w:docPartObj>
        <w:docPartGallery w:val="Page Numbers (Bottom of Page)"/>
        <w:docPartUnique/>
      </w:docPartObj>
    </w:sdtPr>
    <w:sdtEndPr/>
    <w:sdtContent>
      <w:p w14:paraId="62BD0A27" w14:textId="763D93F5" w:rsidR="00EC26A0" w:rsidRDefault="00EC26A0">
        <w:pPr>
          <w:pStyle w:val="Footer"/>
          <w:jc w:val="right"/>
        </w:pPr>
        <w:r>
          <w:fldChar w:fldCharType="begin"/>
        </w:r>
        <w:r>
          <w:instrText>PAGE   \* MERGEFORMAT</w:instrText>
        </w:r>
        <w:r>
          <w:fldChar w:fldCharType="separate"/>
        </w:r>
        <w:r w:rsidR="0069398A">
          <w:rPr>
            <w:noProof/>
          </w:rPr>
          <w:t>30</w:t>
        </w:r>
        <w:r>
          <w:fldChar w:fldCharType="end"/>
        </w:r>
      </w:p>
    </w:sdtContent>
  </w:sdt>
  <w:p w14:paraId="539737AB" w14:textId="749EE2AC" w:rsidR="00EC26A0" w:rsidRDefault="00EC26A0" w:rsidP="00773069">
    <w:pPr>
      <w:pStyle w:val="Footer"/>
      <w:jc w:val="center"/>
    </w:pPr>
    <w:r>
      <w:rPr>
        <w:rFonts w:ascii="Times New Roman" w:hAnsi="Times New Roman" w:cs="Times New Roman"/>
        <w:b/>
      </w:rPr>
      <w:fldChar w:fldCharType="begin"/>
    </w:r>
    <w:r>
      <w:rPr>
        <w:rFonts w:ascii="Times New Roman" w:hAnsi="Times New Roman" w:cs="Times New Roman"/>
        <w:b/>
      </w:rPr>
      <w:instrText xml:space="preserve"> DOCPROPERTY ClassificationMarking \* MERGEFORMAT </w:instrText>
    </w:r>
    <w:r>
      <w:rPr>
        <w:rFonts w:ascii="Times New Roman" w:hAnsi="Times New Roman" w:cs="Times New Roman"/>
        <w:b/>
      </w:rPr>
      <w:fldChar w:fldCharType="separate"/>
    </w:r>
    <w:r w:rsidR="000373DA" w:rsidRPr="000373DA">
      <w:rPr>
        <w:rFonts w:ascii="Times New Roman" w:hAnsi="Times New Roman" w:cs="Times New Roman"/>
        <w:b/>
        <w:color w:val="FF0000"/>
      </w:rPr>
      <w:t>OFFICIAL</w:t>
    </w:r>
    <w:r>
      <w:rPr>
        <w:rFonts w:ascii="Times New Roman" w:hAnsi="Times New Roman" w:cs="Times New Roman"/>
        <w:b/>
      </w:rPr>
      <w:fldChar w:fldCharType="end"/>
    </w:r>
  </w:p>
  <w:p w14:paraId="2EDAC9B3" w14:textId="77777777" w:rsidR="00EC26A0" w:rsidRDefault="00EC26A0"/>
  <w:p w14:paraId="4828584A" w14:textId="77777777" w:rsidR="004E508A" w:rsidRDefault="004E50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107C" w14:textId="2797BEEC" w:rsidR="00EC26A0" w:rsidRDefault="00EC26A0" w:rsidP="00773069">
    <w:pPr>
      <w:pStyle w:val="Foot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373DA" w:rsidRPr="000373DA">
      <w:rPr>
        <w:rFonts w:ascii="Times New Roman" w:hAnsi="Times New Roman" w:cs="Times New Roman"/>
        <w:b/>
        <w:color w:val="FF0000"/>
      </w:rPr>
      <w:t>OFFICIAL</w:t>
    </w:r>
    <w:r w:rsidRPr="0054502C">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BDEA8" w14:textId="77777777" w:rsidR="00EC26A0" w:rsidRDefault="00EC26A0" w:rsidP="00773069">
      <w:pPr>
        <w:spacing w:line="240" w:lineRule="auto"/>
      </w:pPr>
      <w:r>
        <w:separator/>
      </w:r>
    </w:p>
  </w:footnote>
  <w:footnote w:type="continuationSeparator" w:id="0">
    <w:p w14:paraId="3FB33019" w14:textId="77777777" w:rsidR="00EC26A0" w:rsidRDefault="00EC26A0" w:rsidP="00773069">
      <w:pPr>
        <w:spacing w:line="240" w:lineRule="auto"/>
      </w:pPr>
      <w:r>
        <w:continuationSeparator/>
      </w:r>
    </w:p>
  </w:footnote>
  <w:footnote w:type="continuationNotice" w:id="1">
    <w:p w14:paraId="021C579D" w14:textId="77777777" w:rsidR="00EC26A0" w:rsidRDefault="00EC2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7A20" w14:textId="7BC0F9AF" w:rsidR="00EC26A0" w:rsidRPr="0082659C" w:rsidRDefault="00EC26A0" w:rsidP="00773069">
    <w:pPr>
      <w:pStyle w:val="Header"/>
      <w:jc w:val="center"/>
      <w:rPr>
        <w:color w:val="FF0000"/>
      </w:rP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373DA" w:rsidRPr="000373DA">
      <w:rPr>
        <w:rFonts w:ascii="Times New Roman" w:hAnsi="Times New Roman" w:cs="Times New Roman"/>
        <w:b/>
        <w:color w:val="FF0000"/>
      </w:rPr>
      <w:t>OFFICIAL</w:t>
    </w:r>
    <w:r w:rsidRPr="0054502C">
      <w:rPr>
        <w:rFonts w:ascii="Times New Roman" w:hAnsi="Times New Roman" w:cs="Times New Roman"/>
        <w:b/>
      </w:rPr>
      <w:fldChar w:fldCharType="end"/>
    </w: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974CB5">
      <w:rPr>
        <w:rFonts w:ascii="Times New Roman" w:hAnsi="Times New Roman" w:cs="Times New Roman"/>
        <w:b/>
      </w:rPr>
      <w:t>OFFICIAL</w:t>
    </w:r>
    <w:r w:rsidRPr="0054502C">
      <w:rPr>
        <w:rFonts w:ascii="Times New Roman" w:hAnsi="Times New Roman" w:cs="Times New Roman"/>
        <w:b/>
      </w:rPr>
      <w:fldChar w:fldCharType="end"/>
    </w:r>
  </w:p>
  <w:p w14:paraId="06E8D560" w14:textId="77777777" w:rsidR="00EC26A0" w:rsidRDefault="00EC26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800E" w14:textId="2BF041B3"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373DA" w:rsidRPr="000373DA">
      <w:rPr>
        <w:rFonts w:ascii="Times New Roman" w:hAnsi="Times New Roman" w:cs="Times New Roman"/>
        <w:b/>
        <w:color w:val="FF0000"/>
      </w:rPr>
      <w:t>OFFICIAL</w:t>
    </w:r>
    <w:r w:rsidRPr="0054502C">
      <w:rPr>
        <w:rFonts w:ascii="Times New Roman" w:hAnsi="Times New Roman" w:cs="Times New Roman"/>
        <w:b/>
      </w:rPr>
      <w:fldChar w:fldCharType="end"/>
    </w:r>
  </w:p>
  <w:p w14:paraId="28817CAB" w14:textId="77777777" w:rsidR="00EC26A0" w:rsidRDefault="00EC26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9511" w14:textId="426D3880" w:rsidR="00EC26A0" w:rsidRDefault="00EC26A0" w:rsidP="00773069">
    <w:pPr>
      <w:pStyle w:val="Header"/>
      <w:jc w:val="center"/>
    </w:pPr>
    <w:r w:rsidRPr="0054502C">
      <w:rPr>
        <w:rFonts w:ascii="Times New Roman" w:hAnsi="Times New Roman" w:cs="Times New Roman"/>
        <w:b/>
      </w:rPr>
      <w:fldChar w:fldCharType="begin"/>
    </w:r>
    <w:r w:rsidRPr="0054502C">
      <w:rPr>
        <w:rFonts w:ascii="Times New Roman" w:hAnsi="Times New Roman" w:cs="Times New Roman"/>
        <w:b/>
      </w:rPr>
      <w:instrText xml:space="preserve"> DOCPROPERTY ClassificationMarking \* MERGEFORMAT </w:instrText>
    </w:r>
    <w:r w:rsidRPr="0054502C">
      <w:rPr>
        <w:rFonts w:ascii="Times New Roman" w:hAnsi="Times New Roman" w:cs="Times New Roman"/>
        <w:b/>
      </w:rPr>
      <w:fldChar w:fldCharType="separate"/>
    </w:r>
    <w:r w:rsidR="000373DA" w:rsidRPr="000373DA">
      <w:rPr>
        <w:rFonts w:ascii="Times New Roman" w:hAnsi="Times New Roman" w:cs="Times New Roman"/>
        <w:b/>
        <w:color w:val="FF0000"/>
      </w:rPr>
      <w:t>OFFICIAL</w:t>
    </w:r>
    <w:r w:rsidRPr="0054502C">
      <w:rPr>
        <w:rFonts w:ascii="Times New Roman" w:hAnsi="Times New Roman" w:cs="Times New Roman"/>
        <w:b/>
      </w:rPr>
      <w:fldChar w:fldCharType="end"/>
    </w:r>
  </w:p>
  <w:p w14:paraId="5C636A17" w14:textId="77777777" w:rsidR="00EC26A0" w:rsidRDefault="00EC2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1E4C0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BAA52F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52B4A"/>
    <w:multiLevelType w:val="hybridMultilevel"/>
    <w:tmpl w:val="C7A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68D3"/>
    <w:multiLevelType w:val="hybridMultilevel"/>
    <w:tmpl w:val="85D4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C5653"/>
    <w:multiLevelType w:val="hybridMultilevel"/>
    <w:tmpl w:val="E8803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667FC"/>
    <w:multiLevelType w:val="hybridMultilevel"/>
    <w:tmpl w:val="1226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B25A2"/>
    <w:multiLevelType w:val="hybridMultilevel"/>
    <w:tmpl w:val="F7762F06"/>
    <w:lvl w:ilvl="0" w:tplc="1EA058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914D7"/>
    <w:multiLevelType w:val="hybridMultilevel"/>
    <w:tmpl w:val="450E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072D4"/>
    <w:multiLevelType w:val="hybridMultilevel"/>
    <w:tmpl w:val="DC52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56836"/>
    <w:multiLevelType w:val="hybridMultilevel"/>
    <w:tmpl w:val="7F4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74DD4"/>
    <w:multiLevelType w:val="hybridMultilevel"/>
    <w:tmpl w:val="F020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D2835"/>
    <w:multiLevelType w:val="hybridMultilevel"/>
    <w:tmpl w:val="9166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96E85"/>
    <w:multiLevelType w:val="hybridMultilevel"/>
    <w:tmpl w:val="56EC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77C31"/>
    <w:multiLevelType w:val="hybridMultilevel"/>
    <w:tmpl w:val="76925E74"/>
    <w:lvl w:ilvl="0" w:tplc="E446EE5A">
      <w:start w:val="1"/>
      <w:numFmt w:val="bullet"/>
      <w:lvlText w:val="•"/>
      <w:lvlJc w:val="left"/>
      <w:pPr>
        <w:tabs>
          <w:tab w:val="num" w:pos="720"/>
        </w:tabs>
        <w:ind w:left="720" w:hanging="360"/>
      </w:pPr>
      <w:rPr>
        <w:rFonts w:ascii="Arial" w:hAnsi="Arial" w:cs="Times New Roman" w:hint="default"/>
      </w:rPr>
    </w:lvl>
    <w:lvl w:ilvl="1" w:tplc="B150F0C2">
      <w:start w:val="1"/>
      <w:numFmt w:val="bullet"/>
      <w:lvlText w:val="•"/>
      <w:lvlJc w:val="left"/>
      <w:pPr>
        <w:tabs>
          <w:tab w:val="num" w:pos="1440"/>
        </w:tabs>
        <w:ind w:left="1440" w:hanging="360"/>
      </w:pPr>
      <w:rPr>
        <w:rFonts w:ascii="Arial" w:hAnsi="Arial" w:cs="Times New Roman" w:hint="default"/>
      </w:rPr>
    </w:lvl>
    <w:lvl w:ilvl="2" w:tplc="DB641578">
      <w:start w:val="1"/>
      <w:numFmt w:val="bullet"/>
      <w:lvlText w:val="•"/>
      <w:lvlJc w:val="left"/>
      <w:pPr>
        <w:tabs>
          <w:tab w:val="num" w:pos="2160"/>
        </w:tabs>
        <w:ind w:left="2160" w:hanging="360"/>
      </w:pPr>
      <w:rPr>
        <w:rFonts w:ascii="Arial" w:hAnsi="Arial" w:cs="Times New Roman" w:hint="default"/>
      </w:rPr>
    </w:lvl>
    <w:lvl w:ilvl="3" w:tplc="090EAFB2">
      <w:start w:val="1"/>
      <w:numFmt w:val="bullet"/>
      <w:lvlText w:val="•"/>
      <w:lvlJc w:val="left"/>
      <w:pPr>
        <w:tabs>
          <w:tab w:val="num" w:pos="2880"/>
        </w:tabs>
        <w:ind w:left="2880" w:hanging="360"/>
      </w:pPr>
      <w:rPr>
        <w:rFonts w:ascii="Arial" w:hAnsi="Arial" w:cs="Times New Roman" w:hint="default"/>
      </w:rPr>
    </w:lvl>
    <w:lvl w:ilvl="4" w:tplc="EA42868A">
      <w:start w:val="1"/>
      <w:numFmt w:val="bullet"/>
      <w:lvlText w:val="•"/>
      <w:lvlJc w:val="left"/>
      <w:pPr>
        <w:tabs>
          <w:tab w:val="num" w:pos="3600"/>
        </w:tabs>
        <w:ind w:left="3600" w:hanging="360"/>
      </w:pPr>
      <w:rPr>
        <w:rFonts w:ascii="Arial" w:hAnsi="Arial" w:cs="Times New Roman" w:hint="default"/>
      </w:rPr>
    </w:lvl>
    <w:lvl w:ilvl="5" w:tplc="C43A9F80">
      <w:start w:val="1"/>
      <w:numFmt w:val="bullet"/>
      <w:lvlText w:val="•"/>
      <w:lvlJc w:val="left"/>
      <w:pPr>
        <w:tabs>
          <w:tab w:val="num" w:pos="4320"/>
        </w:tabs>
        <w:ind w:left="4320" w:hanging="360"/>
      </w:pPr>
      <w:rPr>
        <w:rFonts w:ascii="Arial" w:hAnsi="Arial" w:cs="Times New Roman" w:hint="default"/>
      </w:rPr>
    </w:lvl>
    <w:lvl w:ilvl="6" w:tplc="9A0EA16C">
      <w:start w:val="1"/>
      <w:numFmt w:val="bullet"/>
      <w:lvlText w:val="•"/>
      <w:lvlJc w:val="left"/>
      <w:pPr>
        <w:tabs>
          <w:tab w:val="num" w:pos="5040"/>
        </w:tabs>
        <w:ind w:left="5040" w:hanging="360"/>
      </w:pPr>
      <w:rPr>
        <w:rFonts w:ascii="Arial" w:hAnsi="Arial" w:cs="Times New Roman" w:hint="default"/>
      </w:rPr>
    </w:lvl>
    <w:lvl w:ilvl="7" w:tplc="24D2D058">
      <w:start w:val="1"/>
      <w:numFmt w:val="bullet"/>
      <w:lvlText w:val="•"/>
      <w:lvlJc w:val="left"/>
      <w:pPr>
        <w:tabs>
          <w:tab w:val="num" w:pos="5760"/>
        </w:tabs>
        <w:ind w:left="5760" w:hanging="360"/>
      </w:pPr>
      <w:rPr>
        <w:rFonts w:ascii="Arial" w:hAnsi="Arial" w:cs="Times New Roman" w:hint="default"/>
      </w:rPr>
    </w:lvl>
    <w:lvl w:ilvl="8" w:tplc="48D45C8A">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88F3B4B"/>
    <w:multiLevelType w:val="hybridMultilevel"/>
    <w:tmpl w:val="D8FA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15D9F"/>
    <w:multiLevelType w:val="hybridMultilevel"/>
    <w:tmpl w:val="EA50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146C5"/>
    <w:multiLevelType w:val="hybridMultilevel"/>
    <w:tmpl w:val="7F0ED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C6E4D"/>
    <w:multiLevelType w:val="hybridMultilevel"/>
    <w:tmpl w:val="D898E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D24EC6"/>
    <w:multiLevelType w:val="hybridMultilevel"/>
    <w:tmpl w:val="0A6C30DC"/>
    <w:lvl w:ilvl="0" w:tplc="6A22208C">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7072A12"/>
    <w:multiLevelType w:val="hybridMultilevel"/>
    <w:tmpl w:val="79DE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A58E9"/>
    <w:multiLevelType w:val="hybridMultilevel"/>
    <w:tmpl w:val="3880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80F87"/>
    <w:multiLevelType w:val="hybridMultilevel"/>
    <w:tmpl w:val="CF66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31694"/>
    <w:multiLevelType w:val="hybridMultilevel"/>
    <w:tmpl w:val="C47A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C0555A"/>
    <w:multiLevelType w:val="hybridMultilevel"/>
    <w:tmpl w:val="35EC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43425"/>
    <w:multiLevelType w:val="hybridMultilevel"/>
    <w:tmpl w:val="52DA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BB51F1"/>
    <w:multiLevelType w:val="hybridMultilevel"/>
    <w:tmpl w:val="8B1C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12F92"/>
    <w:multiLevelType w:val="multilevel"/>
    <w:tmpl w:val="4AC8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F33134"/>
    <w:multiLevelType w:val="hybridMultilevel"/>
    <w:tmpl w:val="BD38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A473F"/>
    <w:multiLevelType w:val="hybridMultilevel"/>
    <w:tmpl w:val="078A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A3DC5"/>
    <w:multiLevelType w:val="hybridMultilevel"/>
    <w:tmpl w:val="C13CCD90"/>
    <w:lvl w:ilvl="0" w:tplc="C1D6BFE0">
      <w:start w:val="1"/>
      <w:numFmt w:val="bullet"/>
      <w:lvlText w:val="•"/>
      <w:lvlJc w:val="left"/>
      <w:pPr>
        <w:tabs>
          <w:tab w:val="num" w:pos="720"/>
        </w:tabs>
        <w:ind w:left="720" w:hanging="360"/>
      </w:pPr>
      <w:rPr>
        <w:rFonts w:ascii="Arial" w:hAnsi="Arial" w:cs="Times New Roman" w:hint="default"/>
      </w:rPr>
    </w:lvl>
    <w:lvl w:ilvl="1" w:tplc="64B02D9E">
      <w:start w:val="1"/>
      <w:numFmt w:val="bullet"/>
      <w:lvlText w:val="•"/>
      <w:lvlJc w:val="left"/>
      <w:pPr>
        <w:tabs>
          <w:tab w:val="num" w:pos="1440"/>
        </w:tabs>
        <w:ind w:left="1440" w:hanging="360"/>
      </w:pPr>
      <w:rPr>
        <w:rFonts w:ascii="Arial" w:hAnsi="Arial" w:cs="Times New Roman" w:hint="default"/>
      </w:rPr>
    </w:lvl>
    <w:lvl w:ilvl="2" w:tplc="7250F6BE">
      <w:start w:val="1"/>
      <w:numFmt w:val="bullet"/>
      <w:lvlText w:val="•"/>
      <w:lvlJc w:val="left"/>
      <w:pPr>
        <w:tabs>
          <w:tab w:val="num" w:pos="2160"/>
        </w:tabs>
        <w:ind w:left="2160" w:hanging="360"/>
      </w:pPr>
      <w:rPr>
        <w:rFonts w:ascii="Arial" w:hAnsi="Arial" w:cs="Times New Roman" w:hint="default"/>
      </w:rPr>
    </w:lvl>
    <w:lvl w:ilvl="3" w:tplc="8EEC67A4">
      <w:start w:val="1"/>
      <w:numFmt w:val="bullet"/>
      <w:lvlText w:val="•"/>
      <w:lvlJc w:val="left"/>
      <w:pPr>
        <w:tabs>
          <w:tab w:val="num" w:pos="2880"/>
        </w:tabs>
        <w:ind w:left="2880" w:hanging="360"/>
      </w:pPr>
      <w:rPr>
        <w:rFonts w:ascii="Arial" w:hAnsi="Arial" w:cs="Times New Roman" w:hint="default"/>
      </w:rPr>
    </w:lvl>
    <w:lvl w:ilvl="4" w:tplc="8432196E">
      <w:start w:val="1"/>
      <w:numFmt w:val="bullet"/>
      <w:lvlText w:val="•"/>
      <w:lvlJc w:val="left"/>
      <w:pPr>
        <w:tabs>
          <w:tab w:val="num" w:pos="3600"/>
        </w:tabs>
        <w:ind w:left="3600" w:hanging="360"/>
      </w:pPr>
      <w:rPr>
        <w:rFonts w:ascii="Arial" w:hAnsi="Arial" w:cs="Times New Roman" w:hint="default"/>
      </w:rPr>
    </w:lvl>
    <w:lvl w:ilvl="5" w:tplc="EE52642A">
      <w:start w:val="1"/>
      <w:numFmt w:val="bullet"/>
      <w:lvlText w:val="•"/>
      <w:lvlJc w:val="left"/>
      <w:pPr>
        <w:tabs>
          <w:tab w:val="num" w:pos="4320"/>
        </w:tabs>
        <w:ind w:left="4320" w:hanging="360"/>
      </w:pPr>
      <w:rPr>
        <w:rFonts w:ascii="Arial" w:hAnsi="Arial" w:cs="Times New Roman" w:hint="default"/>
      </w:rPr>
    </w:lvl>
    <w:lvl w:ilvl="6" w:tplc="3F48FAC4">
      <w:start w:val="1"/>
      <w:numFmt w:val="bullet"/>
      <w:lvlText w:val="•"/>
      <w:lvlJc w:val="left"/>
      <w:pPr>
        <w:tabs>
          <w:tab w:val="num" w:pos="5040"/>
        </w:tabs>
        <w:ind w:left="5040" w:hanging="360"/>
      </w:pPr>
      <w:rPr>
        <w:rFonts w:ascii="Arial" w:hAnsi="Arial" w:cs="Times New Roman" w:hint="default"/>
      </w:rPr>
    </w:lvl>
    <w:lvl w:ilvl="7" w:tplc="B70CC458">
      <w:start w:val="1"/>
      <w:numFmt w:val="bullet"/>
      <w:lvlText w:val="•"/>
      <w:lvlJc w:val="left"/>
      <w:pPr>
        <w:tabs>
          <w:tab w:val="num" w:pos="5760"/>
        </w:tabs>
        <w:ind w:left="5760" w:hanging="360"/>
      </w:pPr>
      <w:rPr>
        <w:rFonts w:ascii="Arial" w:hAnsi="Arial" w:cs="Times New Roman" w:hint="default"/>
      </w:rPr>
    </w:lvl>
    <w:lvl w:ilvl="8" w:tplc="0FC8B5A6">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79C37DE8"/>
    <w:multiLevelType w:val="hybridMultilevel"/>
    <w:tmpl w:val="F6FC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CD0DAD"/>
    <w:multiLevelType w:val="multilevel"/>
    <w:tmpl w:val="BCA82E0C"/>
    <w:lvl w:ilvl="0">
      <w:start w:val="1"/>
      <w:numFmt w:val="decimal"/>
      <w:pStyle w:val="ListNumber2"/>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E392B11"/>
    <w:multiLevelType w:val="hybridMultilevel"/>
    <w:tmpl w:val="E136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E28D6"/>
    <w:multiLevelType w:val="hybridMultilevel"/>
    <w:tmpl w:val="8A0A3E54"/>
    <w:lvl w:ilvl="0" w:tplc="A0E4DD7C">
      <w:start w:val="1"/>
      <w:numFmt w:val="bullet"/>
      <w:lvlText w:val="•"/>
      <w:lvlJc w:val="left"/>
      <w:pPr>
        <w:tabs>
          <w:tab w:val="num" w:pos="720"/>
        </w:tabs>
        <w:ind w:left="720" w:hanging="360"/>
      </w:pPr>
      <w:rPr>
        <w:rFonts w:ascii="Arial" w:hAnsi="Arial" w:cs="Times New Roman" w:hint="default"/>
      </w:rPr>
    </w:lvl>
    <w:lvl w:ilvl="1" w:tplc="637282C2">
      <w:start w:val="1"/>
      <w:numFmt w:val="bullet"/>
      <w:lvlText w:val="•"/>
      <w:lvlJc w:val="left"/>
      <w:pPr>
        <w:tabs>
          <w:tab w:val="num" w:pos="1440"/>
        </w:tabs>
        <w:ind w:left="1440" w:hanging="360"/>
      </w:pPr>
      <w:rPr>
        <w:rFonts w:ascii="Arial" w:hAnsi="Arial" w:cs="Times New Roman" w:hint="default"/>
      </w:rPr>
    </w:lvl>
    <w:lvl w:ilvl="2" w:tplc="E77E4E4E">
      <w:start w:val="1"/>
      <w:numFmt w:val="bullet"/>
      <w:lvlText w:val="•"/>
      <w:lvlJc w:val="left"/>
      <w:pPr>
        <w:tabs>
          <w:tab w:val="num" w:pos="2160"/>
        </w:tabs>
        <w:ind w:left="2160" w:hanging="360"/>
      </w:pPr>
      <w:rPr>
        <w:rFonts w:ascii="Arial" w:hAnsi="Arial" w:cs="Times New Roman" w:hint="default"/>
      </w:rPr>
    </w:lvl>
    <w:lvl w:ilvl="3" w:tplc="580401B4">
      <w:start w:val="1"/>
      <w:numFmt w:val="bullet"/>
      <w:lvlText w:val="•"/>
      <w:lvlJc w:val="left"/>
      <w:pPr>
        <w:tabs>
          <w:tab w:val="num" w:pos="2880"/>
        </w:tabs>
        <w:ind w:left="2880" w:hanging="360"/>
      </w:pPr>
      <w:rPr>
        <w:rFonts w:ascii="Arial" w:hAnsi="Arial" w:cs="Times New Roman" w:hint="default"/>
      </w:rPr>
    </w:lvl>
    <w:lvl w:ilvl="4" w:tplc="A2D6670A">
      <w:start w:val="1"/>
      <w:numFmt w:val="bullet"/>
      <w:lvlText w:val="•"/>
      <w:lvlJc w:val="left"/>
      <w:pPr>
        <w:tabs>
          <w:tab w:val="num" w:pos="3600"/>
        </w:tabs>
        <w:ind w:left="3600" w:hanging="360"/>
      </w:pPr>
      <w:rPr>
        <w:rFonts w:ascii="Arial" w:hAnsi="Arial" w:cs="Times New Roman" w:hint="default"/>
      </w:rPr>
    </w:lvl>
    <w:lvl w:ilvl="5" w:tplc="7D882B0E">
      <w:start w:val="1"/>
      <w:numFmt w:val="bullet"/>
      <w:lvlText w:val="•"/>
      <w:lvlJc w:val="left"/>
      <w:pPr>
        <w:tabs>
          <w:tab w:val="num" w:pos="4320"/>
        </w:tabs>
        <w:ind w:left="4320" w:hanging="360"/>
      </w:pPr>
      <w:rPr>
        <w:rFonts w:ascii="Arial" w:hAnsi="Arial" w:cs="Times New Roman" w:hint="default"/>
      </w:rPr>
    </w:lvl>
    <w:lvl w:ilvl="6" w:tplc="0D84D4C8">
      <w:start w:val="1"/>
      <w:numFmt w:val="bullet"/>
      <w:lvlText w:val="•"/>
      <w:lvlJc w:val="left"/>
      <w:pPr>
        <w:tabs>
          <w:tab w:val="num" w:pos="5040"/>
        </w:tabs>
        <w:ind w:left="5040" w:hanging="360"/>
      </w:pPr>
      <w:rPr>
        <w:rFonts w:ascii="Arial" w:hAnsi="Arial" w:cs="Times New Roman" w:hint="default"/>
      </w:rPr>
    </w:lvl>
    <w:lvl w:ilvl="7" w:tplc="ABCC5894">
      <w:start w:val="1"/>
      <w:numFmt w:val="bullet"/>
      <w:lvlText w:val="•"/>
      <w:lvlJc w:val="left"/>
      <w:pPr>
        <w:tabs>
          <w:tab w:val="num" w:pos="5760"/>
        </w:tabs>
        <w:ind w:left="5760" w:hanging="360"/>
      </w:pPr>
      <w:rPr>
        <w:rFonts w:ascii="Arial" w:hAnsi="Arial" w:cs="Times New Roman" w:hint="default"/>
      </w:rPr>
    </w:lvl>
    <w:lvl w:ilvl="8" w:tplc="9C7829C2">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7ED053E1"/>
    <w:multiLevelType w:val="hybridMultilevel"/>
    <w:tmpl w:val="71CC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369021">
    <w:abstractNumId w:val="1"/>
  </w:num>
  <w:num w:numId="2" w16cid:durableId="1014956962">
    <w:abstractNumId w:val="0"/>
  </w:num>
  <w:num w:numId="3" w16cid:durableId="1443915661">
    <w:abstractNumId w:val="31"/>
  </w:num>
  <w:num w:numId="4" w16cid:durableId="242882089">
    <w:abstractNumId w:val="6"/>
  </w:num>
  <w:num w:numId="5" w16cid:durableId="40789105">
    <w:abstractNumId w:val="10"/>
  </w:num>
  <w:num w:numId="6" w16cid:durableId="1546024587">
    <w:abstractNumId w:val="28"/>
  </w:num>
  <w:num w:numId="7" w16cid:durableId="2118282288">
    <w:abstractNumId w:val="19"/>
  </w:num>
  <w:num w:numId="8" w16cid:durableId="1008021336">
    <w:abstractNumId w:val="30"/>
  </w:num>
  <w:num w:numId="9" w16cid:durableId="1316687185">
    <w:abstractNumId w:val="2"/>
  </w:num>
  <w:num w:numId="10" w16cid:durableId="875585253">
    <w:abstractNumId w:val="20"/>
  </w:num>
  <w:num w:numId="11" w16cid:durableId="387077532">
    <w:abstractNumId w:val="34"/>
  </w:num>
  <w:num w:numId="12" w16cid:durableId="631132143">
    <w:abstractNumId w:val="24"/>
  </w:num>
  <w:num w:numId="13" w16cid:durableId="1847744428">
    <w:abstractNumId w:val="11"/>
  </w:num>
  <w:num w:numId="14" w16cid:durableId="812874527">
    <w:abstractNumId w:val="9"/>
  </w:num>
  <w:num w:numId="15" w16cid:durableId="1860193576">
    <w:abstractNumId w:val="21"/>
  </w:num>
  <w:num w:numId="16" w16cid:durableId="1797331513">
    <w:abstractNumId w:val="12"/>
  </w:num>
  <w:num w:numId="17" w16cid:durableId="1935815853">
    <w:abstractNumId w:val="3"/>
  </w:num>
  <w:num w:numId="18" w16cid:durableId="1051323">
    <w:abstractNumId w:val="25"/>
  </w:num>
  <w:num w:numId="19" w16cid:durableId="117845918">
    <w:abstractNumId w:val="18"/>
  </w:num>
  <w:num w:numId="20" w16cid:durableId="1836191410">
    <w:abstractNumId w:val="27"/>
  </w:num>
  <w:num w:numId="21" w16cid:durableId="835539891">
    <w:abstractNumId w:val="29"/>
  </w:num>
  <w:num w:numId="22" w16cid:durableId="2119399915">
    <w:abstractNumId w:val="13"/>
  </w:num>
  <w:num w:numId="23" w16cid:durableId="872037751">
    <w:abstractNumId w:val="33"/>
  </w:num>
  <w:num w:numId="24" w16cid:durableId="2023584482">
    <w:abstractNumId w:val="5"/>
  </w:num>
  <w:num w:numId="25" w16cid:durableId="1451127584">
    <w:abstractNumId w:val="26"/>
  </w:num>
  <w:num w:numId="26" w16cid:durableId="43677845">
    <w:abstractNumId w:val="23"/>
  </w:num>
  <w:num w:numId="27" w16cid:durableId="1541163273">
    <w:abstractNumId w:val="15"/>
  </w:num>
  <w:num w:numId="28" w16cid:durableId="2108696893">
    <w:abstractNumId w:val="22"/>
  </w:num>
  <w:num w:numId="29" w16cid:durableId="1032727738">
    <w:abstractNumId w:val="17"/>
  </w:num>
  <w:num w:numId="30" w16cid:durableId="1587617227">
    <w:abstractNumId w:val="8"/>
  </w:num>
  <w:num w:numId="31" w16cid:durableId="824055242">
    <w:abstractNumId w:val="4"/>
  </w:num>
  <w:num w:numId="32" w16cid:durableId="1642273673">
    <w:abstractNumId w:val="7"/>
  </w:num>
  <w:num w:numId="33" w16cid:durableId="1288584326">
    <w:abstractNumId w:val="16"/>
  </w:num>
  <w:num w:numId="34" w16cid:durableId="1369573586">
    <w:abstractNumId w:val="32"/>
  </w:num>
  <w:num w:numId="35" w16cid:durableId="5144641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331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FFA"/>
    <w:rsid w:val="00000995"/>
    <w:rsid w:val="00000B92"/>
    <w:rsid w:val="00000D1D"/>
    <w:rsid w:val="00001363"/>
    <w:rsid w:val="00001A6E"/>
    <w:rsid w:val="00001D01"/>
    <w:rsid w:val="00001E41"/>
    <w:rsid w:val="000021A4"/>
    <w:rsid w:val="00002480"/>
    <w:rsid w:val="00002CFD"/>
    <w:rsid w:val="00002D1F"/>
    <w:rsid w:val="000031FD"/>
    <w:rsid w:val="00003663"/>
    <w:rsid w:val="00003794"/>
    <w:rsid w:val="00004092"/>
    <w:rsid w:val="000049C4"/>
    <w:rsid w:val="00004A1A"/>
    <w:rsid w:val="00004A36"/>
    <w:rsid w:val="00004AC4"/>
    <w:rsid w:val="00005254"/>
    <w:rsid w:val="000058B1"/>
    <w:rsid w:val="00005A9A"/>
    <w:rsid w:val="00005C25"/>
    <w:rsid w:val="00005EA9"/>
    <w:rsid w:val="00006884"/>
    <w:rsid w:val="000069ED"/>
    <w:rsid w:val="00006F57"/>
    <w:rsid w:val="0000729D"/>
    <w:rsid w:val="000075AF"/>
    <w:rsid w:val="0000774E"/>
    <w:rsid w:val="00007B54"/>
    <w:rsid w:val="00007BA6"/>
    <w:rsid w:val="0001051A"/>
    <w:rsid w:val="00010817"/>
    <w:rsid w:val="00010949"/>
    <w:rsid w:val="000109C4"/>
    <w:rsid w:val="00010BBF"/>
    <w:rsid w:val="00010EB4"/>
    <w:rsid w:val="0001145B"/>
    <w:rsid w:val="00011568"/>
    <w:rsid w:val="0001162F"/>
    <w:rsid w:val="000116FC"/>
    <w:rsid w:val="00012180"/>
    <w:rsid w:val="000121D9"/>
    <w:rsid w:val="000122A6"/>
    <w:rsid w:val="000124FD"/>
    <w:rsid w:val="00012678"/>
    <w:rsid w:val="00012B8E"/>
    <w:rsid w:val="0001392C"/>
    <w:rsid w:val="00013EA2"/>
    <w:rsid w:val="00014015"/>
    <w:rsid w:val="000145F8"/>
    <w:rsid w:val="0001469C"/>
    <w:rsid w:val="00014AFA"/>
    <w:rsid w:val="00014C16"/>
    <w:rsid w:val="00015009"/>
    <w:rsid w:val="000150F6"/>
    <w:rsid w:val="00015151"/>
    <w:rsid w:val="0001525D"/>
    <w:rsid w:val="00015295"/>
    <w:rsid w:val="000156F5"/>
    <w:rsid w:val="00015DA7"/>
    <w:rsid w:val="0001622A"/>
    <w:rsid w:val="00016A31"/>
    <w:rsid w:val="00016F9F"/>
    <w:rsid w:val="00016FFB"/>
    <w:rsid w:val="00017421"/>
    <w:rsid w:val="00017BF1"/>
    <w:rsid w:val="00017D9A"/>
    <w:rsid w:val="00020723"/>
    <w:rsid w:val="0002077D"/>
    <w:rsid w:val="00020856"/>
    <w:rsid w:val="00020A7B"/>
    <w:rsid w:val="00020C86"/>
    <w:rsid w:val="00020DA3"/>
    <w:rsid w:val="00020E71"/>
    <w:rsid w:val="00020EC4"/>
    <w:rsid w:val="0002121F"/>
    <w:rsid w:val="000217FC"/>
    <w:rsid w:val="00021861"/>
    <w:rsid w:val="00021AFB"/>
    <w:rsid w:val="00021C9D"/>
    <w:rsid w:val="00021FDB"/>
    <w:rsid w:val="00022EE8"/>
    <w:rsid w:val="00023159"/>
    <w:rsid w:val="00023217"/>
    <w:rsid w:val="00023489"/>
    <w:rsid w:val="00023F08"/>
    <w:rsid w:val="000242EC"/>
    <w:rsid w:val="0002513F"/>
    <w:rsid w:val="00025180"/>
    <w:rsid w:val="00025440"/>
    <w:rsid w:val="00025B8F"/>
    <w:rsid w:val="00025C91"/>
    <w:rsid w:val="00026593"/>
    <w:rsid w:val="00026910"/>
    <w:rsid w:val="00026BB9"/>
    <w:rsid w:val="00026CDB"/>
    <w:rsid w:val="00026D59"/>
    <w:rsid w:val="000270FF"/>
    <w:rsid w:val="0002720A"/>
    <w:rsid w:val="00027377"/>
    <w:rsid w:val="00027A70"/>
    <w:rsid w:val="00027D2A"/>
    <w:rsid w:val="00027F66"/>
    <w:rsid w:val="000305F5"/>
    <w:rsid w:val="0003065C"/>
    <w:rsid w:val="00030F06"/>
    <w:rsid w:val="00031157"/>
    <w:rsid w:val="00031365"/>
    <w:rsid w:val="000314EE"/>
    <w:rsid w:val="00031990"/>
    <w:rsid w:val="00031AC9"/>
    <w:rsid w:val="00031EB0"/>
    <w:rsid w:val="000327B5"/>
    <w:rsid w:val="00033114"/>
    <w:rsid w:val="00033425"/>
    <w:rsid w:val="00033697"/>
    <w:rsid w:val="00033883"/>
    <w:rsid w:val="00033ED3"/>
    <w:rsid w:val="000341FA"/>
    <w:rsid w:val="0003427E"/>
    <w:rsid w:val="0003440E"/>
    <w:rsid w:val="00034DE9"/>
    <w:rsid w:val="00034FA2"/>
    <w:rsid w:val="000355D0"/>
    <w:rsid w:val="00035B6D"/>
    <w:rsid w:val="00035BB0"/>
    <w:rsid w:val="00035D43"/>
    <w:rsid w:val="00036400"/>
    <w:rsid w:val="0003694F"/>
    <w:rsid w:val="00036DDC"/>
    <w:rsid w:val="00036FBA"/>
    <w:rsid w:val="000370AB"/>
    <w:rsid w:val="000373DA"/>
    <w:rsid w:val="00037880"/>
    <w:rsid w:val="00037E49"/>
    <w:rsid w:val="00037F4A"/>
    <w:rsid w:val="00040164"/>
    <w:rsid w:val="0004070C"/>
    <w:rsid w:val="0004081E"/>
    <w:rsid w:val="00041549"/>
    <w:rsid w:val="00041C18"/>
    <w:rsid w:val="000426C7"/>
    <w:rsid w:val="000427A3"/>
    <w:rsid w:val="000435F0"/>
    <w:rsid w:val="00043687"/>
    <w:rsid w:val="000438F6"/>
    <w:rsid w:val="00043ABD"/>
    <w:rsid w:val="00043DDC"/>
    <w:rsid w:val="000441FA"/>
    <w:rsid w:val="00044514"/>
    <w:rsid w:val="000445C1"/>
    <w:rsid w:val="00044760"/>
    <w:rsid w:val="00044892"/>
    <w:rsid w:val="000448A1"/>
    <w:rsid w:val="0004493F"/>
    <w:rsid w:val="000450A5"/>
    <w:rsid w:val="000450F5"/>
    <w:rsid w:val="0004519E"/>
    <w:rsid w:val="000451AD"/>
    <w:rsid w:val="000454C4"/>
    <w:rsid w:val="00046132"/>
    <w:rsid w:val="000465E6"/>
    <w:rsid w:val="00046B7D"/>
    <w:rsid w:val="00046E6F"/>
    <w:rsid w:val="000470FF"/>
    <w:rsid w:val="000471FF"/>
    <w:rsid w:val="000475A0"/>
    <w:rsid w:val="00047A00"/>
    <w:rsid w:val="00047A29"/>
    <w:rsid w:val="00047EEA"/>
    <w:rsid w:val="000502E9"/>
    <w:rsid w:val="00050663"/>
    <w:rsid w:val="000507A3"/>
    <w:rsid w:val="00050AD8"/>
    <w:rsid w:val="000511F8"/>
    <w:rsid w:val="00051243"/>
    <w:rsid w:val="000514B0"/>
    <w:rsid w:val="000516B6"/>
    <w:rsid w:val="00051B3C"/>
    <w:rsid w:val="00051BB6"/>
    <w:rsid w:val="00051FCC"/>
    <w:rsid w:val="0005213C"/>
    <w:rsid w:val="00052625"/>
    <w:rsid w:val="00052644"/>
    <w:rsid w:val="0005283B"/>
    <w:rsid w:val="00052F12"/>
    <w:rsid w:val="00052FF2"/>
    <w:rsid w:val="00053065"/>
    <w:rsid w:val="000533C6"/>
    <w:rsid w:val="00053675"/>
    <w:rsid w:val="00053D83"/>
    <w:rsid w:val="00053D88"/>
    <w:rsid w:val="00053E50"/>
    <w:rsid w:val="00053F48"/>
    <w:rsid w:val="0005440B"/>
    <w:rsid w:val="00054919"/>
    <w:rsid w:val="00054E3C"/>
    <w:rsid w:val="00054E6C"/>
    <w:rsid w:val="00055090"/>
    <w:rsid w:val="000551F7"/>
    <w:rsid w:val="0005532F"/>
    <w:rsid w:val="0005533B"/>
    <w:rsid w:val="0005568B"/>
    <w:rsid w:val="000561D3"/>
    <w:rsid w:val="00056350"/>
    <w:rsid w:val="000566AB"/>
    <w:rsid w:val="0005670D"/>
    <w:rsid w:val="00056945"/>
    <w:rsid w:val="00056D8D"/>
    <w:rsid w:val="00056EC2"/>
    <w:rsid w:val="00056F11"/>
    <w:rsid w:val="000573D5"/>
    <w:rsid w:val="0005777A"/>
    <w:rsid w:val="0005778A"/>
    <w:rsid w:val="00057962"/>
    <w:rsid w:val="00057F79"/>
    <w:rsid w:val="0006005B"/>
    <w:rsid w:val="00060115"/>
    <w:rsid w:val="000601E1"/>
    <w:rsid w:val="000602DA"/>
    <w:rsid w:val="000603A2"/>
    <w:rsid w:val="00061558"/>
    <w:rsid w:val="0006155E"/>
    <w:rsid w:val="0006187B"/>
    <w:rsid w:val="00061A74"/>
    <w:rsid w:val="00062EAD"/>
    <w:rsid w:val="000632C5"/>
    <w:rsid w:val="0006363A"/>
    <w:rsid w:val="00063C4F"/>
    <w:rsid w:val="00063D5D"/>
    <w:rsid w:val="00063E5D"/>
    <w:rsid w:val="00063F50"/>
    <w:rsid w:val="00063F63"/>
    <w:rsid w:val="000644B8"/>
    <w:rsid w:val="000648A3"/>
    <w:rsid w:val="00064935"/>
    <w:rsid w:val="0006494C"/>
    <w:rsid w:val="0006528A"/>
    <w:rsid w:val="00065769"/>
    <w:rsid w:val="00065AA6"/>
    <w:rsid w:val="00066081"/>
    <w:rsid w:val="0006646F"/>
    <w:rsid w:val="000664AC"/>
    <w:rsid w:val="000666AC"/>
    <w:rsid w:val="00067517"/>
    <w:rsid w:val="0006774F"/>
    <w:rsid w:val="00067BBC"/>
    <w:rsid w:val="00070324"/>
    <w:rsid w:val="000703D1"/>
    <w:rsid w:val="000704B0"/>
    <w:rsid w:val="000708C8"/>
    <w:rsid w:val="00070C4C"/>
    <w:rsid w:val="0007197C"/>
    <w:rsid w:val="000729D4"/>
    <w:rsid w:val="000737DA"/>
    <w:rsid w:val="0007391E"/>
    <w:rsid w:val="000741B6"/>
    <w:rsid w:val="000741C5"/>
    <w:rsid w:val="00074231"/>
    <w:rsid w:val="00074250"/>
    <w:rsid w:val="000746F3"/>
    <w:rsid w:val="000749A4"/>
    <w:rsid w:val="00075630"/>
    <w:rsid w:val="0007571F"/>
    <w:rsid w:val="00076185"/>
    <w:rsid w:val="0007655A"/>
    <w:rsid w:val="0007670A"/>
    <w:rsid w:val="00076F9A"/>
    <w:rsid w:val="000771A3"/>
    <w:rsid w:val="00077255"/>
    <w:rsid w:val="000772D8"/>
    <w:rsid w:val="000777EE"/>
    <w:rsid w:val="000779CC"/>
    <w:rsid w:val="00077E23"/>
    <w:rsid w:val="000801BE"/>
    <w:rsid w:val="0008068B"/>
    <w:rsid w:val="0008083F"/>
    <w:rsid w:val="000808AE"/>
    <w:rsid w:val="00080BC6"/>
    <w:rsid w:val="00080C94"/>
    <w:rsid w:val="0008118F"/>
    <w:rsid w:val="000812DC"/>
    <w:rsid w:val="00081303"/>
    <w:rsid w:val="000817ED"/>
    <w:rsid w:val="00082964"/>
    <w:rsid w:val="00082A11"/>
    <w:rsid w:val="00083AA6"/>
    <w:rsid w:val="00083B0B"/>
    <w:rsid w:val="00083B7F"/>
    <w:rsid w:val="00084239"/>
    <w:rsid w:val="00084517"/>
    <w:rsid w:val="00084F36"/>
    <w:rsid w:val="00084F51"/>
    <w:rsid w:val="00085253"/>
    <w:rsid w:val="0008553D"/>
    <w:rsid w:val="00085F21"/>
    <w:rsid w:val="000862B6"/>
    <w:rsid w:val="00086300"/>
    <w:rsid w:val="0008641C"/>
    <w:rsid w:val="000869D3"/>
    <w:rsid w:val="00086A02"/>
    <w:rsid w:val="00086B5B"/>
    <w:rsid w:val="00087086"/>
    <w:rsid w:val="00087492"/>
    <w:rsid w:val="00087BA4"/>
    <w:rsid w:val="00087EF8"/>
    <w:rsid w:val="00090279"/>
    <w:rsid w:val="00090534"/>
    <w:rsid w:val="00090572"/>
    <w:rsid w:val="0009073A"/>
    <w:rsid w:val="000908D2"/>
    <w:rsid w:val="00090B1C"/>
    <w:rsid w:val="00090B69"/>
    <w:rsid w:val="00090FC2"/>
    <w:rsid w:val="00091201"/>
    <w:rsid w:val="000914E7"/>
    <w:rsid w:val="00091B35"/>
    <w:rsid w:val="00091CBC"/>
    <w:rsid w:val="000927F1"/>
    <w:rsid w:val="000927FB"/>
    <w:rsid w:val="0009335E"/>
    <w:rsid w:val="0009352B"/>
    <w:rsid w:val="00093988"/>
    <w:rsid w:val="00093BA3"/>
    <w:rsid w:val="00094226"/>
    <w:rsid w:val="000942B1"/>
    <w:rsid w:val="0009444B"/>
    <w:rsid w:val="00094988"/>
    <w:rsid w:val="000949C3"/>
    <w:rsid w:val="00094A0E"/>
    <w:rsid w:val="00095DFF"/>
    <w:rsid w:val="00096020"/>
    <w:rsid w:val="00096186"/>
    <w:rsid w:val="00096243"/>
    <w:rsid w:val="0009638D"/>
    <w:rsid w:val="00096662"/>
    <w:rsid w:val="00096804"/>
    <w:rsid w:val="00096B7F"/>
    <w:rsid w:val="00097120"/>
    <w:rsid w:val="0009719F"/>
    <w:rsid w:val="000977CB"/>
    <w:rsid w:val="0009787A"/>
    <w:rsid w:val="00097887"/>
    <w:rsid w:val="00097FF9"/>
    <w:rsid w:val="000A003D"/>
    <w:rsid w:val="000A0215"/>
    <w:rsid w:val="000A0559"/>
    <w:rsid w:val="000A05D0"/>
    <w:rsid w:val="000A0DF8"/>
    <w:rsid w:val="000A0F49"/>
    <w:rsid w:val="000A13D5"/>
    <w:rsid w:val="000A14DB"/>
    <w:rsid w:val="000A19A7"/>
    <w:rsid w:val="000A1C52"/>
    <w:rsid w:val="000A1D23"/>
    <w:rsid w:val="000A2087"/>
    <w:rsid w:val="000A23B6"/>
    <w:rsid w:val="000A25ED"/>
    <w:rsid w:val="000A2A47"/>
    <w:rsid w:val="000A3160"/>
    <w:rsid w:val="000A3B87"/>
    <w:rsid w:val="000A3D61"/>
    <w:rsid w:val="000A3DDB"/>
    <w:rsid w:val="000A4186"/>
    <w:rsid w:val="000A4518"/>
    <w:rsid w:val="000A53C4"/>
    <w:rsid w:val="000A5832"/>
    <w:rsid w:val="000A5FB7"/>
    <w:rsid w:val="000A6588"/>
    <w:rsid w:val="000A6A37"/>
    <w:rsid w:val="000A70A1"/>
    <w:rsid w:val="000A7881"/>
    <w:rsid w:val="000A7EF7"/>
    <w:rsid w:val="000A7FB5"/>
    <w:rsid w:val="000B00E8"/>
    <w:rsid w:val="000B0385"/>
    <w:rsid w:val="000B0D9A"/>
    <w:rsid w:val="000B1130"/>
    <w:rsid w:val="000B16F2"/>
    <w:rsid w:val="000B1F41"/>
    <w:rsid w:val="000B1F84"/>
    <w:rsid w:val="000B2147"/>
    <w:rsid w:val="000B22B9"/>
    <w:rsid w:val="000B2458"/>
    <w:rsid w:val="000B2629"/>
    <w:rsid w:val="000B2AEA"/>
    <w:rsid w:val="000B2DA5"/>
    <w:rsid w:val="000B36EB"/>
    <w:rsid w:val="000B3832"/>
    <w:rsid w:val="000B3B7D"/>
    <w:rsid w:val="000B3C9D"/>
    <w:rsid w:val="000B3F81"/>
    <w:rsid w:val="000B4012"/>
    <w:rsid w:val="000B420E"/>
    <w:rsid w:val="000B4311"/>
    <w:rsid w:val="000B44EB"/>
    <w:rsid w:val="000B485E"/>
    <w:rsid w:val="000B4A7B"/>
    <w:rsid w:val="000B4C77"/>
    <w:rsid w:val="000B4D64"/>
    <w:rsid w:val="000B4FCE"/>
    <w:rsid w:val="000B5065"/>
    <w:rsid w:val="000B5571"/>
    <w:rsid w:val="000B574B"/>
    <w:rsid w:val="000B590E"/>
    <w:rsid w:val="000B5D99"/>
    <w:rsid w:val="000B65A6"/>
    <w:rsid w:val="000B6691"/>
    <w:rsid w:val="000B6AD3"/>
    <w:rsid w:val="000B6C75"/>
    <w:rsid w:val="000B7FAB"/>
    <w:rsid w:val="000C00BD"/>
    <w:rsid w:val="000C0A64"/>
    <w:rsid w:val="000C13DC"/>
    <w:rsid w:val="000C13FA"/>
    <w:rsid w:val="000C1400"/>
    <w:rsid w:val="000C1A3C"/>
    <w:rsid w:val="000C1BC4"/>
    <w:rsid w:val="000C24D9"/>
    <w:rsid w:val="000C272E"/>
    <w:rsid w:val="000C2895"/>
    <w:rsid w:val="000C38B9"/>
    <w:rsid w:val="000C3A68"/>
    <w:rsid w:val="000C3C84"/>
    <w:rsid w:val="000C3DB9"/>
    <w:rsid w:val="000C4087"/>
    <w:rsid w:val="000C4493"/>
    <w:rsid w:val="000C4E57"/>
    <w:rsid w:val="000C4FC2"/>
    <w:rsid w:val="000C5022"/>
    <w:rsid w:val="000C5150"/>
    <w:rsid w:val="000C5325"/>
    <w:rsid w:val="000C59C0"/>
    <w:rsid w:val="000C5AB2"/>
    <w:rsid w:val="000C5D72"/>
    <w:rsid w:val="000C5DA6"/>
    <w:rsid w:val="000C6050"/>
    <w:rsid w:val="000C6310"/>
    <w:rsid w:val="000C6339"/>
    <w:rsid w:val="000C66D5"/>
    <w:rsid w:val="000C6962"/>
    <w:rsid w:val="000C7447"/>
    <w:rsid w:val="000C764F"/>
    <w:rsid w:val="000C79C4"/>
    <w:rsid w:val="000C7DD7"/>
    <w:rsid w:val="000C7FEB"/>
    <w:rsid w:val="000D0B91"/>
    <w:rsid w:val="000D15ED"/>
    <w:rsid w:val="000D1FE3"/>
    <w:rsid w:val="000D2D51"/>
    <w:rsid w:val="000D38B1"/>
    <w:rsid w:val="000D3A46"/>
    <w:rsid w:val="000D3CA5"/>
    <w:rsid w:val="000D3D40"/>
    <w:rsid w:val="000D3D5B"/>
    <w:rsid w:val="000D3D85"/>
    <w:rsid w:val="000D40C6"/>
    <w:rsid w:val="000D45B0"/>
    <w:rsid w:val="000D54F8"/>
    <w:rsid w:val="000D5584"/>
    <w:rsid w:val="000D5C3C"/>
    <w:rsid w:val="000D5C86"/>
    <w:rsid w:val="000D5F30"/>
    <w:rsid w:val="000D5F3B"/>
    <w:rsid w:val="000D613E"/>
    <w:rsid w:val="000D624D"/>
    <w:rsid w:val="000D62C8"/>
    <w:rsid w:val="000D6584"/>
    <w:rsid w:val="000D65B8"/>
    <w:rsid w:val="000D681A"/>
    <w:rsid w:val="000D6887"/>
    <w:rsid w:val="000D6A65"/>
    <w:rsid w:val="000D6B88"/>
    <w:rsid w:val="000D6FD9"/>
    <w:rsid w:val="000D7C14"/>
    <w:rsid w:val="000D7DA9"/>
    <w:rsid w:val="000E0277"/>
    <w:rsid w:val="000E05E1"/>
    <w:rsid w:val="000E0635"/>
    <w:rsid w:val="000E069A"/>
    <w:rsid w:val="000E086D"/>
    <w:rsid w:val="000E093A"/>
    <w:rsid w:val="000E1791"/>
    <w:rsid w:val="000E1895"/>
    <w:rsid w:val="000E1A9E"/>
    <w:rsid w:val="000E1B9A"/>
    <w:rsid w:val="000E1F3C"/>
    <w:rsid w:val="000E2065"/>
    <w:rsid w:val="000E2472"/>
    <w:rsid w:val="000E24EB"/>
    <w:rsid w:val="000E2EB1"/>
    <w:rsid w:val="000E2F08"/>
    <w:rsid w:val="000E3149"/>
    <w:rsid w:val="000E316A"/>
    <w:rsid w:val="000E3534"/>
    <w:rsid w:val="000E388A"/>
    <w:rsid w:val="000E40EB"/>
    <w:rsid w:val="000E4817"/>
    <w:rsid w:val="000E5376"/>
    <w:rsid w:val="000E5BC6"/>
    <w:rsid w:val="000E60F7"/>
    <w:rsid w:val="000E6374"/>
    <w:rsid w:val="000E6DBE"/>
    <w:rsid w:val="000E72FB"/>
    <w:rsid w:val="000E7646"/>
    <w:rsid w:val="000E7714"/>
    <w:rsid w:val="000E7BF4"/>
    <w:rsid w:val="000F0BB8"/>
    <w:rsid w:val="000F1025"/>
    <w:rsid w:val="000F123C"/>
    <w:rsid w:val="000F1735"/>
    <w:rsid w:val="000F1810"/>
    <w:rsid w:val="000F1DAB"/>
    <w:rsid w:val="000F1F0C"/>
    <w:rsid w:val="000F1FB3"/>
    <w:rsid w:val="000F2252"/>
    <w:rsid w:val="000F2848"/>
    <w:rsid w:val="000F28A2"/>
    <w:rsid w:val="000F2D90"/>
    <w:rsid w:val="000F2F7B"/>
    <w:rsid w:val="000F3988"/>
    <w:rsid w:val="000F4633"/>
    <w:rsid w:val="000F49C9"/>
    <w:rsid w:val="000F50F5"/>
    <w:rsid w:val="000F53D9"/>
    <w:rsid w:val="000F55DF"/>
    <w:rsid w:val="000F572C"/>
    <w:rsid w:val="000F5861"/>
    <w:rsid w:val="000F598A"/>
    <w:rsid w:val="000F5D96"/>
    <w:rsid w:val="000F5E52"/>
    <w:rsid w:val="000F5FD0"/>
    <w:rsid w:val="000F5FEB"/>
    <w:rsid w:val="000F6001"/>
    <w:rsid w:val="000F6C6C"/>
    <w:rsid w:val="000F7755"/>
    <w:rsid w:val="000F7B5D"/>
    <w:rsid w:val="000F7EB0"/>
    <w:rsid w:val="00100421"/>
    <w:rsid w:val="00100473"/>
    <w:rsid w:val="0010088B"/>
    <w:rsid w:val="001009A1"/>
    <w:rsid w:val="00100EA0"/>
    <w:rsid w:val="001011C8"/>
    <w:rsid w:val="001013B4"/>
    <w:rsid w:val="0010159B"/>
    <w:rsid w:val="00101C22"/>
    <w:rsid w:val="001023CC"/>
    <w:rsid w:val="001024A9"/>
    <w:rsid w:val="0010279A"/>
    <w:rsid w:val="00102BC9"/>
    <w:rsid w:val="00103170"/>
    <w:rsid w:val="0010326C"/>
    <w:rsid w:val="0010351B"/>
    <w:rsid w:val="001038C6"/>
    <w:rsid w:val="00104E2F"/>
    <w:rsid w:val="00105303"/>
    <w:rsid w:val="00105358"/>
    <w:rsid w:val="00105B94"/>
    <w:rsid w:val="00105C7F"/>
    <w:rsid w:val="00105DC3"/>
    <w:rsid w:val="00105E39"/>
    <w:rsid w:val="00105E40"/>
    <w:rsid w:val="001060A0"/>
    <w:rsid w:val="00106892"/>
    <w:rsid w:val="00106E4A"/>
    <w:rsid w:val="00106EB2"/>
    <w:rsid w:val="0010702A"/>
    <w:rsid w:val="00107486"/>
    <w:rsid w:val="00107CAD"/>
    <w:rsid w:val="001100F7"/>
    <w:rsid w:val="001102B0"/>
    <w:rsid w:val="001106EB"/>
    <w:rsid w:val="00110F24"/>
    <w:rsid w:val="001115F0"/>
    <w:rsid w:val="001117F2"/>
    <w:rsid w:val="001122DC"/>
    <w:rsid w:val="0011258A"/>
    <w:rsid w:val="0011266B"/>
    <w:rsid w:val="00112709"/>
    <w:rsid w:val="00112B77"/>
    <w:rsid w:val="0011319B"/>
    <w:rsid w:val="001134A9"/>
    <w:rsid w:val="001136E9"/>
    <w:rsid w:val="00113A7A"/>
    <w:rsid w:val="00115001"/>
    <w:rsid w:val="00115976"/>
    <w:rsid w:val="00115A48"/>
    <w:rsid w:val="00115BF7"/>
    <w:rsid w:val="00115E45"/>
    <w:rsid w:val="00116329"/>
    <w:rsid w:val="00116AA2"/>
    <w:rsid w:val="00116BB9"/>
    <w:rsid w:val="00116C26"/>
    <w:rsid w:val="00116DAD"/>
    <w:rsid w:val="00117026"/>
    <w:rsid w:val="001179BD"/>
    <w:rsid w:val="00117B02"/>
    <w:rsid w:val="00117CAE"/>
    <w:rsid w:val="00117D26"/>
    <w:rsid w:val="001203D5"/>
    <w:rsid w:val="00120F5D"/>
    <w:rsid w:val="00121037"/>
    <w:rsid w:val="001212BD"/>
    <w:rsid w:val="00121833"/>
    <w:rsid w:val="0012202C"/>
    <w:rsid w:val="001220CA"/>
    <w:rsid w:val="001224DD"/>
    <w:rsid w:val="0012269A"/>
    <w:rsid w:val="00122789"/>
    <w:rsid w:val="001229DA"/>
    <w:rsid w:val="00122A63"/>
    <w:rsid w:val="00123065"/>
    <w:rsid w:val="001232A4"/>
    <w:rsid w:val="00123364"/>
    <w:rsid w:val="001233DC"/>
    <w:rsid w:val="0012352F"/>
    <w:rsid w:val="00123CFC"/>
    <w:rsid w:val="00123D7F"/>
    <w:rsid w:val="00123DC0"/>
    <w:rsid w:val="00123F60"/>
    <w:rsid w:val="00124230"/>
    <w:rsid w:val="001245DF"/>
    <w:rsid w:val="00124A77"/>
    <w:rsid w:val="00124B2B"/>
    <w:rsid w:val="00124F78"/>
    <w:rsid w:val="0012555C"/>
    <w:rsid w:val="00125567"/>
    <w:rsid w:val="0012624B"/>
    <w:rsid w:val="001265A4"/>
    <w:rsid w:val="001268B7"/>
    <w:rsid w:val="00126F5E"/>
    <w:rsid w:val="00127F7C"/>
    <w:rsid w:val="00127FB2"/>
    <w:rsid w:val="00130016"/>
    <w:rsid w:val="00130C2F"/>
    <w:rsid w:val="00131282"/>
    <w:rsid w:val="001314DD"/>
    <w:rsid w:val="00131778"/>
    <w:rsid w:val="001318B9"/>
    <w:rsid w:val="00131CD9"/>
    <w:rsid w:val="00131EA7"/>
    <w:rsid w:val="0013224A"/>
    <w:rsid w:val="00132548"/>
    <w:rsid w:val="00132752"/>
    <w:rsid w:val="00132A96"/>
    <w:rsid w:val="00133050"/>
    <w:rsid w:val="0013306D"/>
    <w:rsid w:val="0013318E"/>
    <w:rsid w:val="001331DD"/>
    <w:rsid w:val="00133DF7"/>
    <w:rsid w:val="0013421A"/>
    <w:rsid w:val="0013472B"/>
    <w:rsid w:val="00134D61"/>
    <w:rsid w:val="0013542D"/>
    <w:rsid w:val="00135556"/>
    <w:rsid w:val="00135B41"/>
    <w:rsid w:val="00135D94"/>
    <w:rsid w:val="00136EAF"/>
    <w:rsid w:val="00136EB4"/>
    <w:rsid w:val="001373A3"/>
    <w:rsid w:val="00137897"/>
    <w:rsid w:val="00137BE8"/>
    <w:rsid w:val="00137C56"/>
    <w:rsid w:val="0014057A"/>
    <w:rsid w:val="00140A84"/>
    <w:rsid w:val="00140C62"/>
    <w:rsid w:val="00140C6F"/>
    <w:rsid w:val="00140C91"/>
    <w:rsid w:val="00140F31"/>
    <w:rsid w:val="00140FC0"/>
    <w:rsid w:val="0014125F"/>
    <w:rsid w:val="00141374"/>
    <w:rsid w:val="001414E0"/>
    <w:rsid w:val="001419FE"/>
    <w:rsid w:val="00141BC0"/>
    <w:rsid w:val="0014202F"/>
    <w:rsid w:val="00142528"/>
    <w:rsid w:val="00143DF5"/>
    <w:rsid w:val="00143FC2"/>
    <w:rsid w:val="001440A5"/>
    <w:rsid w:val="00144346"/>
    <w:rsid w:val="001447F6"/>
    <w:rsid w:val="00144871"/>
    <w:rsid w:val="00144BCC"/>
    <w:rsid w:val="0014512A"/>
    <w:rsid w:val="00145683"/>
    <w:rsid w:val="00145704"/>
    <w:rsid w:val="00145C53"/>
    <w:rsid w:val="00145CC5"/>
    <w:rsid w:val="00146137"/>
    <w:rsid w:val="0014638F"/>
    <w:rsid w:val="00146BD1"/>
    <w:rsid w:val="00146CA5"/>
    <w:rsid w:val="00147018"/>
    <w:rsid w:val="00147330"/>
    <w:rsid w:val="0014763D"/>
    <w:rsid w:val="00147716"/>
    <w:rsid w:val="00147875"/>
    <w:rsid w:val="001478B6"/>
    <w:rsid w:val="00147DB6"/>
    <w:rsid w:val="00150130"/>
    <w:rsid w:val="0015061C"/>
    <w:rsid w:val="001507B8"/>
    <w:rsid w:val="00150938"/>
    <w:rsid w:val="00150FAB"/>
    <w:rsid w:val="00151208"/>
    <w:rsid w:val="001514E6"/>
    <w:rsid w:val="00151808"/>
    <w:rsid w:val="00152150"/>
    <w:rsid w:val="0015238C"/>
    <w:rsid w:val="001523D1"/>
    <w:rsid w:val="001525C7"/>
    <w:rsid w:val="0015293F"/>
    <w:rsid w:val="00152987"/>
    <w:rsid w:val="00152F10"/>
    <w:rsid w:val="00153019"/>
    <w:rsid w:val="001530B6"/>
    <w:rsid w:val="0015315D"/>
    <w:rsid w:val="0015324F"/>
    <w:rsid w:val="0015332B"/>
    <w:rsid w:val="00153372"/>
    <w:rsid w:val="001538CD"/>
    <w:rsid w:val="00153941"/>
    <w:rsid w:val="00153997"/>
    <w:rsid w:val="00153CC1"/>
    <w:rsid w:val="001545A4"/>
    <w:rsid w:val="001547EB"/>
    <w:rsid w:val="001549BE"/>
    <w:rsid w:val="00154D8F"/>
    <w:rsid w:val="0015563A"/>
    <w:rsid w:val="00155D1F"/>
    <w:rsid w:val="00155EBE"/>
    <w:rsid w:val="00155FFB"/>
    <w:rsid w:val="001563BF"/>
    <w:rsid w:val="00156589"/>
    <w:rsid w:val="00156C1A"/>
    <w:rsid w:val="001570F5"/>
    <w:rsid w:val="00157255"/>
    <w:rsid w:val="00160120"/>
    <w:rsid w:val="001604A8"/>
    <w:rsid w:val="001605A4"/>
    <w:rsid w:val="00160772"/>
    <w:rsid w:val="00160EAB"/>
    <w:rsid w:val="00161167"/>
    <w:rsid w:val="001614B9"/>
    <w:rsid w:val="001614E9"/>
    <w:rsid w:val="001615A5"/>
    <w:rsid w:val="00161F95"/>
    <w:rsid w:val="0016216C"/>
    <w:rsid w:val="00162590"/>
    <w:rsid w:val="00162A7C"/>
    <w:rsid w:val="00162F8E"/>
    <w:rsid w:val="0016319C"/>
    <w:rsid w:val="0016327E"/>
    <w:rsid w:val="00163315"/>
    <w:rsid w:val="00163316"/>
    <w:rsid w:val="001634E8"/>
    <w:rsid w:val="0016381F"/>
    <w:rsid w:val="001639E2"/>
    <w:rsid w:val="00163AA4"/>
    <w:rsid w:val="00163AB8"/>
    <w:rsid w:val="00163F8A"/>
    <w:rsid w:val="001641E6"/>
    <w:rsid w:val="00165021"/>
    <w:rsid w:val="0016642F"/>
    <w:rsid w:val="00166488"/>
    <w:rsid w:val="00166A02"/>
    <w:rsid w:val="001675D8"/>
    <w:rsid w:val="00167AE3"/>
    <w:rsid w:val="00167C36"/>
    <w:rsid w:val="001701AF"/>
    <w:rsid w:val="0017050D"/>
    <w:rsid w:val="0017068C"/>
    <w:rsid w:val="00171430"/>
    <w:rsid w:val="00171F86"/>
    <w:rsid w:val="00172E17"/>
    <w:rsid w:val="00173367"/>
    <w:rsid w:val="001734A3"/>
    <w:rsid w:val="001738C7"/>
    <w:rsid w:val="001738FB"/>
    <w:rsid w:val="0017390D"/>
    <w:rsid w:val="00173BE7"/>
    <w:rsid w:val="0017405D"/>
    <w:rsid w:val="0017417F"/>
    <w:rsid w:val="00174367"/>
    <w:rsid w:val="00174412"/>
    <w:rsid w:val="00174549"/>
    <w:rsid w:val="0017484A"/>
    <w:rsid w:val="0017497A"/>
    <w:rsid w:val="00174C1E"/>
    <w:rsid w:val="00174C75"/>
    <w:rsid w:val="00174E3B"/>
    <w:rsid w:val="00175230"/>
    <w:rsid w:val="00175350"/>
    <w:rsid w:val="00175B4D"/>
    <w:rsid w:val="001760CE"/>
    <w:rsid w:val="001761A4"/>
    <w:rsid w:val="001765AE"/>
    <w:rsid w:val="001768A6"/>
    <w:rsid w:val="0017718A"/>
    <w:rsid w:val="00177488"/>
    <w:rsid w:val="00177C75"/>
    <w:rsid w:val="00180856"/>
    <w:rsid w:val="00180C72"/>
    <w:rsid w:val="00180E48"/>
    <w:rsid w:val="00180F41"/>
    <w:rsid w:val="00181D08"/>
    <w:rsid w:val="00181F17"/>
    <w:rsid w:val="0018236C"/>
    <w:rsid w:val="00182962"/>
    <w:rsid w:val="001829C4"/>
    <w:rsid w:val="00182C60"/>
    <w:rsid w:val="00182F34"/>
    <w:rsid w:val="001831A4"/>
    <w:rsid w:val="00183301"/>
    <w:rsid w:val="00183BD6"/>
    <w:rsid w:val="00184217"/>
    <w:rsid w:val="001842F1"/>
    <w:rsid w:val="00184542"/>
    <w:rsid w:val="001845D8"/>
    <w:rsid w:val="001849D7"/>
    <w:rsid w:val="001849EE"/>
    <w:rsid w:val="00184AC4"/>
    <w:rsid w:val="0018508F"/>
    <w:rsid w:val="00185340"/>
    <w:rsid w:val="00185A75"/>
    <w:rsid w:val="00185AEA"/>
    <w:rsid w:val="00186102"/>
    <w:rsid w:val="001863E0"/>
    <w:rsid w:val="001870FB"/>
    <w:rsid w:val="001878B1"/>
    <w:rsid w:val="001878CE"/>
    <w:rsid w:val="0018796E"/>
    <w:rsid w:val="00187FAE"/>
    <w:rsid w:val="0019052B"/>
    <w:rsid w:val="001909DF"/>
    <w:rsid w:val="00190D1F"/>
    <w:rsid w:val="00191E5F"/>
    <w:rsid w:val="001922B7"/>
    <w:rsid w:val="00192AB3"/>
    <w:rsid w:val="001930DE"/>
    <w:rsid w:val="00193150"/>
    <w:rsid w:val="001931BC"/>
    <w:rsid w:val="001932FE"/>
    <w:rsid w:val="0019381B"/>
    <w:rsid w:val="001938DE"/>
    <w:rsid w:val="00193CFE"/>
    <w:rsid w:val="00193D35"/>
    <w:rsid w:val="001942CE"/>
    <w:rsid w:val="0019432B"/>
    <w:rsid w:val="001948CE"/>
    <w:rsid w:val="00195120"/>
    <w:rsid w:val="0019565B"/>
    <w:rsid w:val="001956DE"/>
    <w:rsid w:val="00195747"/>
    <w:rsid w:val="00195924"/>
    <w:rsid w:val="00195D82"/>
    <w:rsid w:val="0019606F"/>
    <w:rsid w:val="00196888"/>
    <w:rsid w:val="00196BD7"/>
    <w:rsid w:val="00196CA7"/>
    <w:rsid w:val="001970BF"/>
    <w:rsid w:val="001971D0"/>
    <w:rsid w:val="001977BF"/>
    <w:rsid w:val="001978B3"/>
    <w:rsid w:val="00197C95"/>
    <w:rsid w:val="00197F7A"/>
    <w:rsid w:val="001A03A1"/>
    <w:rsid w:val="001A0422"/>
    <w:rsid w:val="001A050D"/>
    <w:rsid w:val="001A0616"/>
    <w:rsid w:val="001A06F3"/>
    <w:rsid w:val="001A07A9"/>
    <w:rsid w:val="001A0891"/>
    <w:rsid w:val="001A0A0D"/>
    <w:rsid w:val="001A0F79"/>
    <w:rsid w:val="001A1267"/>
    <w:rsid w:val="001A13F4"/>
    <w:rsid w:val="001A15DD"/>
    <w:rsid w:val="001A18B9"/>
    <w:rsid w:val="001A1A84"/>
    <w:rsid w:val="001A1A92"/>
    <w:rsid w:val="001A1C41"/>
    <w:rsid w:val="001A1E92"/>
    <w:rsid w:val="001A1ED9"/>
    <w:rsid w:val="001A1FAD"/>
    <w:rsid w:val="001A21F2"/>
    <w:rsid w:val="001A222B"/>
    <w:rsid w:val="001A2259"/>
    <w:rsid w:val="001A2484"/>
    <w:rsid w:val="001A2508"/>
    <w:rsid w:val="001A27A0"/>
    <w:rsid w:val="001A3006"/>
    <w:rsid w:val="001A3245"/>
    <w:rsid w:val="001A3572"/>
    <w:rsid w:val="001A37D7"/>
    <w:rsid w:val="001A3A62"/>
    <w:rsid w:val="001A4A32"/>
    <w:rsid w:val="001A4A68"/>
    <w:rsid w:val="001A582C"/>
    <w:rsid w:val="001A5A0A"/>
    <w:rsid w:val="001A5B81"/>
    <w:rsid w:val="001A60D2"/>
    <w:rsid w:val="001A61D1"/>
    <w:rsid w:val="001A66B9"/>
    <w:rsid w:val="001A6754"/>
    <w:rsid w:val="001A68C3"/>
    <w:rsid w:val="001A693A"/>
    <w:rsid w:val="001A6B76"/>
    <w:rsid w:val="001A6E81"/>
    <w:rsid w:val="001A7247"/>
    <w:rsid w:val="001A740A"/>
    <w:rsid w:val="001A7B3F"/>
    <w:rsid w:val="001A7FB7"/>
    <w:rsid w:val="001B042B"/>
    <w:rsid w:val="001B091C"/>
    <w:rsid w:val="001B0B8B"/>
    <w:rsid w:val="001B0DBD"/>
    <w:rsid w:val="001B1088"/>
    <w:rsid w:val="001B11CD"/>
    <w:rsid w:val="001B1433"/>
    <w:rsid w:val="001B17C3"/>
    <w:rsid w:val="001B18D0"/>
    <w:rsid w:val="001B18E2"/>
    <w:rsid w:val="001B19E1"/>
    <w:rsid w:val="001B1AEB"/>
    <w:rsid w:val="001B1BCC"/>
    <w:rsid w:val="001B23ED"/>
    <w:rsid w:val="001B2795"/>
    <w:rsid w:val="001B27C1"/>
    <w:rsid w:val="001B2836"/>
    <w:rsid w:val="001B2CEF"/>
    <w:rsid w:val="001B4435"/>
    <w:rsid w:val="001B4508"/>
    <w:rsid w:val="001B4535"/>
    <w:rsid w:val="001B459A"/>
    <w:rsid w:val="001B48B4"/>
    <w:rsid w:val="001B4ADB"/>
    <w:rsid w:val="001B4DBB"/>
    <w:rsid w:val="001B4F9F"/>
    <w:rsid w:val="001B5239"/>
    <w:rsid w:val="001B52F0"/>
    <w:rsid w:val="001B54DE"/>
    <w:rsid w:val="001B5586"/>
    <w:rsid w:val="001B5845"/>
    <w:rsid w:val="001B5FEC"/>
    <w:rsid w:val="001B638A"/>
    <w:rsid w:val="001B6A20"/>
    <w:rsid w:val="001B6A93"/>
    <w:rsid w:val="001B6BC9"/>
    <w:rsid w:val="001B6CD1"/>
    <w:rsid w:val="001B72DE"/>
    <w:rsid w:val="001B74FD"/>
    <w:rsid w:val="001C02F9"/>
    <w:rsid w:val="001C0512"/>
    <w:rsid w:val="001C19B2"/>
    <w:rsid w:val="001C19F8"/>
    <w:rsid w:val="001C1BAA"/>
    <w:rsid w:val="001C1C13"/>
    <w:rsid w:val="001C2133"/>
    <w:rsid w:val="001C2168"/>
    <w:rsid w:val="001C2479"/>
    <w:rsid w:val="001C2873"/>
    <w:rsid w:val="001C2AFA"/>
    <w:rsid w:val="001C3078"/>
    <w:rsid w:val="001C3424"/>
    <w:rsid w:val="001C36F0"/>
    <w:rsid w:val="001C3B17"/>
    <w:rsid w:val="001C3D99"/>
    <w:rsid w:val="001C4102"/>
    <w:rsid w:val="001C49B7"/>
    <w:rsid w:val="001C4DB5"/>
    <w:rsid w:val="001C5596"/>
    <w:rsid w:val="001C5BB7"/>
    <w:rsid w:val="001C5C13"/>
    <w:rsid w:val="001C5E0A"/>
    <w:rsid w:val="001C5FDA"/>
    <w:rsid w:val="001C681F"/>
    <w:rsid w:val="001C6851"/>
    <w:rsid w:val="001C6E29"/>
    <w:rsid w:val="001C7024"/>
    <w:rsid w:val="001C7666"/>
    <w:rsid w:val="001C766E"/>
    <w:rsid w:val="001C77B8"/>
    <w:rsid w:val="001C77F3"/>
    <w:rsid w:val="001C7D4C"/>
    <w:rsid w:val="001D003C"/>
    <w:rsid w:val="001D066A"/>
    <w:rsid w:val="001D098E"/>
    <w:rsid w:val="001D0AE4"/>
    <w:rsid w:val="001D0BCB"/>
    <w:rsid w:val="001D11B2"/>
    <w:rsid w:val="001D143C"/>
    <w:rsid w:val="001D14BC"/>
    <w:rsid w:val="001D1FCB"/>
    <w:rsid w:val="001D21E3"/>
    <w:rsid w:val="001D223F"/>
    <w:rsid w:val="001D266B"/>
    <w:rsid w:val="001D2A95"/>
    <w:rsid w:val="001D3C85"/>
    <w:rsid w:val="001D428D"/>
    <w:rsid w:val="001D441D"/>
    <w:rsid w:val="001D4820"/>
    <w:rsid w:val="001D50EA"/>
    <w:rsid w:val="001D51A8"/>
    <w:rsid w:val="001D5880"/>
    <w:rsid w:val="001D5948"/>
    <w:rsid w:val="001D5A70"/>
    <w:rsid w:val="001D5DFC"/>
    <w:rsid w:val="001D60CC"/>
    <w:rsid w:val="001D65A2"/>
    <w:rsid w:val="001D7046"/>
    <w:rsid w:val="001D7567"/>
    <w:rsid w:val="001D766D"/>
    <w:rsid w:val="001D78CC"/>
    <w:rsid w:val="001D7AF7"/>
    <w:rsid w:val="001D7BB3"/>
    <w:rsid w:val="001E178B"/>
    <w:rsid w:val="001E1AAC"/>
    <w:rsid w:val="001E22E2"/>
    <w:rsid w:val="001E258D"/>
    <w:rsid w:val="001E2618"/>
    <w:rsid w:val="001E3716"/>
    <w:rsid w:val="001E3952"/>
    <w:rsid w:val="001E4761"/>
    <w:rsid w:val="001E49A1"/>
    <w:rsid w:val="001E4F84"/>
    <w:rsid w:val="001E543F"/>
    <w:rsid w:val="001E5700"/>
    <w:rsid w:val="001E58F4"/>
    <w:rsid w:val="001E59DA"/>
    <w:rsid w:val="001E5A7C"/>
    <w:rsid w:val="001E5B37"/>
    <w:rsid w:val="001E601A"/>
    <w:rsid w:val="001E611C"/>
    <w:rsid w:val="001E6310"/>
    <w:rsid w:val="001E689E"/>
    <w:rsid w:val="001E6967"/>
    <w:rsid w:val="001E6CED"/>
    <w:rsid w:val="001E6EBD"/>
    <w:rsid w:val="001E7895"/>
    <w:rsid w:val="001E7954"/>
    <w:rsid w:val="001E7C02"/>
    <w:rsid w:val="001E7E5B"/>
    <w:rsid w:val="001F051E"/>
    <w:rsid w:val="001F0549"/>
    <w:rsid w:val="001F0D99"/>
    <w:rsid w:val="001F13EA"/>
    <w:rsid w:val="001F18E8"/>
    <w:rsid w:val="001F1CE8"/>
    <w:rsid w:val="001F1E6C"/>
    <w:rsid w:val="001F1EB8"/>
    <w:rsid w:val="001F203A"/>
    <w:rsid w:val="001F20B0"/>
    <w:rsid w:val="001F24FD"/>
    <w:rsid w:val="001F2557"/>
    <w:rsid w:val="001F27B1"/>
    <w:rsid w:val="001F2C29"/>
    <w:rsid w:val="001F2E4D"/>
    <w:rsid w:val="001F36C4"/>
    <w:rsid w:val="001F38B3"/>
    <w:rsid w:val="001F3B39"/>
    <w:rsid w:val="001F3BA8"/>
    <w:rsid w:val="001F4AA9"/>
    <w:rsid w:val="001F4BB0"/>
    <w:rsid w:val="001F5239"/>
    <w:rsid w:val="001F53A5"/>
    <w:rsid w:val="001F5B76"/>
    <w:rsid w:val="002000C7"/>
    <w:rsid w:val="0020060E"/>
    <w:rsid w:val="00200F6B"/>
    <w:rsid w:val="00201384"/>
    <w:rsid w:val="002014E3"/>
    <w:rsid w:val="00201B29"/>
    <w:rsid w:val="00201F8A"/>
    <w:rsid w:val="0020221E"/>
    <w:rsid w:val="00202A83"/>
    <w:rsid w:val="00202B33"/>
    <w:rsid w:val="00202DE5"/>
    <w:rsid w:val="00202F7A"/>
    <w:rsid w:val="00203022"/>
    <w:rsid w:val="00203078"/>
    <w:rsid w:val="002031D8"/>
    <w:rsid w:val="00203917"/>
    <w:rsid w:val="00203D3D"/>
    <w:rsid w:val="002046C9"/>
    <w:rsid w:val="00204889"/>
    <w:rsid w:val="00205CAB"/>
    <w:rsid w:val="002062E3"/>
    <w:rsid w:val="00206ADF"/>
    <w:rsid w:val="00207B9F"/>
    <w:rsid w:val="002101D5"/>
    <w:rsid w:val="0021088C"/>
    <w:rsid w:val="00210A83"/>
    <w:rsid w:val="00210EB4"/>
    <w:rsid w:val="002112B6"/>
    <w:rsid w:val="00211586"/>
    <w:rsid w:val="00211800"/>
    <w:rsid w:val="0021191D"/>
    <w:rsid w:val="00211C06"/>
    <w:rsid w:val="00212026"/>
    <w:rsid w:val="0021218B"/>
    <w:rsid w:val="002129AA"/>
    <w:rsid w:val="00212B05"/>
    <w:rsid w:val="00212BAB"/>
    <w:rsid w:val="00212FC3"/>
    <w:rsid w:val="00213007"/>
    <w:rsid w:val="00213099"/>
    <w:rsid w:val="00213922"/>
    <w:rsid w:val="00213D63"/>
    <w:rsid w:val="00213DAD"/>
    <w:rsid w:val="00213EF8"/>
    <w:rsid w:val="00213FE4"/>
    <w:rsid w:val="00214A27"/>
    <w:rsid w:val="00214FC3"/>
    <w:rsid w:val="00215732"/>
    <w:rsid w:val="002158E2"/>
    <w:rsid w:val="00215A07"/>
    <w:rsid w:val="00215AEF"/>
    <w:rsid w:val="00215C77"/>
    <w:rsid w:val="00215D51"/>
    <w:rsid w:val="002167DC"/>
    <w:rsid w:val="00216DC0"/>
    <w:rsid w:val="002173A8"/>
    <w:rsid w:val="002177D3"/>
    <w:rsid w:val="00217A32"/>
    <w:rsid w:val="00217B4E"/>
    <w:rsid w:val="00217BB4"/>
    <w:rsid w:val="00220AC7"/>
    <w:rsid w:val="00220AD8"/>
    <w:rsid w:val="002214CF"/>
    <w:rsid w:val="0022187C"/>
    <w:rsid w:val="002218A2"/>
    <w:rsid w:val="002219A1"/>
    <w:rsid w:val="00221ADE"/>
    <w:rsid w:val="00221D90"/>
    <w:rsid w:val="00221E11"/>
    <w:rsid w:val="002222EA"/>
    <w:rsid w:val="002231CD"/>
    <w:rsid w:val="002232B2"/>
    <w:rsid w:val="00223372"/>
    <w:rsid w:val="0022350D"/>
    <w:rsid w:val="002238A5"/>
    <w:rsid w:val="00223C40"/>
    <w:rsid w:val="0022419B"/>
    <w:rsid w:val="00224579"/>
    <w:rsid w:val="002245A4"/>
    <w:rsid w:val="00224C7E"/>
    <w:rsid w:val="00225349"/>
    <w:rsid w:val="00225502"/>
    <w:rsid w:val="002259E2"/>
    <w:rsid w:val="00225D4D"/>
    <w:rsid w:val="00225FE8"/>
    <w:rsid w:val="00226074"/>
    <w:rsid w:val="00226687"/>
    <w:rsid w:val="00226A17"/>
    <w:rsid w:val="00226C3D"/>
    <w:rsid w:val="00226E85"/>
    <w:rsid w:val="00226F4E"/>
    <w:rsid w:val="002277A8"/>
    <w:rsid w:val="00230004"/>
    <w:rsid w:val="002302FD"/>
    <w:rsid w:val="00230366"/>
    <w:rsid w:val="0023065A"/>
    <w:rsid w:val="00230798"/>
    <w:rsid w:val="002309B5"/>
    <w:rsid w:val="00230C52"/>
    <w:rsid w:val="00230EAD"/>
    <w:rsid w:val="00230F5C"/>
    <w:rsid w:val="00231043"/>
    <w:rsid w:val="00231423"/>
    <w:rsid w:val="00231679"/>
    <w:rsid w:val="00231ED9"/>
    <w:rsid w:val="0023243D"/>
    <w:rsid w:val="00232692"/>
    <w:rsid w:val="0023284D"/>
    <w:rsid w:val="00232AC1"/>
    <w:rsid w:val="00232CD4"/>
    <w:rsid w:val="00232CF2"/>
    <w:rsid w:val="00232DD0"/>
    <w:rsid w:val="00232EB2"/>
    <w:rsid w:val="002333E9"/>
    <w:rsid w:val="002339C4"/>
    <w:rsid w:val="002339E1"/>
    <w:rsid w:val="00233B38"/>
    <w:rsid w:val="00233D53"/>
    <w:rsid w:val="00233EC9"/>
    <w:rsid w:val="00233F18"/>
    <w:rsid w:val="00234CD1"/>
    <w:rsid w:val="002353DF"/>
    <w:rsid w:val="0023544C"/>
    <w:rsid w:val="0023643D"/>
    <w:rsid w:val="00236DC8"/>
    <w:rsid w:val="00236DCA"/>
    <w:rsid w:val="00237099"/>
    <w:rsid w:val="0023774A"/>
    <w:rsid w:val="002379AD"/>
    <w:rsid w:val="0024006B"/>
    <w:rsid w:val="0024024C"/>
    <w:rsid w:val="0024032B"/>
    <w:rsid w:val="00240334"/>
    <w:rsid w:val="0024051A"/>
    <w:rsid w:val="00240797"/>
    <w:rsid w:val="0024087B"/>
    <w:rsid w:val="002408A8"/>
    <w:rsid w:val="002409DC"/>
    <w:rsid w:val="00240A24"/>
    <w:rsid w:val="00240B54"/>
    <w:rsid w:val="00240C06"/>
    <w:rsid w:val="00240E47"/>
    <w:rsid w:val="002412FD"/>
    <w:rsid w:val="002414DD"/>
    <w:rsid w:val="0024186D"/>
    <w:rsid w:val="00241BAE"/>
    <w:rsid w:val="00241C1D"/>
    <w:rsid w:val="00241D45"/>
    <w:rsid w:val="00241E11"/>
    <w:rsid w:val="00241E59"/>
    <w:rsid w:val="00241EED"/>
    <w:rsid w:val="0024222F"/>
    <w:rsid w:val="00242CF7"/>
    <w:rsid w:val="002431E7"/>
    <w:rsid w:val="002439C8"/>
    <w:rsid w:val="00243C1E"/>
    <w:rsid w:val="00243FD3"/>
    <w:rsid w:val="00244337"/>
    <w:rsid w:val="00244663"/>
    <w:rsid w:val="00244C7F"/>
    <w:rsid w:val="00245AAA"/>
    <w:rsid w:val="00245C5A"/>
    <w:rsid w:val="00245E8F"/>
    <w:rsid w:val="00246003"/>
    <w:rsid w:val="0024648B"/>
    <w:rsid w:val="0024657B"/>
    <w:rsid w:val="0024695E"/>
    <w:rsid w:val="002469CE"/>
    <w:rsid w:val="00246B89"/>
    <w:rsid w:val="0024778E"/>
    <w:rsid w:val="002477A5"/>
    <w:rsid w:val="0024791E"/>
    <w:rsid w:val="002479CB"/>
    <w:rsid w:val="0025182A"/>
    <w:rsid w:val="0025186A"/>
    <w:rsid w:val="00252A28"/>
    <w:rsid w:val="00253071"/>
    <w:rsid w:val="0025322B"/>
    <w:rsid w:val="002532A2"/>
    <w:rsid w:val="002532C9"/>
    <w:rsid w:val="0025330E"/>
    <w:rsid w:val="00253430"/>
    <w:rsid w:val="002539D7"/>
    <w:rsid w:val="00253D39"/>
    <w:rsid w:val="0025421C"/>
    <w:rsid w:val="00254BCA"/>
    <w:rsid w:val="00255217"/>
    <w:rsid w:val="002554CE"/>
    <w:rsid w:val="002557DB"/>
    <w:rsid w:val="00255861"/>
    <w:rsid w:val="00255983"/>
    <w:rsid w:val="00256140"/>
    <w:rsid w:val="00256157"/>
    <w:rsid w:val="002566EA"/>
    <w:rsid w:val="00256826"/>
    <w:rsid w:val="00256A7A"/>
    <w:rsid w:val="00256C65"/>
    <w:rsid w:val="0026017D"/>
    <w:rsid w:val="0026075D"/>
    <w:rsid w:val="002607CB"/>
    <w:rsid w:val="0026094E"/>
    <w:rsid w:val="00260C76"/>
    <w:rsid w:val="00260D14"/>
    <w:rsid w:val="00261249"/>
    <w:rsid w:val="0026131D"/>
    <w:rsid w:val="00261458"/>
    <w:rsid w:val="00261B00"/>
    <w:rsid w:val="00261D6E"/>
    <w:rsid w:val="00261DE6"/>
    <w:rsid w:val="00262571"/>
    <w:rsid w:val="002629BC"/>
    <w:rsid w:val="00262DE5"/>
    <w:rsid w:val="0026340D"/>
    <w:rsid w:val="0026374B"/>
    <w:rsid w:val="00263BA1"/>
    <w:rsid w:val="00263FA6"/>
    <w:rsid w:val="0026438A"/>
    <w:rsid w:val="002643B0"/>
    <w:rsid w:val="002645B3"/>
    <w:rsid w:val="00264AA4"/>
    <w:rsid w:val="00264BA2"/>
    <w:rsid w:val="00264E37"/>
    <w:rsid w:val="00265019"/>
    <w:rsid w:val="00265154"/>
    <w:rsid w:val="0026542D"/>
    <w:rsid w:val="00265759"/>
    <w:rsid w:val="00265BB0"/>
    <w:rsid w:val="0026735E"/>
    <w:rsid w:val="002677E8"/>
    <w:rsid w:val="00267C70"/>
    <w:rsid w:val="00267D12"/>
    <w:rsid w:val="00267D8A"/>
    <w:rsid w:val="00270484"/>
    <w:rsid w:val="00270986"/>
    <w:rsid w:val="002709CC"/>
    <w:rsid w:val="00270A10"/>
    <w:rsid w:val="00271307"/>
    <w:rsid w:val="002716B3"/>
    <w:rsid w:val="002717BD"/>
    <w:rsid w:val="00271A4A"/>
    <w:rsid w:val="00271D6F"/>
    <w:rsid w:val="00271F5E"/>
    <w:rsid w:val="002722B3"/>
    <w:rsid w:val="00272427"/>
    <w:rsid w:val="00272798"/>
    <w:rsid w:val="002728FA"/>
    <w:rsid w:val="0027311B"/>
    <w:rsid w:val="002731D5"/>
    <w:rsid w:val="002734D7"/>
    <w:rsid w:val="00273580"/>
    <w:rsid w:val="0027359F"/>
    <w:rsid w:val="002735B8"/>
    <w:rsid w:val="0027368A"/>
    <w:rsid w:val="00273F79"/>
    <w:rsid w:val="00274267"/>
    <w:rsid w:val="002744E2"/>
    <w:rsid w:val="00274830"/>
    <w:rsid w:val="002748EA"/>
    <w:rsid w:val="00274C56"/>
    <w:rsid w:val="0027506B"/>
    <w:rsid w:val="002755BC"/>
    <w:rsid w:val="00275745"/>
    <w:rsid w:val="00275BCD"/>
    <w:rsid w:val="0027654E"/>
    <w:rsid w:val="00276DF3"/>
    <w:rsid w:val="00277030"/>
    <w:rsid w:val="00277238"/>
    <w:rsid w:val="00277257"/>
    <w:rsid w:val="002774AE"/>
    <w:rsid w:val="00277656"/>
    <w:rsid w:val="0027766B"/>
    <w:rsid w:val="002776A3"/>
    <w:rsid w:val="00277D5F"/>
    <w:rsid w:val="00280EB9"/>
    <w:rsid w:val="00281135"/>
    <w:rsid w:val="00281709"/>
    <w:rsid w:val="00281D82"/>
    <w:rsid w:val="0028223B"/>
    <w:rsid w:val="0028228F"/>
    <w:rsid w:val="00282996"/>
    <w:rsid w:val="0028302C"/>
    <w:rsid w:val="002835DB"/>
    <w:rsid w:val="002838E7"/>
    <w:rsid w:val="00283940"/>
    <w:rsid w:val="00283C15"/>
    <w:rsid w:val="002843F7"/>
    <w:rsid w:val="00284E4F"/>
    <w:rsid w:val="00285421"/>
    <w:rsid w:val="00285758"/>
    <w:rsid w:val="00285882"/>
    <w:rsid w:val="002858EB"/>
    <w:rsid w:val="0028592C"/>
    <w:rsid w:val="0028595E"/>
    <w:rsid w:val="00285ACF"/>
    <w:rsid w:val="00285B6C"/>
    <w:rsid w:val="00286201"/>
    <w:rsid w:val="00286B5E"/>
    <w:rsid w:val="00286D43"/>
    <w:rsid w:val="00286D78"/>
    <w:rsid w:val="00287037"/>
    <w:rsid w:val="00287647"/>
    <w:rsid w:val="00287D5E"/>
    <w:rsid w:val="00287E4B"/>
    <w:rsid w:val="00290194"/>
    <w:rsid w:val="00290227"/>
    <w:rsid w:val="00290704"/>
    <w:rsid w:val="00291022"/>
    <w:rsid w:val="00291461"/>
    <w:rsid w:val="00291489"/>
    <w:rsid w:val="00291840"/>
    <w:rsid w:val="00291BD1"/>
    <w:rsid w:val="00292091"/>
    <w:rsid w:val="00292536"/>
    <w:rsid w:val="002925D4"/>
    <w:rsid w:val="00292817"/>
    <w:rsid w:val="0029294B"/>
    <w:rsid w:val="00292C29"/>
    <w:rsid w:val="00292CA4"/>
    <w:rsid w:val="00293011"/>
    <w:rsid w:val="00293122"/>
    <w:rsid w:val="002935B3"/>
    <w:rsid w:val="002938D4"/>
    <w:rsid w:val="00293B09"/>
    <w:rsid w:val="002940C6"/>
    <w:rsid w:val="00294B42"/>
    <w:rsid w:val="00294B97"/>
    <w:rsid w:val="00294C03"/>
    <w:rsid w:val="00294E63"/>
    <w:rsid w:val="00295085"/>
    <w:rsid w:val="00295218"/>
    <w:rsid w:val="00295239"/>
    <w:rsid w:val="002952AA"/>
    <w:rsid w:val="00295321"/>
    <w:rsid w:val="00295390"/>
    <w:rsid w:val="00295C6D"/>
    <w:rsid w:val="00295DC7"/>
    <w:rsid w:val="00296BD2"/>
    <w:rsid w:val="00296FEF"/>
    <w:rsid w:val="00297109"/>
    <w:rsid w:val="00297411"/>
    <w:rsid w:val="00297531"/>
    <w:rsid w:val="002975E6"/>
    <w:rsid w:val="00297AFD"/>
    <w:rsid w:val="00297B08"/>
    <w:rsid w:val="002A0380"/>
    <w:rsid w:val="002A098E"/>
    <w:rsid w:val="002A0EBE"/>
    <w:rsid w:val="002A108B"/>
    <w:rsid w:val="002A16D8"/>
    <w:rsid w:val="002A23B8"/>
    <w:rsid w:val="002A24CC"/>
    <w:rsid w:val="002A266B"/>
    <w:rsid w:val="002A29E7"/>
    <w:rsid w:val="002A29FA"/>
    <w:rsid w:val="002A29FE"/>
    <w:rsid w:val="002A2FBA"/>
    <w:rsid w:val="002A3A42"/>
    <w:rsid w:val="002A3E3E"/>
    <w:rsid w:val="002A3F8D"/>
    <w:rsid w:val="002A41F8"/>
    <w:rsid w:val="002A432A"/>
    <w:rsid w:val="002A45CB"/>
    <w:rsid w:val="002A4746"/>
    <w:rsid w:val="002A4EA7"/>
    <w:rsid w:val="002A4FBF"/>
    <w:rsid w:val="002A5130"/>
    <w:rsid w:val="002A5271"/>
    <w:rsid w:val="002A5626"/>
    <w:rsid w:val="002A563D"/>
    <w:rsid w:val="002A5A16"/>
    <w:rsid w:val="002A5A43"/>
    <w:rsid w:val="002A5DD6"/>
    <w:rsid w:val="002A6297"/>
    <w:rsid w:val="002A644A"/>
    <w:rsid w:val="002A656C"/>
    <w:rsid w:val="002A65F0"/>
    <w:rsid w:val="002A6D05"/>
    <w:rsid w:val="002A6FBC"/>
    <w:rsid w:val="002A6FD3"/>
    <w:rsid w:val="002A709B"/>
    <w:rsid w:val="002A7168"/>
    <w:rsid w:val="002A716F"/>
    <w:rsid w:val="002A75B5"/>
    <w:rsid w:val="002A7864"/>
    <w:rsid w:val="002A790C"/>
    <w:rsid w:val="002A790F"/>
    <w:rsid w:val="002A7BA5"/>
    <w:rsid w:val="002A7DBC"/>
    <w:rsid w:val="002A7E4F"/>
    <w:rsid w:val="002B0063"/>
    <w:rsid w:val="002B02A4"/>
    <w:rsid w:val="002B0301"/>
    <w:rsid w:val="002B03D9"/>
    <w:rsid w:val="002B048F"/>
    <w:rsid w:val="002B082A"/>
    <w:rsid w:val="002B0B24"/>
    <w:rsid w:val="002B0ECB"/>
    <w:rsid w:val="002B19CB"/>
    <w:rsid w:val="002B1A3A"/>
    <w:rsid w:val="002B1B0E"/>
    <w:rsid w:val="002B21D0"/>
    <w:rsid w:val="002B2547"/>
    <w:rsid w:val="002B2D51"/>
    <w:rsid w:val="002B2F1A"/>
    <w:rsid w:val="002B3029"/>
    <w:rsid w:val="002B3129"/>
    <w:rsid w:val="002B3F5F"/>
    <w:rsid w:val="002B40F7"/>
    <w:rsid w:val="002B42D0"/>
    <w:rsid w:val="002B47A4"/>
    <w:rsid w:val="002B47CF"/>
    <w:rsid w:val="002B484F"/>
    <w:rsid w:val="002B4EAF"/>
    <w:rsid w:val="002B5144"/>
    <w:rsid w:val="002B5195"/>
    <w:rsid w:val="002B523E"/>
    <w:rsid w:val="002B5330"/>
    <w:rsid w:val="002B5694"/>
    <w:rsid w:val="002B583F"/>
    <w:rsid w:val="002B590D"/>
    <w:rsid w:val="002B5AFC"/>
    <w:rsid w:val="002B5D18"/>
    <w:rsid w:val="002B5E60"/>
    <w:rsid w:val="002B6369"/>
    <w:rsid w:val="002B63B9"/>
    <w:rsid w:val="002B6C72"/>
    <w:rsid w:val="002B6C81"/>
    <w:rsid w:val="002B6E08"/>
    <w:rsid w:val="002B70B2"/>
    <w:rsid w:val="002B7E22"/>
    <w:rsid w:val="002C028C"/>
    <w:rsid w:val="002C10B4"/>
    <w:rsid w:val="002C116B"/>
    <w:rsid w:val="002C15A5"/>
    <w:rsid w:val="002C20D4"/>
    <w:rsid w:val="002C2517"/>
    <w:rsid w:val="002C29EC"/>
    <w:rsid w:val="002C2A44"/>
    <w:rsid w:val="002C34B9"/>
    <w:rsid w:val="002C3971"/>
    <w:rsid w:val="002C39D7"/>
    <w:rsid w:val="002C3AF9"/>
    <w:rsid w:val="002C3EB8"/>
    <w:rsid w:val="002C3FAB"/>
    <w:rsid w:val="002C44A3"/>
    <w:rsid w:val="002C483E"/>
    <w:rsid w:val="002C4BB0"/>
    <w:rsid w:val="002C4F77"/>
    <w:rsid w:val="002C5569"/>
    <w:rsid w:val="002C5A2D"/>
    <w:rsid w:val="002C5AB0"/>
    <w:rsid w:val="002C6206"/>
    <w:rsid w:val="002C62CC"/>
    <w:rsid w:val="002C6C54"/>
    <w:rsid w:val="002C7139"/>
    <w:rsid w:val="002C760B"/>
    <w:rsid w:val="002C785B"/>
    <w:rsid w:val="002C7C22"/>
    <w:rsid w:val="002C7C28"/>
    <w:rsid w:val="002C7CDD"/>
    <w:rsid w:val="002D009E"/>
    <w:rsid w:val="002D03B4"/>
    <w:rsid w:val="002D0669"/>
    <w:rsid w:val="002D072C"/>
    <w:rsid w:val="002D0DB0"/>
    <w:rsid w:val="002D10DB"/>
    <w:rsid w:val="002D1536"/>
    <w:rsid w:val="002D165C"/>
    <w:rsid w:val="002D18F0"/>
    <w:rsid w:val="002D194C"/>
    <w:rsid w:val="002D1D57"/>
    <w:rsid w:val="002D280C"/>
    <w:rsid w:val="002D2BFC"/>
    <w:rsid w:val="002D2D07"/>
    <w:rsid w:val="002D2E85"/>
    <w:rsid w:val="002D2F7D"/>
    <w:rsid w:val="002D34B3"/>
    <w:rsid w:val="002D372D"/>
    <w:rsid w:val="002D39AE"/>
    <w:rsid w:val="002D3AE3"/>
    <w:rsid w:val="002D44BE"/>
    <w:rsid w:val="002D473E"/>
    <w:rsid w:val="002D499D"/>
    <w:rsid w:val="002D4D42"/>
    <w:rsid w:val="002D4D58"/>
    <w:rsid w:val="002D514B"/>
    <w:rsid w:val="002D523E"/>
    <w:rsid w:val="002D5686"/>
    <w:rsid w:val="002D568F"/>
    <w:rsid w:val="002D5A91"/>
    <w:rsid w:val="002D5CDB"/>
    <w:rsid w:val="002D61A1"/>
    <w:rsid w:val="002D6406"/>
    <w:rsid w:val="002D65AD"/>
    <w:rsid w:val="002D65B5"/>
    <w:rsid w:val="002D69F9"/>
    <w:rsid w:val="002D70D1"/>
    <w:rsid w:val="002D72BE"/>
    <w:rsid w:val="002D7886"/>
    <w:rsid w:val="002D7A07"/>
    <w:rsid w:val="002D7AFB"/>
    <w:rsid w:val="002D7B1A"/>
    <w:rsid w:val="002D7C64"/>
    <w:rsid w:val="002D7E81"/>
    <w:rsid w:val="002E024C"/>
    <w:rsid w:val="002E0541"/>
    <w:rsid w:val="002E0A20"/>
    <w:rsid w:val="002E0AA1"/>
    <w:rsid w:val="002E0D1A"/>
    <w:rsid w:val="002E13F1"/>
    <w:rsid w:val="002E14F6"/>
    <w:rsid w:val="002E19EE"/>
    <w:rsid w:val="002E1C95"/>
    <w:rsid w:val="002E1D2B"/>
    <w:rsid w:val="002E1EE4"/>
    <w:rsid w:val="002E21BD"/>
    <w:rsid w:val="002E22C9"/>
    <w:rsid w:val="002E22DA"/>
    <w:rsid w:val="002E28D8"/>
    <w:rsid w:val="002E31E0"/>
    <w:rsid w:val="002E3377"/>
    <w:rsid w:val="002E37E6"/>
    <w:rsid w:val="002E3902"/>
    <w:rsid w:val="002E3B07"/>
    <w:rsid w:val="002E3E9A"/>
    <w:rsid w:val="002E3EB0"/>
    <w:rsid w:val="002E3ECA"/>
    <w:rsid w:val="002E4285"/>
    <w:rsid w:val="002E46D3"/>
    <w:rsid w:val="002E47A3"/>
    <w:rsid w:val="002E5143"/>
    <w:rsid w:val="002E5FF4"/>
    <w:rsid w:val="002E6069"/>
    <w:rsid w:val="002E7114"/>
    <w:rsid w:val="002E7179"/>
    <w:rsid w:val="002E7202"/>
    <w:rsid w:val="002F02F0"/>
    <w:rsid w:val="002F0EE0"/>
    <w:rsid w:val="002F1853"/>
    <w:rsid w:val="002F19A5"/>
    <w:rsid w:val="002F1A5F"/>
    <w:rsid w:val="002F1EC7"/>
    <w:rsid w:val="002F1FD3"/>
    <w:rsid w:val="002F292F"/>
    <w:rsid w:val="002F2A2B"/>
    <w:rsid w:val="002F2C1D"/>
    <w:rsid w:val="002F2D7E"/>
    <w:rsid w:val="002F3582"/>
    <w:rsid w:val="002F3BBD"/>
    <w:rsid w:val="002F3EB7"/>
    <w:rsid w:val="002F3F7A"/>
    <w:rsid w:val="002F465E"/>
    <w:rsid w:val="002F4683"/>
    <w:rsid w:val="002F4AA2"/>
    <w:rsid w:val="002F4C7F"/>
    <w:rsid w:val="002F4DBF"/>
    <w:rsid w:val="002F4E63"/>
    <w:rsid w:val="002F4F7B"/>
    <w:rsid w:val="002F52F5"/>
    <w:rsid w:val="002F5827"/>
    <w:rsid w:val="002F5A58"/>
    <w:rsid w:val="002F5AB2"/>
    <w:rsid w:val="002F5C7A"/>
    <w:rsid w:val="002F5C92"/>
    <w:rsid w:val="002F5E36"/>
    <w:rsid w:val="002F6108"/>
    <w:rsid w:val="002F64A9"/>
    <w:rsid w:val="002F6C95"/>
    <w:rsid w:val="002F6CB6"/>
    <w:rsid w:val="002F719C"/>
    <w:rsid w:val="002F7797"/>
    <w:rsid w:val="002F79AC"/>
    <w:rsid w:val="002F7AD2"/>
    <w:rsid w:val="002F7CC2"/>
    <w:rsid w:val="002F7CCF"/>
    <w:rsid w:val="002F7F16"/>
    <w:rsid w:val="002F7F8F"/>
    <w:rsid w:val="003000A4"/>
    <w:rsid w:val="00300226"/>
    <w:rsid w:val="00300562"/>
    <w:rsid w:val="003005A7"/>
    <w:rsid w:val="00300690"/>
    <w:rsid w:val="003008E5"/>
    <w:rsid w:val="00300BBF"/>
    <w:rsid w:val="00301716"/>
    <w:rsid w:val="00301DF4"/>
    <w:rsid w:val="00301F0C"/>
    <w:rsid w:val="00302429"/>
    <w:rsid w:val="0030244F"/>
    <w:rsid w:val="003024CE"/>
    <w:rsid w:val="003025FF"/>
    <w:rsid w:val="003029A5"/>
    <w:rsid w:val="003029EA"/>
    <w:rsid w:val="00302EA2"/>
    <w:rsid w:val="0030306C"/>
    <w:rsid w:val="00303477"/>
    <w:rsid w:val="003038E9"/>
    <w:rsid w:val="00303995"/>
    <w:rsid w:val="00303D70"/>
    <w:rsid w:val="00304487"/>
    <w:rsid w:val="00304B1B"/>
    <w:rsid w:val="00304C7F"/>
    <w:rsid w:val="00304E6D"/>
    <w:rsid w:val="00305266"/>
    <w:rsid w:val="0030574F"/>
    <w:rsid w:val="00306431"/>
    <w:rsid w:val="003069FF"/>
    <w:rsid w:val="00306AAE"/>
    <w:rsid w:val="00306FE0"/>
    <w:rsid w:val="003073E6"/>
    <w:rsid w:val="00307499"/>
    <w:rsid w:val="00307A78"/>
    <w:rsid w:val="00307E1C"/>
    <w:rsid w:val="00307E69"/>
    <w:rsid w:val="003102A2"/>
    <w:rsid w:val="003102D9"/>
    <w:rsid w:val="00310ECD"/>
    <w:rsid w:val="00310F5A"/>
    <w:rsid w:val="0031152A"/>
    <w:rsid w:val="0031198A"/>
    <w:rsid w:val="00311EBC"/>
    <w:rsid w:val="0031238C"/>
    <w:rsid w:val="00312663"/>
    <w:rsid w:val="00312DFC"/>
    <w:rsid w:val="00313003"/>
    <w:rsid w:val="003130AC"/>
    <w:rsid w:val="003131BC"/>
    <w:rsid w:val="003138BA"/>
    <w:rsid w:val="00313B90"/>
    <w:rsid w:val="003144EE"/>
    <w:rsid w:val="0031455B"/>
    <w:rsid w:val="00314C57"/>
    <w:rsid w:val="00314C95"/>
    <w:rsid w:val="00314F76"/>
    <w:rsid w:val="00315209"/>
    <w:rsid w:val="0031528B"/>
    <w:rsid w:val="00315768"/>
    <w:rsid w:val="00315900"/>
    <w:rsid w:val="00315E70"/>
    <w:rsid w:val="003167F2"/>
    <w:rsid w:val="0031699C"/>
    <w:rsid w:val="00316B34"/>
    <w:rsid w:val="00316E21"/>
    <w:rsid w:val="00317079"/>
    <w:rsid w:val="00317567"/>
    <w:rsid w:val="00317814"/>
    <w:rsid w:val="003202B7"/>
    <w:rsid w:val="00320B8C"/>
    <w:rsid w:val="00320BF6"/>
    <w:rsid w:val="00321194"/>
    <w:rsid w:val="003216EA"/>
    <w:rsid w:val="003217F1"/>
    <w:rsid w:val="00321C6D"/>
    <w:rsid w:val="00321E83"/>
    <w:rsid w:val="00321FE2"/>
    <w:rsid w:val="0032212B"/>
    <w:rsid w:val="00322304"/>
    <w:rsid w:val="0032235D"/>
    <w:rsid w:val="0032284F"/>
    <w:rsid w:val="0032288B"/>
    <w:rsid w:val="00322B2A"/>
    <w:rsid w:val="00322B82"/>
    <w:rsid w:val="00323360"/>
    <w:rsid w:val="0032357D"/>
    <w:rsid w:val="00323757"/>
    <w:rsid w:val="00323999"/>
    <w:rsid w:val="00323D5F"/>
    <w:rsid w:val="00323E9D"/>
    <w:rsid w:val="00323F73"/>
    <w:rsid w:val="0032440B"/>
    <w:rsid w:val="003248D9"/>
    <w:rsid w:val="00324B7D"/>
    <w:rsid w:val="0032581A"/>
    <w:rsid w:val="0032682E"/>
    <w:rsid w:val="00326A05"/>
    <w:rsid w:val="00326CC6"/>
    <w:rsid w:val="00327254"/>
    <w:rsid w:val="00327485"/>
    <w:rsid w:val="00327A62"/>
    <w:rsid w:val="0033029E"/>
    <w:rsid w:val="0033086C"/>
    <w:rsid w:val="00330883"/>
    <w:rsid w:val="00330BCA"/>
    <w:rsid w:val="00330FC3"/>
    <w:rsid w:val="00331188"/>
    <w:rsid w:val="00331800"/>
    <w:rsid w:val="0033198D"/>
    <w:rsid w:val="00331EB3"/>
    <w:rsid w:val="0033233B"/>
    <w:rsid w:val="0033247E"/>
    <w:rsid w:val="003325DC"/>
    <w:rsid w:val="00332926"/>
    <w:rsid w:val="00332D52"/>
    <w:rsid w:val="003335FD"/>
    <w:rsid w:val="00334654"/>
    <w:rsid w:val="00334776"/>
    <w:rsid w:val="003349BF"/>
    <w:rsid w:val="00334D6C"/>
    <w:rsid w:val="00335157"/>
    <w:rsid w:val="003353B8"/>
    <w:rsid w:val="00335528"/>
    <w:rsid w:val="00335591"/>
    <w:rsid w:val="0033592D"/>
    <w:rsid w:val="00335AFD"/>
    <w:rsid w:val="00335F73"/>
    <w:rsid w:val="003360D5"/>
    <w:rsid w:val="0033616F"/>
    <w:rsid w:val="003364BC"/>
    <w:rsid w:val="00336665"/>
    <w:rsid w:val="00336933"/>
    <w:rsid w:val="00337426"/>
    <w:rsid w:val="0033742C"/>
    <w:rsid w:val="0033791F"/>
    <w:rsid w:val="00337D85"/>
    <w:rsid w:val="00337E6D"/>
    <w:rsid w:val="0034007A"/>
    <w:rsid w:val="00340553"/>
    <w:rsid w:val="0034069B"/>
    <w:rsid w:val="00340DFF"/>
    <w:rsid w:val="00341446"/>
    <w:rsid w:val="003414B9"/>
    <w:rsid w:val="00341A6A"/>
    <w:rsid w:val="00341E05"/>
    <w:rsid w:val="00341E8B"/>
    <w:rsid w:val="00341FC1"/>
    <w:rsid w:val="00342354"/>
    <w:rsid w:val="00342482"/>
    <w:rsid w:val="00342C2E"/>
    <w:rsid w:val="00342C2F"/>
    <w:rsid w:val="00342E8F"/>
    <w:rsid w:val="003437FF"/>
    <w:rsid w:val="00343A65"/>
    <w:rsid w:val="00344407"/>
    <w:rsid w:val="00344A51"/>
    <w:rsid w:val="00344B4D"/>
    <w:rsid w:val="00344E3C"/>
    <w:rsid w:val="00345080"/>
    <w:rsid w:val="003456D5"/>
    <w:rsid w:val="00345ED8"/>
    <w:rsid w:val="00345EDD"/>
    <w:rsid w:val="003461EF"/>
    <w:rsid w:val="003464D9"/>
    <w:rsid w:val="00346C4D"/>
    <w:rsid w:val="00347C41"/>
    <w:rsid w:val="00347CA7"/>
    <w:rsid w:val="00347CE3"/>
    <w:rsid w:val="00347CED"/>
    <w:rsid w:val="00347E69"/>
    <w:rsid w:val="00347E6E"/>
    <w:rsid w:val="00347F90"/>
    <w:rsid w:val="003500C8"/>
    <w:rsid w:val="0035028F"/>
    <w:rsid w:val="00350574"/>
    <w:rsid w:val="00350B5F"/>
    <w:rsid w:val="00350DE6"/>
    <w:rsid w:val="00350E8C"/>
    <w:rsid w:val="0035106D"/>
    <w:rsid w:val="00351285"/>
    <w:rsid w:val="00351431"/>
    <w:rsid w:val="00351443"/>
    <w:rsid w:val="0035147D"/>
    <w:rsid w:val="003521D7"/>
    <w:rsid w:val="003528B8"/>
    <w:rsid w:val="00353123"/>
    <w:rsid w:val="00353549"/>
    <w:rsid w:val="00354335"/>
    <w:rsid w:val="003543FE"/>
    <w:rsid w:val="0035465B"/>
    <w:rsid w:val="003548B8"/>
    <w:rsid w:val="00354CBC"/>
    <w:rsid w:val="00355377"/>
    <w:rsid w:val="00355535"/>
    <w:rsid w:val="003560DA"/>
    <w:rsid w:val="0035627B"/>
    <w:rsid w:val="003563AB"/>
    <w:rsid w:val="00356855"/>
    <w:rsid w:val="0035686B"/>
    <w:rsid w:val="00356960"/>
    <w:rsid w:val="00356C95"/>
    <w:rsid w:val="00356D16"/>
    <w:rsid w:val="00357499"/>
    <w:rsid w:val="00357C35"/>
    <w:rsid w:val="003602B8"/>
    <w:rsid w:val="00360A4F"/>
    <w:rsid w:val="00360C5D"/>
    <w:rsid w:val="00360F41"/>
    <w:rsid w:val="00361012"/>
    <w:rsid w:val="003612A8"/>
    <w:rsid w:val="00361344"/>
    <w:rsid w:val="003613BE"/>
    <w:rsid w:val="0036160C"/>
    <w:rsid w:val="00361C4F"/>
    <w:rsid w:val="00361D52"/>
    <w:rsid w:val="00362672"/>
    <w:rsid w:val="0036267D"/>
    <w:rsid w:val="00362A76"/>
    <w:rsid w:val="00362B92"/>
    <w:rsid w:val="00362F1F"/>
    <w:rsid w:val="00364072"/>
    <w:rsid w:val="003644F7"/>
    <w:rsid w:val="00364596"/>
    <w:rsid w:val="00364802"/>
    <w:rsid w:val="00364FD8"/>
    <w:rsid w:val="00365594"/>
    <w:rsid w:val="003655B9"/>
    <w:rsid w:val="00365FF2"/>
    <w:rsid w:val="00366B2D"/>
    <w:rsid w:val="00366D04"/>
    <w:rsid w:val="003670C5"/>
    <w:rsid w:val="0036766B"/>
    <w:rsid w:val="00367956"/>
    <w:rsid w:val="003701D3"/>
    <w:rsid w:val="0037047C"/>
    <w:rsid w:val="00371320"/>
    <w:rsid w:val="0037141A"/>
    <w:rsid w:val="0037173E"/>
    <w:rsid w:val="0037183E"/>
    <w:rsid w:val="00371C45"/>
    <w:rsid w:val="00372009"/>
    <w:rsid w:val="003723A5"/>
    <w:rsid w:val="003724A5"/>
    <w:rsid w:val="003725E6"/>
    <w:rsid w:val="00372967"/>
    <w:rsid w:val="00373892"/>
    <w:rsid w:val="00373B9D"/>
    <w:rsid w:val="00373C2F"/>
    <w:rsid w:val="00373E1B"/>
    <w:rsid w:val="00373EB6"/>
    <w:rsid w:val="00373FF7"/>
    <w:rsid w:val="00374159"/>
    <w:rsid w:val="003743D3"/>
    <w:rsid w:val="00374565"/>
    <w:rsid w:val="0037456A"/>
    <w:rsid w:val="0037458F"/>
    <w:rsid w:val="003748DC"/>
    <w:rsid w:val="003748F6"/>
    <w:rsid w:val="00374920"/>
    <w:rsid w:val="00374D7E"/>
    <w:rsid w:val="00374E3F"/>
    <w:rsid w:val="003751C2"/>
    <w:rsid w:val="003751F2"/>
    <w:rsid w:val="0037529C"/>
    <w:rsid w:val="003756F3"/>
    <w:rsid w:val="0037577F"/>
    <w:rsid w:val="00375B81"/>
    <w:rsid w:val="00375D15"/>
    <w:rsid w:val="00375D3F"/>
    <w:rsid w:val="00375EB8"/>
    <w:rsid w:val="003762B9"/>
    <w:rsid w:val="0037687D"/>
    <w:rsid w:val="003777D9"/>
    <w:rsid w:val="003778E8"/>
    <w:rsid w:val="00377CF9"/>
    <w:rsid w:val="00377E64"/>
    <w:rsid w:val="00380371"/>
    <w:rsid w:val="00380A21"/>
    <w:rsid w:val="00380C18"/>
    <w:rsid w:val="00380CED"/>
    <w:rsid w:val="00380D9D"/>
    <w:rsid w:val="00380E8C"/>
    <w:rsid w:val="003812C1"/>
    <w:rsid w:val="003815F1"/>
    <w:rsid w:val="00381F95"/>
    <w:rsid w:val="00382415"/>
    <w:rsid w:val="0038246F"/>
    <w:rsid w:val="00382607"/>
    <w:rsid w:val="00382C38"/>
    <w:rsid w:val="00382E27"/>
    <w:rsid w:val="00382F7F"/>
    <w:rsid w:val="0038318B"/>
    <w:rsid w:val="00383432"/>
    <w:rsid w:val="00383715"/>
    <w:rsid w:val="0038388F"/>
    <w:rsid w:val="0038412A"/>
    <w:rsid w:val="003846F0"/>
    <w:rsid w:val="0038485F"/>
    <w:rsid w:val="00384A81"/>
    <w:rsid w:val="00384BAF"/>
    <w:rsid w:val="0038510A"/>
    <w:rsid w:val="00385147"/>
    <w:rsid w:val="00385392"/>
    <w:rsid w:val="003853FE"/>
    <w:rsid w:val="0038543D"/>
    <w:rsid w:val="00385482"/>
    <w:rsid w:val="003854AA"/>
    <w:rsid w:val="003858E7"/>
    <w:rsid w:val="00385B1E"/>
    <w:rsid w:val="00385B2F"/>
    <w:rsid w:val="00386034"/>
    <w:rsid w:val="0038666F"/>
    <w:rsid w:val="003866B7"/>
    <w:rsid w:val="00386843"/>
    <w:rsid w:val="00386B11"/>
    <w:rsid w:val="00386B87"/>
    <w:rsid w:val="00387971"/>
    <w:rsid w:val="00387CB5"/>
    <w:rsid w:val="00387E7B"/>
    <w:rsid w:val="003905AE"/>
    <w:rsid w:val="003909DA"/>
    <w:rsid w:val="00390CC2"/>
    <w:rsid w:val="00390EF7"/>
    <w:rsid w:val="00390F04"/>
    <w:rsid w:val="003910E4"/>
    <w:rsid w:val="00391282"/>
    <w:rsid w:val="00391376"/>
    <w:rsid w:val="003913F1"/>
    <w:rsid w:val="003914F8"/>
    <w:rsid w:val="00391A8F"/>
    <w:rsid w:val="0039262E"/>
    <w:rsid w:val="003926CF"/>
    <w:rsid w:val="00392754"/>
    <w:rsid w:val="00392827"/>
    <w:rsid w:val="00392BFF"/>
    <w:rsid w:val="003930E8"/>
    <w:rsid w:val="00393413"/>
    <w:rsid w:val="003942A0"/>
    <w:rsid w:val="00394A0A"/>
    <w:rsid w:val="00394D0E"/>
    <w:rsid w:val="00395073"/>
    <w:rsid w:val="00395369"/>
    <w:rsid w:val="003955DB"/>
    <w:rsid w:val="00395B70"/>
    <w:rsid w:val="0039682B"/>
    <w:rsid w:val="003969DF"/>
    <w:rsid w:val="00397165"/>
    <w:rsid w:val="003975A5"/>
    <w:rsid w:val="00397863"/>
    <w:rsid w:val="00397A20"/>
    <w:rsid w:val="00397C93"/>
    <w:rsid w:val="003A01A6"/>
    <w:rsid w:val="003A02A9"/>
    <w:rsid w:val="003A066B"/>
    <w:rsid w:val="003A0A5A"/>
    <w:rsid w:val="003A0AFB"/>
    <w:rsid w:val="003A0BE7"/>
    <w:rsid w:val="003A0D1B"/>
    <w:rsid w:val="003A176C"/>
    <w:rsid w:val="003A1988"/>
    <w:rsid w:val="003A19EF"/>
    <w:rsid w:val="003A1E4F"/>
    <w:rsid w:val="003A23EA"/>
    <w:rsid w:val="003A2407"/>
    <w:rsid w:val="003A2431"/>
    <w:rsid w:val="003A25D2"/>
    <w:rsid w:val="003A29F9"/>
    <w:rsid w:val="003A2B2C"/>
    <w:rsid w:val="003A4085"/>
    <w:rsid w:val="003A4ADF"/>
    <w:rsid w:val="003A4BF4"/>
    <w:rsid w:val="003A4D91"/>
    <w:rsid w:val="003A52BA"/>
    <w:rsid w:val="003A5D68"/>
    <w:rsid w:val="003A6136"/>
    <w:rsid w:val="003A63A2"/>
    <w:rsid w:val="003A65A1"/>
    <w:rsid w:val="003A65B1"/>
    <w:rsid w:val="003A6697"/>
    <w:rsid w:val="003A66B3"/>
    <w:rsid w:val="003A6A35"/>
    <w:rsid w:val="003A6A91"/>
    <w:rsid w:val="003A6EFE"/>
    <w:rsid w:val="003A6F34"/>
    <w:rsid w:val="003A7444"/>
    <w:rsid w:val="003B0747"/>
    <w:rsid w:val="003B0FA7"/>
    <w:rsid w:val="003B14A0"/>
    <w:rsid w:val="003B1973"/>
    <w:rsid w:val="003B20EC"/>
    <w:rsid w:val="003B2220"/>
    <w:rsid w:val="003B2A36"/>
    <w:rsid w:val="003B2EE9"/>
    <w:rsid w:val="003B2EF6"/>
    <w:rsid w:val="003B312C"/>
    <w:rsid w:val="003B337B"/>
    <w:rsid w:val="003B34C2"/>
    <w:rsid w:val="003B3AC2"/>
    <w:rsid w:val="003B3D86"/>
    <w:rsid w:val="003B3F04"/>
    <w:rsid w:val="003B4778"/>
    <w:rsid w:val="003B47C8"/>
    <w:rsid w:val="003B4B04"/>
    <w:rsid w:val="003B4E06"/>
    <w:rsid w:val="003B54C4"/>
    <w:rsid w:val="003B54F3"/>
    <w:rsid w:val="003B5D8C"/>
    <w:rsid w:val="003B635B"/>
    <w:rsid w:val="003B6652"/>
    <w:rsid w:val="003B67B4"/>
    <w:rsid w:val="003B6AE6"/>
    <w:rsid w:val="003B706C"/>
    <w:rsid w:val="003B7F4A"/>
    <w:rsid w:val="003B7F86"/>
    <w:rsid w:val="003C0319"/>
    <w:rsid w:val="003C0483"/>
    <w:rsid w:val="003C0541"/>
    <w:rsid w:val="003C0742"/>
    <w:rsid w:val="003C076E"/>
    <w:rsid w:val="003C103D"/>
    <w:rsid w:val="003C118D"/>
    <w:rsid w:val="003C1874"/>
    <w:rsid w:val="003C18DF"/>
    <w:rsid w:val="003C1913"/>
    <w:rsid w:val="003C1AA8"/>
    <w:rsid w:val="003C23BE"/>
    <w:rsid w:val="003C240D"/>
    <w:rsid w:val="003C26D6"/>
    <w:rsid w:val="003C2E1C"/>
    <w:rsid w:val="003C32B3"/>
    <w:rsid w:val="003C3348"/>
    <w:rsid w:val="003C3C72"/>
    <w:rsid w:val="003C43D8"/>
    <w:rsid w:val="003C4596"/>
    <w:rsid w:val="003C49DA"/>
    <w:rsid w:val="003C4AAB"/>
    <w:rsid w:val="003C4AC1"/>
    <w:rsid w:val="003C4E33"/>
    <w:rsid w:val="003C5344"/>
    <w:rsid w:val="003C54B4"/>
    <w:rsid w:val="003C5611"/>
    <w:rsid w:val="003C5692"/>
    <w:rsid w:val="003C5A3D"/>
    <w:rsid w:val="003C5E22"/>
    <w:rsid w:val="003C6147"/>
    <w:rsid w:val="003C6450"/>
    <w:rsid w:val="003C6592"/>
    <w:rsid w:val="003C6751"/>
    <w:rsid w:val="003C692F"/>
    <w:rsid w:val="003C6948"/>
    <w:rsid w:val="003C6B85"/>
    <w:rsid w:val="003C6B9F"/>
    <w:rsid w:val="003C6CD4"/>
    <w:rsid w:val="003C6F27"/>
    <w:rsid w:val="003C74B7"/>
    <w:rsid w:val="003C759F"/>
    <w:rsid w:val="003C77EC"/>
    <w:rsid w:val="003C783D"/>
    <w:rsid w:val="003C7A42"/>
    <w:rsid w:val="003D0155"/>
    <w:rsid w:val="003D02A6"/>
    <w:rsid w:val="003D02DF"/>
    <w:rsid w:val="003D0373"/>
    <w:rsid w:val="003D03D0"/>
    <w:rsid w:val="003D0B4F"/>
    <w:rsid w:val="003D0C6B"/>
    <w:rsid w:val="003D100C"/>
    <w:rsid w:val="003D11E3"/>
    <w:rsid w:val="003D11EF"/>
    <w:rsid w:val="003D1373"/>
    <w:rsid w:val="003D158A"/>
    <w:rsid w:val="003D15CF"/>
    <w:rsid w:val="003D1624"/>
    <w:rsid w:val="003D187D"/>
    <w:rsid w:val="003D1A3E"/>
    <w:rsid w:val="003D1AF7"/>
    <w:rsid w:val="003D1FAF"/>
    <w:rsid w:val="003D24CC"/>
    <w:rsid w:val="003D2A06"/>
    <w:rsid w:val="003D2C3A"/>
    <w:rsid w:val="003D2D5F"/>
    <w:rsid w:val="003D2ED3"/>
    <w:rsid w:val="003D3508"/>
    <w:rsid w:val="003D3625"/>
    <w:rsid w:val="003D3925"/>
    <w:rsid w:val="003D3A4B"/>
    <w:rsid w:val="003D3B9A"/>
    <w:rsid w:val="003D3E93"/>
    <w:rsid w:val="003D3EA6"/>
    <w:rsid w:val="003D4CAE"/>
    <w:rsid w:val="003D50B9"/>
    <w:rsid w:val="003D5944"/>
    <w:rsid w:val="003D5D40"/>
    <w:rsid w:val="003D606C"/>
    <w:rsid w:val="003D6483"/>
    <w:rsid w:val="003D6A80"/>
    <w:rsid w:val="003D6C7F"/>
    <w:rsid w:val="003D6F54"/>
    <w:rsid w:val="003D71A4"/>
    <w:rsid w:val="003D7224"/>
    <w:rsid w:val="003D794A"/>
    <w:rsid w:val="003D7D01"/>
    <w:rsid w:val="003E029C"/>
    <w:rsid w:val="003E0507"/>
    <w:rsid w:val="003E05E8"/>
    <w:rsid w:val="003E08E2"/>
    <w:rsid w:val="003E0905"/>
    <w:rsid w:val="003E098A"/>
    <w:rsid w:val="003E0BD1"/>
    <w:rsid w:val="003E0E3C"/>
    <w:rsid w:val="003E0F49"/>
    <w:rsid w:val="003E12A8"/>
    <w:rsid w:val="003E1C5B"/>
    <w:rsid w:val="003E1E9B"/>
    <w:rsid w:val="003E1EE7"/>
    <w:rsid w:val="003E24E9"/>
    <w:rsid w:val="003E2597"/>
    <w:rsid w:val="003E2B68"/>
    <w:rsid w:val="003E347C"/>
    <w:rsid w:val="003E391E"/>
    <w:rsid w:val="003E396C"/>
    <w:rsid w:val="003E3982"/>
    <w:rsid w:val="003E3F40"/>
    <w:rsid w:val="003E40A7"/>
    <w:rsid w:val="003E436F"/>
    <w:rsid w:val="003E479F"/>
    <w:rsid w:val="003E4977"/>
    <w:rsid w:val="003E49FA"/>
    <w:rsid w:val="003E54AC"/>
    <w:rsid w:val="003E58BA"/>
    <w:rsid w:val="003E5F38"/>
    <w:rsid w:val="003E62EA"/>
    <w:rsid w:val="003E670C"/>
    <w:rsid w:val="003E6AE5"/>
    <w:rsid w:val="003E732F"/>
    <w:rsid w:val="003E74E8"/>
    <w:rsid w:val="003E794A"/>
    <w:rsid w:val="003E7F65"/>
    <w:rsid w:val="003F05B5"/>
    <w:rsid w:val="003F05D8"/>
    <w:rsid w:val="003F0E67"/>
    <w:rsid w:val="003F14A8"/>
    <w:rsid w:val="003F15F3"/>
    <w:rsid w:val="003F1AA8"/>
    <w:rsid w:val="003F1C1D"/>
    <w:rsid w:val="003F1C48"/>
    <w:rsid w:val="003F2072"/>
    <w:rsid w:val="003F246F"/>
    <w:rsid w:val="003F27D1"/>
    <w:rsid w:val="003F287F"/>
    <w:rsid w:val="003F2B7C"/>
    <w:rsid w:val="003F2C40"/>
    <w:rsid w:val="003F31D3"/>
    <w:rsid w:val="003F3C97"/>
    <w:rsid w:val="003F3D6C"/>
    <w:rsid w:val="003F3DFE"/>
    <w:rsid w:val="003F3F01"/>
    <w:rsid w:val="003F4BD8"/>
    <w:rsid w:val="003F5348"/>
    <w:rsid w:val="003F59C9"/>
    <w:rsid w:val="003F5ACB"/>
    <w:rsid w:val="003F5C91"/>
    <w:rsid w:val="003F5E48"/>
    <w:rsid w:val="003F6857"/>
    <w:rsid w:val="003F68AE"/>
    <w:rsid w:val="003F68DF"/>
    <w:rsid w:val="003F69AE"/>
    <w:rsid w:val="003F6C6C"/>
    <w:rsid w:val="003F6CC7"/>
    <w:rsid w:val="003F6E10"/>
    <w:rsid w:val="003F7310"/>
    <w:rsid w:val="003F7354"/>
    <w:rsid w:val="003F7373"/>
    <w:rsid w:val="003F775D"/>
    <w:rsid w:val="003F782F"/>
    <w:rsid w:val="003F78D7"/>
    <w:rsid w:val="004005BF"/>
    <w:rsid w:val="00400653"/>
    <w:rsid w:val="00400A47"/>
    <w:rsid w:val="00400B91"/>
    <w:rsid w:val="00400D25"/>
    <w:rsid w:val="00400D62"/>
    <w:rsid w:val="00400DD8"/>
    <w:rsid w:val="00401032"/>
    <w:rsid w:val="0040107C"/>
    <w:rsid w:val="00401402"/>
    <w:rsid w:val="00401A41"/>
    <w:rsid w:val="00401B2C"/>
    <w:rsid w:val="00401B76"/>
    <w:rsid w:val="00401BDC"/>
    <w:rsid w:val="00401C24"/>
    <w:rsid w:val="00401CEA"/>
    <w:rsid w:val="00402080"/>
    <w:rsid w:val="00402574"/>
    <w:rsid w:val="0040276F"/>
    <w:rsid w:val="004029E2"/>
    <w:rsid w:val="0040393C"/>
    <w:rsid w:val="00403E5F"/>
    <w:rsid w:val="00404390"/>
    <w:rsid w:val="004048CC"/>
    <w:rsid w:val="00404C94"/>
    <w:rsid w:val="00405196"/>
    <w:rsid w:val="00405240"/>
    <w:rsid w:val="0040555D"/>
    <w:rsid w:val="00405560"/>
    <w:rsid w:val="004055E3"/>
    <w:rsid w:val="00405904"/>
    <w:rsid w:val="00405A65"/>
    <w:rsid w:val="00405F9E"/>
    <w:rsid w:val="00406D67"/>
    <w:rsid w:val="00406ED8"/>
    <w:rsid w:val="00406FCD"/>
    <w:rsid w:val="004071E6"/>
    <w:rsid w:val="0040757B"/>
    <w:rsid w:val="004078CE"/>
    <w:rsid w:val="00407A13"/>
    <w:rsid w:val="00407BE8"/>
    <w:rsid w:val="00407EC1"/>
    <w:rsid w:val="00407FC5"/>
    <w:rsid w:val="004100B5"/>
    <w:rsid w:val="004104AA"/>
    <w:rsid w:val="00410512"/>
    <w:rsid w:val="004108F8"/>
    <w:rsid w:val="00410A03"/>
    <w:rsid w:val="00410DA3"/>
    <w:rsid w:val="00411502"/>
    <w:rsid w:val="00412008"/>
    <w:rsid w:val="0041216A"/>
    <w:rsid w:val="00412807"/>
    <w:rsid w:val="00412951"/>
    <w:rsid w:val="00412BD9"/>
    <w:rsid w:val="0041305E"/>
    <w:rsid w:val="00413335"/>
    <w:rsid w:val="004146E4"/>
    <w:rsid w:val="00414CD4"/>
    <w:rsid w:val="00415087"/>
    <w:rsid w:val="00415118"/>
    <w:rsid w:val="00415312"/>
    <w:rsid w:val="004153AA"/>
    <w:rsid w:val="00415491"/>
    <w:rsid w:val="004154AB"/>
    <w:rsid w:val="00415680"/>
    <w:rsid w:val="00415C13"/>
    <w:rsid w:val="00415C3E"/>
    <w:rsid w:val="00416074"/>
    <w:rsid w:val="00416597"/>
    <w:rsid w:val="00416B2B"/>
    <w:rsid w:val="004172CB"/>
    <w:rsid w:val="004173CD"/>
    <w:rsid w:val="00417635"/>
    <w:rsid w:val="00417662"/>
    <w:rsid w:val="00420417"/>
    <w:rsid w:val="0042052A"/>
    <w:rsid w:val="004207B8"/>
    <w:rsid w:val="00420817"/>
    <w:rsid w:val="00420D8F"/>
    <w:rsid w:val="00420DA7"/>
    <w:rsid w:val="00421026"/>
    <w:rsid w:val="00421383"/>
    <w:rsid w:val="00421F67"/>
    <w:rsid w:val="00422345"/>
    <w:rsid w:val="00422584"/>
    <w:rsid w:val="00422B63"/>
    <w:rsid w:val="004231EB"/>
    <w:rsid w:val="004239F6"/>
    <w:rsid w:val="00423C0B"/>
    <w:rsid w:val="00423FD5"/>
    <w:rsid w:val="004241CA"/>
    <w:rsid w:val="004241D2"/>
    <w:rsid w:val="0042434C"/>
    <w:rsid w:val="00424B70"/>
    <w:rsid w:val="00424DE2"/>
    <w:rsid w:val="00424E9E"/>
    <w:rsid w:val="00425294"/>
    <w:rsid w:val="00425721"/>
    <w:rsid w:val="00425D57"/>
    <w:rsid w:val="00425F5A"/>
    <w:rsid w:val="004260C6"/>
    <w:rsid w:val="00426477"/>
    <w:rsid w:val="00426CFF"/>
    <w:rsid w:val="00426E29"/>
    <w:rsid w:val="00427231"/>
    <w:rsid w:val="0042784B"/>
    <w:rsid w:val="00427FD1"/>
    <w:rsid w:val="004305BD"/>
    <w:rsid w:val="004308A1"/>
    <w:rsid w:val="00430C3A"/>
    <w:rsid w:val="00430C73"/>
    <w:rsid w:val="00430DC1"/>
    <w:rsid w:val="00430DCC"/>
    <w:rsid w:val="00431A2C"/>
    <w:rsid w:val="00431A34"/>
    <w:rsid w:val="00431ED0"/>
    <w:rsid w:val="00431FFD"/>
    <w:rsid w:val="004321B3"/>
    <w:rsid w:val="00432425"/>
    <w:rsid w:val="00432664"/>
    <w:rsid w:val="004327EF"/>
    <w:rsid w:val="0043285F"/>
    <w:rsid w:val="00432D4C"/>
    <w:rsid w:val="00432EA9"/>
    <w:rsid w:val="0043315C"/>
    <w:rsid w:val="004331C4"/>
    <w:rsid w:val="00433617"/>
    <w:rsid w:val="00433F84"/>
    <w:rsid w:val="00434576"/>
    <w:rsid w:val="00434617"/>
    <w:rsid w:val="00434672"/>
    <w:rsid w:val="00434C64"/>
    <w:rsid w:val="00434D1E"/>
    <w:rsid w:val="00434EA3"/>
    <w:rsid w:val="004353EE"/>
    <w:rsid w:val="004354F9"/>
    <w:rsid w:val="00435DCC"/>
    <w:rsid w:val="00436835"/>
    <w:rsid w:val="00436D11"/>
    <w:rsid w:val="00436D9D"/>
    <w:rsid w:val="00437012"/>
    <w:rsid w:val="00437026"/>
    <w:rsid w:val="0043715F"/>
    <w:rsid w:val="0043733E"/>
    <w:rsid w:val="0043764F"/>
    <w:rsid w:val="00437CE1"/>
    <w:rsid w:val="00437E15"/>
    <w:rsid w:val="00437E5E"/>
    <w:rsid w:val="0044000E"/>
    <w:rsid w:val="0044020E"/>
    <w:rsid w:val="004409EB"/>
    <w:rsid w:val="00440B23"/>
    <w:rsid w:val="00440D26"/>
    <w:rsid w:val="00441585"/>
    <w:rsid w:val="00441AA8"/>
    <w:rsid w:val="00441B32"/>
    <w:rsid w:val="00442859"/>
    <w:rsid w:val="004428CA"/>
    <w:rsid w:val="00442BC8"/>
    <w:rsid w:val="00442BDF"/>
    <w:rsid w:val="00442C50"/>
    <w:rsid w:val="004433AB"/>
    <w:rsid w:val="0044359D"/>
    <w:rsid w:val="0044382C"/>
    <w:rsid w:val="00443996"/>
    <w:rsid w:val="004440B1"/>
    <w:rsid w:val="00444227"/>
    <w:rsid w:val="004446A3"/>
    <w:rsid w:val="0044479A"/>
    <w:rsid w:val="00445644"/>
    <w:rsid w:val="00445B69"/>
    <w:rsid w:val="00445C92"/>
    <w:rsid w:val="00445E5D"/>
    <w:rsid w:val="004465D4"/>
    <w:rsid w:val="004465EC"/>
    <w:rsid w:val="004466CF"/>
    <w:rsid w:val="0044672A"/>
    <w:rsid w:val="004468F9"/>
    <w:rsid w:val="00446B05"/>
    <w:rsid w:val="00446F42"/>
    <w:rsid w:val="0044718A"/>
    <w:rsid w:val="00447E30"/>
    <w:rsid w:val="00450191"/>
    <w:rsid w:val="00450806"/>
    <w:rsid w:val="004509E9"/>
    <w:rsid w:val="00450D1C"/>
    <w:rsid w:val="00450E1E"/>
    <w:rsid w:val="004513E7"/>
    <w:rsid w:val="004516A9"/>
    <w:rsid w:val="00451A03"/>
    <w:rsid w:val="00451EE8"/>
    <w:rsid w:val="00451FDB"/>
    <w:rsid w:val="004523DE"/>
    <w:rsid w:val="00452BE0"/>
    <w:rsid w:val="00452C32"/>
    <w:rsid w:val="00452D0D"/>
    <w:rsid w:val="004534DC"/>
    <w:rsid w:val="00453605"/>
    <w:rsid w:val="00453713"/>
    <w:rsid w:val="00453A74"/>
    <w:rsid w:val="00453AE9"/>
    <w:rsid w:val="0045421A"/>
    <w:rsid w:val="00454556"/>
    <w:rsid w:val="00454D0E"/>
    <w:rsid w:val="00454FAF"/>
    <w:rsid w:val="00455E26"/>
    <w:rsid w:val="00455E3F"/>
    <w:rsid w:val="00455E60"/>
    <w:rsid w:val="00456154"/>
    <w:rsid w:val="004562A6"/>
    <w:rsid w:val="00456730"/>
    <w:rsid w:val="0045686E"/>
    <w:rsid w:val="00456A40"/>
    <w:rsid w:val="00456ABF"/>
    <w:rsid w:val="00456B75"/>
    <w:rsid w:val="00456CFE"/>
    <w:rsid w:val="004572B0"/>
    <w:rsid w:val="004572B6"/>
    <w:rsid w:val="004573AD"/>
    <w:rsid w:val="004574FA"/>
    <w:rsid w:val="00457933"/>
    <w:rsid w:val="00460459"/>
    <w:rsid w:val="004604DA"/>
    <w:rsid w:val="004609C8"/>
    <w:rsid w:val="0046107E"/>
    <w:rsid w:val="004612AE"/>
    <w:rsid w:val="00461408"/>
    <w:rsid w:val="004618D7"/>
    <w:rsid w:val="004627A3"/>
    <w:rsid w:val="00462A86"/>
    <w:rsid w:val="00462B87"/>
    <w:rsid w:val="00462D53"/>
    <w:rsid w:val="00463052"/>
    <w:rsid w:val="0046314F"/>
    <w:rsid w:val="004631C5"/>
    <w:rsid w:val="0046389B"/>
    <w:rsid w:val="00463F26"/>
    <w:rsid w:val="00464C1C"/>
    <w:rsid w:val="00464C5E"/>
    <w:rsid w:val="00464C71"/>
    <w:rsid w:val="00464E1D"/>
    <w:rsid w:val="00464E88"/>
    <w:rsid w:val="0046530C"/>
    <w:rsid w:val="00465BD8"/>
    <w:rsid w:val="0046679F"/>
    <w:rsid w:val="004667DA"/>
    <w:rsid w:val="00466D0C"/>
    <w:rsid w:val="00466D56"/>
    <w:rsid w:val="00466FC4"/>
    <w:rsid w:val="004672BB"/>
    <w:rsid w:val="004675C1"/>
    <w:rsid w:val="00467E9A"/>
    <w:rsid w:val="00470B60"/>
    <w:rsid w:val="00470FC3"/>
    <w:rsid w:val="004713BC"/>
    <w:rsid w:val="0047172B"/>
    <w:rsid w:val="00471AB4"/>
    <w:rsid w:val="00471B21"/>
    <w:rsid w:val="004724A0"/>
    <w:rsid w:val="004724E5"/>
    <w:rsid w:val="00472BB9"/>
    <w:rsid w:val="004739FB"/>
    <w:rsid w:val="00473DCD"/>
    <w:rsid w:val="00474141"/>
    <w:rsid w:val="00474262"/>
    <w:rsid w:val="0047442C"/>
    <w:rsid w:val="0047443C"/>
    <w:rsid w:val="00474D75"/>
    <w:rsid w:val="004750D1"/>
    <w:rsid w:val="00475291"/>
    <w:rsid w:val="004759BF"/>
    <w:rsid w:val="00475E14"/>
    <w:rsid w:val="00475ED5"/>
    <w:rsid w:val="00476635"/>
    <w:rsid w:val="00476BE5"/>
    <w:rsid w:val="004772FB"/>
    <w:rsid w:val="00477DB0"/>
    <w:rsid w:val="0048039D"/>
    <w:rsid w:val="004803B9"/>
    <w:rsid w:val="00480859"/>
    <w:rsid w:val="00480C16"/>
    <w:rsid w:val="00480F1C"/>
    <w:rsid w:val="004811AF"/>
    <w:rsid w:val="004816BE"/>
    <w:rsid w:val="0048183C"/>
    <w:rsid w:val="00481CE2"/>
    <w:rsid w:val="0048215D"/>
    <w:rsid w:val="004827FE"/>
    <w:rsid w:val="00482CE3"/>
    <w:rsid w:val="0048310F"/>
    <w:rsid w:val="00483302"/>
    <w:rsid w:val="00483343"/>
    <w:rsid w:val="0048389F"/>
    <w:rsid w:val="00483B54"/>
    <w:rsid w:val="00483BED"/>
    <w:rsid w:val="00484077"/>
    <w:rsid w:val="00484155"/>
    <w:rsid w:val="00484551"/>
    <w:rsid w:val="004845A5"/>
    <w:rsid w:val="00484DC5"/>
    <w:rsid w:val="0048532F"/>
    <w:rsid w:val="00485361"/>
    <w:rsid w:val="004853EE"/>
    <w:rsid w:val="00485634"/>
    <w:rsid w:val="0048591E"/>
    <w:rsid w:val="004859EA"/>
    <w:rsid w:val="00485C7F"/>
    <w:rsid w:val="00485CE4"/>
    <w:rsid w:val="00485D47"/>
    <w:rsid w:val="00486240"/>
    <w:rsid w:val="004862E3"/>
    <w:rsid w:val="00486F0E"/>
    <w:rsid w:val="00487CE2"/>
    <w:rsid w:val="00487DAC"/>
    <w:rsid w:val="00487EAD"/>
    <w:rsid w:val="0049021E"/>
    <w:rsid w:val="00490779"/>
    <w:rsid w:val="004907BE"/>
    <w:rsid w:val="004908B1"/>
    <w:rsid w:val="00490DFA"/>
    <w:rsid w:val="004911C3"/>
    <w:rsid w:val="00491395"/>
    <w:rsid w:val="004919E8"/>
    <w:rsid w:val="00491B84"/>
    <w:rsid w:val="00491C85"/>
    <w:rsid w:val="00491DAC"/>
    <w:rsid w:val="004920DC"/>
    <w:rsid w:val="00492D68"/>
    <w:rsid w:val="00493049"/>
    <w:rsid w:val="0049306D"/>
    <w:rsid w:val="00493FD3"/>
    <w:rsid w:val="00494027"/>
    <w:rsid w:val="0049433F"/>
    <w:rsid w:val="004945DB"/>
    <w:rsid w:val="0049475E"/>
    <w:rsid w:val="0049487D"/>
    <w:rsid w:val="0049491D"/>
    <w:rsid w:val="004955E2"/>
    <w:rsid w:val="0049568A"/>
    <w:rsid w:val="00495738"/>
    <w:rsid w:val="00495F46"/>
    <w:rsid w:val="004963CE"/>
    <w:rsid w:val="0049659E"/>
    <w:rsid w:val="004965E2"/>
    <w:rsid w:val="0049661F"/>
    <w:rsid w:val="00496C7C"/>
    <w:rsid w:val="0049765E"/>
    <w:rsid w:val="00497AA2"/>
    <w:rsid w:val="00497CCF"/>
    <w:rsid w:val="004A039A"/>
    <w:rsid w:val="004A060B"/>
    <w:rsid w:val="004A08A7"/>
    <w:rsid w:val="004A0BD3"/>
    <w:rsid w:val="004A1201"/>
    <w:rsid w:val="004A1408"/>
    <w:rsid w:val="004A16F2"/>
    <w:rsid w:val="004A1AC5"/>
    <w:rsid w:val="004A1F54"/>
    <w:rsid w:val="004A1FAE"/>
    <w:rsid w:val="004A23C4"/>
    <w:rsid w:val="004A2846"/>
    <w:rsid w:val="004A3696"/>
    <w:rsid w:val="004A3BC2"/>
    <w:rsid w:val="004A4073"/>
    <w:rsid w:val="004A4498"/>
    <w:rsid w:val="004A48CC"/>
    <w:rsid w:val="004A5439"/>
    <w:rsid w:val="004A5A9D"/>
    <w:rsid w:val="004A62F1"/>
    <w:rsid w:val="004A6912"/>
    <w:rsid w:val="004A6DDA"/>
    <w:rsid w:val="004A6F66"/>
    <w:rsid w:val="004A7137"/>
    <w:rsid w:val="004A7492"/>
    <w:rsid w:val="004A79F7"/>
    <w:rsid w:val="004B01D4"/>
    <w:rsid w:val="004B09D2"/>
    <w:rsid w:val="004B0D64"/>
    <w:rsid w:val="004B10F0"/>
    <w:rsid w:val="004B110E"/>
    <w:rsid w:val="004B1767"/>
    <w:rsid w:val="004B1A71"/>
    <w:rsid w:val="004B203E"/>
    <w:rsid w:val="004B2131"/>
    <w:rsid w:val="004B2344"/>
    <w:rsid w:val="004B2922"/>
    <w:rsid w:val="004B2AD8"/>
    <w:rsid w:val="004B2D53"/>
    <w:rsid w:val="004B2D8A"/>
    <w:rsid w:val="004B308C"/>
    <w:rsid w:val="004B3F69"/>
    <w:rsid w:val="004B4914"/>
    <w:rsid w:val="004B4D8A"/>
    <w:rsid w:val="004B556C"/>
    <w:rsid w:val="004B5ED1"/>
    <w:rsid w:val="004B6234"/>
    <w:rsid w:val="004B62F0"/>
    <w:rsid w:val="004B6A7C"/>
    <w:rsid w:val="004B6A84"/>
    <w:rsid w:val="004B71FF"/>
    <w:rsid w:val="004B7248"/>
    <w:rsid w:val="004B73AF"/>
    <w:rsid w:val="004C0206"/>
    <w:rsid w:val="004C0A01"/>
    <w:rsid w:val="004C0D05"/>
    <w:rsid w:val="004C0F84"/>
    <w:rsid w:val="004C1370"/>
    <w:rsid w:val="004C1D2A"/>
    <w:rsid w:val="004C1F01"/>
    <w:rsid w:val="004C22E8"/>
    <w:rsid w:val="004C2507"/>
    <w:rsid w:val="004C2898"/>
    <w:rsid w:val="004C298E"/>
    <w:rsid w:val="004C3037"/>
    <w:rsid w:val="004C3135"/>
    <w:rsid w:val="004C3324"/>
    <w:rsid w:val="004C3345"/>
    <w:rsid w:val="004C36B8"/>
    <w:rsid w:val="004C3E53"/>
    <w:rsid w:val="004C452A"/>
    <w:rsid w:val="004C455F"/>
    <w:rsid w:val="004C537E"/>
    <w:rsid w:val="004C5438"/>
    <w:rsid w:val="004C568E"/>
    <w:rsid w:val="004C59F7"/>
    <w:rsid w:val="004C65C7"/>
    <w:rsid w:val="004C69AB"/>
    <w:rsid w:val="004C6E68"/>
    <w:rsid w:val="004C700B"/>
    <w:rsid w:val="004C72AA"/>
    <w:rsid w:val="004C779B"/>
    <w:rsid w:val="004C781E"/>
    <w:rsid w:val="004C7DBC"/>
    <w:rsid w:val="004C7DEE"/>
    <w:rsid w:val="004C7E44"/>
    <w:rsid w:val="004D01B1"/>
    <w:rsid w:val="004D0A69"/>
    <w:rsid w:val="004D0B76"/>
    <w:rsid w:val="004D105A"/>
    <w:rsid w:val="004D14E6"/>
    <w:rsid w:val="004D19FF"/>
    <w:rsid w:val="004D1A53"/>
    <w:rsid w:val="004D1FCE"/>
    <w:rsid w:val="004D22F4"/>
    <w:rsid w:val="004D2C3E"/>
    <w:rsid w:val="004D3087"/>
    <w:rsid w:val="004D346A"/>
    <w:rsid w:val="004D393F"/>
    <w:rsid w:val="004D3A65"/>
    <w:rsid w:val="004D3FC3"/>
    <w:rsid w:val="004D43D7"/>
    <w:rsid w:val="004D442B"/>
    <w:rsid w:val="004D4462"/>
    <w:rsid w:val="004D4CDF"/>
    <w:rsid w:val="004D5A1B"/>
    <w:rsid w:val="004D5A73"/>
    <w:rsid w:val="004D5FF6"/>
    <w:rsid w:val="004D635E"/>
    <w:rsid w:val="004D6A00"/>
    <w:rsid w:val="004D6B0F"/>
    <w:rsid w:val="004D6BCE"/>
    <w:rsid w:val="004D72E6"/>
    <w:rsid w:val="004D73FC"/>
    <w:rsid w:val="004D76AC"/>
    <w:rsid w:val="004D77ED"/>
    <w:rsid w:val="004D7B2D"/>
    <w:rsid w:val="004E0299"/>
    <w:rsid w:val="004E0358"/>
    <w:rsid w:val="004E041E"/>
    <w:rsid w:val="004E06F1"/>
    <w:rsid w:val="004E07C7"/>
    <w:rsid w:val="004E1047"/>
    <w:rsid w:val="004E10BA"/>
    <w:rsid w:val="004E1383"/>
    <w:rsid w:val="004E13EA"/>
    <w:rsid w:val="004E1483"/>
    <w:rsid w:val="004E17B9"/>
    <w:rsid w:val="004E1BC1"/>
    <w:rsid w:val="004E1D80"/>
    <w:rsid w:val="004E1DE8"/>
    <w:rsid w:val="004E21B7"/>
    <w:rsid w:val="004E2567"/>
    <w:rsid w:val="004E258E"/>
    <w:rsid w:val="004E2D75"/>
    <w:rsid w:val="004E30EA"/>
    <w:rsid w:val="004E3513"/>
    <w:rsid w:val="004E3659"/>
    <w:rsid w:val="004E389B"/>
    <w:rsid w:val="004E43FD"/>
    <w:rsid w:val="004E450A"/>
    <w:rsid w:val="004E47F9"/>
    <w:rsid w:val="004E4831"/>
    <w:rsid w:val="004E4AE0"/>
    <w:rsid w:val="004E4B15"/>
    <w:rsid w:val="004E4CFA"/>
    <w:rsid w:val="004E508A"/>
    <w:rsid w:val="004E53E4"/>
    <w:rsid w:val="004E56BE"/>
    <w:rsid w:val="004E56E7"/>
    <w:rsid w:val="004E5B06"/>
    <w:rsid w:val="004E5B31"/>
    <w:rsid w:val="004E6163"/>
    <w:rsid w:val="004E6352"/>
    <w:rsid w:val="004E6613"/>
    <w:rsid w:val="004E66AF"/>
    <w:rsid w:val="004E679C"/>
    <w:rsid w:val="004E6957"/>
    <w:rsid w:val="004E6F50"/>
    <w:rsid w:val="004E709A"/>
    <w:rsid w:val="004E7121"/>
    <w:rsid w:val="004E75DC"/>
    <w:rsid w:val="004E79AA"/>
    <w:rsid w:val="004E7D2B"/>
    <w:rsid w:val="004F0066"/>
    <w:rsid w:val="004F009D"/>
    <w:rsid w:val="004F03C5"/>
    <w:rsid w:val="004F0562"/>
    <w:rsid w:val="004F0588"/>
    <w:rsid w:val="004F0C59"/>
    <w:rsid w:val="004F0CE1"/>
    <w:rsid w:val="004F10B7"/>
    <w:rsid w:val="004F1401"/>
    <w:rsid w:val="004F17BE"/>
    <w:rsid w:val="004F1AF6"/>
    <w:rsid w:val="004F1BE7"/>
    <w:rsid w:val="004F1C1A"/>
    <w:rsid w:val="004F1C8E"/>
    <w:rsid w:val="004F1D31"/>
    <w:rsid w:val="004F21B9"/>
    <w:rsid w:val="004F23F2"/>
    <w:rsid w:val="004F25EA"/>
    <w:rsid w:val="004F263D"/>
    <w:rsid w:val="004F2B7C"/>
    <w:rsid w:val="004F2CA2"/>
    <w:rsid w:val="004F30FD"/>
    <w:rsid w:val="004F3611"/>
    <w:rsid w:val="004F3885"/>
    <w:rsid w:val="004F3A78"/>
    <w:rsid w:val="004F3E62"/>
    <w:rsid w:val="004F4263"/>
    <w:rsid w:val="004F449D"/>
    <w:rsid w:val="004F4B52"/>
    <w:rsid w:val="004F5164"/>
    <w:rsid w:val="004F531F"/>
    <w:rsid w:val="004F5320"/>
    <w:rsid w:val="004F5C6F"/>
    <w:rsid w:val="004F5D44"/>
    <w:rsid w:val="004F605F"/>
    <w:rsid w:val="004F6728"/>
    <w:rsid w:val="004F6933"/>
    <w:rsid w:val="004F6946"/>
    <w:rsid w:val="004F6ABF"/>
    <w:rsid w:val="004F6AE5"/>
    <w:rsid w:val="004F6B75"/>
    <w:rsid w:val="004F6BBA"/>
    <w:rsid w:val="004F6BCF"/>
    <w:rsid w:val="004F6CF8"/>
    <w:rsid w:val="004F6D08"/>
    <w:rsid w:val="004F73C3"/>
    <w:rsid w:val="004F7574"/>
    <w:rsid w:val="004F770C"/>
    <w:rsid w:val="004F7BC8"/>
    <w:rsid w:val="005000EE"/>
    <w:rsid w:val="00500716"/>
    <w:rsid w:val="00500C2A"/>
    <w:rsid w:val="00500F03"/>
    <w:rsid w:val="00501BF9"/>
    <w:rsid w:val="00501CCE"/>
    <w:rsid w:val="00502077"/>
    <w:rsid w:val="00502223"/>
    <w:rsid w:val="00502516"/>
    <w:rsid w:val="00502564"/>
    <w:rsid w:val="00502D7E"/>
    <w:rsid w:val="005030AE"/>
    <w:rsid w:val="005037EA"/>
    <w:rsid w:val="0050396A"/>
    <w:rsid w:val="00503D42"/>
    <w:rsid w:val="0050416D"/>
    <w:rsid w:val="005047D0"/>
    <w:rsid w:val="00504D5C"/>
    <w:rsid w:val="00504E99"/>
    <w:rsid w:val="00505400"/>
    <w:rsid w:val="005055A7"/>
    <w:rsid w:val="0050578F"/>
    <w:rsid w:val="00505840"/>
    <w:rsid w:val="005065A8"/>
    <w:rsid w:val="00506A20"/>
    <w:rsid w:val="00506A25"/>
    <w:rsid w:val="00506A70"/>
    <w:rsid w:val="00506E95"/>
    <w:rsid w:val="00507998"/>
    <w:rsid w:val="005100FD"/>
    <w:rsid w:val="00510114"/>
    <w:rsid w:val="00510CA9"/>
    <w:rsid w:val="00510F3F"/>
    <w:rsid w:val="00511010"/>
    <w:rsid w:val="00511091"/>
    <w:rsid w:val="005111E6"/>
    <w:rsid w:val="0051129E"/>
    <w:rsid w:val="00511556"/>
    <w:rsid w:val="00511B66"/>
    <w:rsid w:val="00511F71"/>
    <w:rsid w:val="00511FDF"/>
    <w:rsid w:val="0051221E"/>
    <w:rsid w:val="0051256D"/>
    <w:rsid w:val="00512851"/>
    <w:rsid w:val="0051290E"/>
    <w:rsid w:val="00512CA4"/>
    <w:rsid w:val="00513112"/>
    <w:rsid w:val="00513298"/>
    <w:rsid w:val="005133E7"/>
    <w:rsid w:val="005138A7"/>
    <w:rsid w:val="00513997"/>
    <w:rsid w:val="005140B3"/>
    <w:rsid w:val="005142FB"/>
    <w:rsid w:val="005143F4"/>
    <w:rsid w:val="005147E1"/>
    <w:rsid w:val="00514844"/>
    <w:rsid w:val="00514EBD"/>
    <w:rsid w:val="00514FC9"/>
    <w:rsid w:val="005151EA"/>
    <w:rsid w:val="0051537F"/>
    <w:rsid w:val="005154D7"/>
    <w:rsid w:val="0051565C"/>
    <w:rsid w:val="00515E3D"/>
    <w:rsid w:val="0051620F"/>
    <w:rsid w:val="0051637A"/>
    <w:rsid w:val="00516C14"/>
    <w:rsid w:val="00517529"/>
    <w:rsid w:val="00517AAC"/>
    <w:rsid w:val="00517BF9"/>
    <w:rsid w:val="00517D5F"/>
    <w:rsid w:val="00517F7B"/>
    <w:rsid w:val="005203C4"/>
    <w:rsid w:val="00520A69"/>
    <w:rsid w:val="00520C57"/>
    <w:rsid w:val="0052119C"/>
    <w:rsid w:val="005214D0"/>
    <w:rsid w:val="0052156A"/>
    <w:rsid w:val="005217DD"/>
    <w:rsid w:val="00521FBC"/>
    <w:rsid w:val="0052200A"/>
    <w:rsid w:val="005224AE"/>
    <w:rsid w:val="0052274D"/>
    <w:rsid w:val="005227CB"/>
    <w:rsid w:val="005227FA"/>
    <w:rsid w:val="00522C5D"/>
    <w:rsid w:val="00522F6D"/>
    <w:rsid w:val="00524217"/>
    <w:rsid w:val="00524461"/>
    <w:rsid w:val="00524C01"/>
    <w:rsid w:val="00524DA3"/>
    <w:rsid w:val="00525950"/>
    <w:rsid w:val="005259BB"/>
    <w:rsid w:val="005267F9"/>
    <w:rsid w:val="005272EB"/>
    <w:rsid w:val="00527471"/>
    <w:rsid w:val="00527817"/>
    <w:rsid w:val="005279C7"/>
    <w:rsid w:val="00527A4A"/>
    <w:rsid w:val="00527ACF"/>
    <w:rsid w:val="00527DD7"/>
    <w:rsid w:val="00527E66"/>
    <w:rsid w:val="00530202"/>
    <w:rsid w:val="00530607"/>
    <w:rsid w:val="00530CE0"/>
    <w:rsid w:val="00530D47"/>
    <w:rsid w:val="00530E57"/>
    <w:rsid w:val="00530F09"/>
    <w:rsid w:val="005313B8"/>
    <w:rsid w:val="0053148C"/>
    <w:rsid w:val="00531957"/>
    <w:rsid w:val="005319AE"/>
    <w:rsid w:val="005319B9"/>
    <w:rsid w:val="0053205D"/>
    <w:rsid w:val="005329B8"/>
    <w:rsid w:val="00533157"/>
    <w:rsid w:val="005334EC"/>
    <w:rsid w:val="005337B1"/>
    <w:rsid w:val="005342BB"/>
    <w:rsid w:val="005342C1"/>
    <w:rsid w:val="00534333"/>
    <w:rsid w:val="005345BF"/>
    <w:rsid w:val="00535477"/>
    <w:rsid w:val="00535581"/>
    <w:rsid w:val="00535B29"/>
    <w:rsid w:val="00536613"/>
    <w:rsid w:val="00536811"/>
    <w:rsid w:val="005368B8"/>
    <w:rsid w:val="00536F48"/>
    <w:rsid w:val="0053733A"/>
    <w:rsid w:val="00540980"/>
    <w:rsid w:val="00540AB4"/>
    <w:rsid w:val="00540C1D"/>
    <w:rsid w:val="00540CBF"/>
    <w:rsid w:val="00540D63"/>
    <w:rsid w:val="00540E0F"/>
    <w:rsid w:val="005410BC"/>
    <w:rsid w:val="005410E4"/>
    <w:rsid w:val="00541167"/>
    <w:rsid w:val="00541A3C"/>
    <w:rsid w:val="00541A9C"/>
    <w:rsid w:val="00541CAB"/>
    <w:rsid w:val="00541E4D"/>
    <w:rsid w:val="0054220D"/>
    <w:rsid w:val="0054248B"/>
    <w:rsid w:val="00542750"/>
    <w:rsid w:val="005429B1"/>
    <w:rsid w:val="00542EE3"/>
    <w:rsid w:val="00543079"/>
    <w:rsid w:val="005433B2"/>
    <w:rsid w:val="0054355E"/>
    <w:rsid w:val="00543713"/>
    <w:rsid w:val="00543788"/>
    <w:rsid w:val="00543822"/>
    <w:rsid w:val="0054409C"/>
    <w:rsid w:val="00544126"/>
    <w:rsid w:val="00544376"/>
    <w:rsid w:val="00544382"/>
    <w:rsid w:val="00544A5A"/>
    <w:rsid w:val="0054502C"/>
    <w:rsid w:val="00545273"/>
    <w:rsid w:val="0054550E"/>
    <w:rsid w:val="00545610"/>
    <w:rsid w:val="00545811"/>
    <w:rsid w:val="00545BAB"/>
    <w:rsid w:val="00545D81"/>
    <w:rsid w:val="00545E58"/>
    <w:rsid w:val="00546325"/>
    <w:rsid w:val="005468F9"/>
    <w:rsid w:val="005470F9"/>
    <w:rsid w:val="0054768E"/>
    <w:rsid w:val="00547C5C"/>
    <w:rsid w:val="00547D53"/>
    <w:rsid w:val="00547E6A"/>
    <w:rsid w:val="00550567"/>
    <w:rsid w:val="0055073F"/>
    <w:rsid w:val="00550A56"/>
    <w:rsid w:val="00550BC9"/>
    <w:rsid w:val="00550DA4"/>
    <w:rsid w:val="00550EA1"/>
    <w:rsid w:val="00551254"/>
    <w:rsid w:val="005513A0"/>
    <w:rsid w:val="005515CE"/>
    <w:rsid w:val="005516A3"/>
    <w:rsid w:val="00551777"/>
    <w:rsid w:val="00551AEB"/>
    <w:rsid w:val="00551B9D"/>
    <w:rsid w:val="00551DD5"/>
    <w:rsid w:val="005522A5"/>
    <w:rsid w:val="00552526"/>
    <w:rsid w:val="00552745"/>
    <w:rsid w:val="00552768"/>
    <w:rsid w:val="005527A2"/>
    <w:rsid w:val="00552805"/>
    <w:rsid w:val="0055284F"/>
    <w:rsid w:val="00552BC0"/>
    <w:rsid w:val="0055315E"/>
    <w:rsid w:val="00553A13"/>
    <w:rsid w:val="00553ADA"/>
    <w:rsid w:val="00553D93"/>
    <w:rsid w:val="00554283"/>
    <w:rsid w:val="00554306"/>
    <w:rsid w:val="00554411"/>
    <w:rsid w:val="005544E8"/>
    <w:rsid w:val="0055467E"/>
    <w:rsid w:val="00554B9C"/>
    <w:rsid w:val="0055507C"/>
    <w:rsid w:val="00555CE9"/>
    <w:rsid w:val="00555FE4"/>
    <w:rsid w:val="005564A9"/>
    <w:rsid w:val="00556740"/>
    <w:rsid w:val="00556C8A"/>
    <w:rsid w:val="00556D21"/>
    <w:rsid w:val="00556F31"/>
    <w:rsid w:val="00556FD1"/>
    <w:rsid w:val="005570CF"/>
    <w:rsid w:val="0055777E"/>
    <w:rsid w:val="005604F2"/>
    <w:rsid w:val="00560F3E"/>
    <w:rsid w:val="005613CB"/>
    <w:rsid w:val="0056144F"/>
    <w:rsid w:val="00561858"/>
    <w:rsid w:val="0056190C"/>
    <w:rsid w:val="005619ED"/>
    <w:rsid w:val="00561ABF"/>
    <w:rsid w:val="00561B30"/>
    <w:rsid w:val="00561B38"/>
    <w:rsid w:val="00561D1F"/>
    <w:rsid w:val="00561FE1"/>
    <w:rsid w:val="00562015"/>
    <w:rsid w:val="005620EF"/>
    <w:rsid w:val="005623A4"/>
    <w:rsid w:val="0056274E"/>
    <w:rsid w:val="00562AEA"/>
    <w:rsid w:val="0056386A"/>
    <w:rsid w:val="005639FF"/>
    <w:rsid w:val="005644BA"/>
    <w:rsid w:val="00564A02"/>
    <w:rsid w:val="00565192"/>
    <w:rsid w:val="00565246"/>
    <w:rsid w:val="00565367"/>
    <w:rsid w:val="005653E1"/>
    <w:rsid w:val="005656D0"/>
    <w:rsid w:val="00565BA6"/>
    <w:rsid w:val="00565FFA"/>
    <w:rsid w:val="005661F4"/>
    <w:rsid w:val="00566305"/>
    <w:rsid w:val="00566601"/>
    <w:rsid w:val="00566692"/>
    <w:rsid w:val="005668B6"/>
    <w:rsid w:val="00566DBF"/>
    <w:rsid w:val="00566EFA"/>
    <w:rsid w:val="00567335"/>
    <w:rsid w:val="00567764"/>
    <w:rsid w:val="00567B96"/>
    <w:rsid w:val="00567BC0"/>
    <w:rsid w:val="00570296"/>
    <w:rsid w:val="005709DE"/>
    <w:rsid w:val="00570B3B"/>
    <w:rsid w:val="00570DF5"/>
    <w:rsid w:val="00570F99"/>
    <w:rsid w:val="0057148F"/>
    <w:rsid w:val="0057252E"/>
    <w:rsid w:val="00572881"/>
    <w:rsid w:val="00572CA6"/>
    <w:rsid w:val="00572CC8"/>
    <w:rsid w:val="00572DDF"/>
    <w:rsid w:val="005734AA"/>
    <w:rsid w:val="00573550"/>
    <w:rsid w:val="00573983"/>
    <w:rsid w:val="00573E80"/>
    <w:rsid w:val="0057528D"/>
    <w:rsid w:val="005755FB"/>
    <w:rsid w:val="00575901"/>
    <w:rsid w:val="00575ABA"/>
    <w:rsid w:val="00575C6B"/>
    <w:rsid w:val="00575FA8"/>
    <w:rsid w:val="00575FE9"/>
    <w:rsid w:val="00576002"/>
    <w:rsid w:val="0057611E"/>
    <w:rsid w:val="005763BE"/>
    <w:rsid w:val="00576669"/>
    <w:rsid w:val="005768DD"/>
    <w:rsid w:val="005768F3"/>
    <w:rsid w:val="00576C6E"/>
    <w:rsid w:val="00577205"/>
    <w:rsid w:val="005772A6"/>
    <w:rsid w:val="00577A2C"/>
    <w:rsid w:val="00577B7E"/>
    <w:rsid w:val="00577B80"/>
    <w:rsid w:val="00577D9C"/>
    <w:rsid w:val="005808E6"/>
    <w:rsid w:val="00580A7A"/>
    <w:rsid w:val="00580B55"/>
    <w:rsid w:val="00580C5F"/>
    <w:rsid w:val="00580E2E"/>
    <w:rsid w:val="00581026"/>
    <w:rsid w:val="00581160"/>
    <w:rsid w:val="00581531"/>
    <w:rsid w:val="005821FE"/>
    <w:rsid w:val="00582443"/>
    <w:rsid w:val="00582907"/>
    <w:rsid w:val="00582C3E"/>
    <w:rsid w:val="00582FC0"/>
    <w:rsid w:val="0058306F"/>
    <w:rsid w:val="00583AEA"/>
    <w:rsid w:val="00583D9A"/>
    <w:rsid w:val="00584016"/>
    <w:rsid w:val="00584119"/>
    <w:rsid w:val="0058446D"/>
    <w:rsid w:val="005849BA"/>
    <w:rsid w:val="00584E51"/>
    <w:rsid w:val="0058513A"/>
    <w:rsid w:val="00585522"/>
    <w:rsid w:val="00585568"/>
    <w:rsid w:val="00585804"/>
    <w:rsid w:val="00585A0E"/>
    <w:rsid w:val="00585AD5"/>
    <w:rsid w:val="00585D8D"/>
    <w:rsid w:val="00585DFC"/>
    <w:rsid w:val="00586636"/>
    <w:rsid w:val="00586D24"/>
    <w:rsid w:val="00587119"/>
    <w:rsid w:val="005871E6"/>
    <w:rsid w:val="00587367"/>
    <w:rsid w:val="0058751C"/>
    <w:rsid w:val="005878A5"/>
    <w:rsid w:val="00587DC4"/>
    <w:rsid w:val="005901B0"/>
    <w:rsid w:val="0059025A"/>
    <w:rsid w:val="00590408"/>
    <w:rsid w:val="00590799"/>
    <w:rsid w:val="00590821"/>
    <w:rsid w:val="00590D14"/>
    <w:rsid w:val="005914AC"/>
    <w:rsid w:val="00591908"/>
    <w:rsid w:val="0059199B"/>
    <w:rsid w:val="00591CC0"/>
    <w:rsid w:val="0059214B"/>
    <w:rsid w:val="00592309"/>
    <w:rsid w:val="00592397"/>
    <w:rsid w:val="005934B7"/>
    <w:rsid w:val="00593720"/>
    <w:rsid w:val="00593A31"/>
    <w:rsid w:val="00593C29"/>
    <w:rsid w:val="005940DE"/>
    <w:rsid w:val="0059453D"/>
    <w:rsid w:val="00594690"/>
    <w:rsid w:val="00594762"/>
    <w:rsid w:val="00594AD4"/>
    <w:rsid w:val="00594C2E"/>
    <w:rsid w:val="00594D81"/>
    <w:rsid w:val="00594DAB"/>
    <w:rsid w:val="00595335"/>
    <w:rsid w:val="0059545C"/>
    <w:rsid w:val="00595D0C"/>
    <w:rsid w:val="00595E6E"/>
    <w:rsid w:val="00596BB4"/>
    <w:rsid w:val="005971DC"/>
    <w:rsid w:val="00597369"/>
    <w:rsid w:val="0059768A"/>
    <w:rsid w:val="00597964"/>
    <w:rsid w:val="005979E4"/>
    <w:rsid w:val="00597A84"/>
    <w:rsid w:val="00597E7D"/>
    <w:rsid w:val="005A033D"/>
    <w:rsid w:val="005A0475"/>
    <w:rsid w:val="005A049D"/>
    <w:rsid w:val="005A0660"/>
    <w:rsid w:val="005A14BA"/>
    <w:rsid w:val="005A175B"/>
    <w:rsid w:val="005A1C7D"/>
    <w:rsid w:val="005A1CBA"/>
    <w:rsid w:val="005A1F21"/>
    <w:rsid w:val="005A2223"/>
    <w:rsid w:val="005A24DF"/>
    <w:rsid w:val="005A2A55"/>
    <w:rsid w:val="005A33E3"/>
    <w:rsid w:val="005A3749"/>
    <w:rsid w:val="005A3836"/>
    <w:rsid w:val="005A440A"/>
    <w:rsid w:val="005A46A7"/>
    <w:rsid w:val="005A4831"/>
    <w:rsid w:val="005A51E5"/>
    <w:rsid w:val="005A555C"/>
    <w:rsid w:val="005A573A"/>
    <w:rsid w:val="005A5A16"/>
    <w:rsid w:val="005A5B67"/>
    <w:rsid w:val="005A5E55"/>
    <w:rsid w:val="005A64BC"/>
    <w:rsid w:val="005A66EE"/>
    <w:rsid w:val="005A670A"/>
    <w:rsid w:val="005A6822"/>
    <w:rsid w:val="005A6F1E"/>
    <w:rsid w:val="005A705A"/>
    <w:rsid w:val="005A733D"/>
    <w:rsid w:val="005A7D69"/>
    <w:rsid w:val="005A7EA3"/>
    <w:rsid w:val="005B0177"/>
    <w:rsid w:val="005B03A3"/>
    <w:rsid w:val="005B0481"/>
    <w:rsid w:val="005B0833"/>
    <w:rsid w:val="005B08EA"/>
    <w:rsid w:val="005B092A"/>
    <w:rsid w:val="005B099E"/>
    <w:rsid w:val="005B0AAA"/>
    <w:rsid w:val="005B1E77"/>
    <w:rsid w:val="005B21A7"/>
    <w:rsid w:val="005B2483"/>
    <w:rsid w:val="005B259F"/>
    <w:rsid w:val="005B2AFB"/>
    <w:rsid w:val="005B3503"/>
    <w:rsid w:val="005B353B"/>
    <w:rsid w:val="005B3578"/>
    <w:rsid w:val="005B3C9E"/>
    <w:rsid w:val="005B3D36"/>
    <w:rsid w:val="005B4F48"/>
    <w:rsid w:val="005B5283"/>
    <w:rsid w:val="005B5317"/>
    <w:rsid w:val="005B53A8"/>
    <w:rsid w:val="005B56ED"/>
    <w:rsid w:val="005B57EB"/>
    <w:rsid w:val="005B64CE"/>
    <w:rsid w:val="005B6646"/>
    <w:rsid w:val="005B6DBB"/>
    <w:rsid w:val="005B6EF0"/>
    <w:rsid w:val="005B706F"/>
    <w:rsid w:val="005B71F6"/>
    <w:rsid w:val="005B728E"/>
    <w:rsid w:val="005B748F"/>
    <w:rsid w:val="005B78FD"/>
    <w:rsid w:val="005B7A42"/>
    <w:rsid w:val="005B7B3E"/>
    <w:rsid w:val="005B7EBC"/>
    <w:rsid w:val="005C0198"/>
    <w:rsid w:val="005C047A"/>
    <w:rsid w:val="005C05D7"/>
    <w:rsid w:val="005C0CA3"/>
    <w:rsid w:val="005C1613"/>
    <w:rsid w:val="005C249F"/>
    <w:rsid w:val="005C25FA"/>
    <w:rsid w:val="005C2663"/>
    <w:rsid w:val="005C277B"/>
    <w:rsid w:val="005C279D"/>
    <w:rsid w:val="005C4009"/>
    <w:rsid w:val="005C46B3"/>
    <w:rsid w:val="005C49F0"/>
    <w:rsid w:val="005C4B18"/>
    <w:rsid w:val="005C4CCC"/>
    <w:rsid w:val="005C51D2"/>
    <w:rsid w:val="005C51DA"/>
    <w:rsid w:val="005C51F4"/>
    <w:rsid w:val="005C5518"/>
    <w:rsid w:val="005C57A0"/>
    <w:rsid w:val="005C5810"/>
    <w:rsid w:val="005C5B2C"/>
    <w:rsid w:val="005C5D85"/>
    <w:rsid w:val="005C6423"/>
    <w:rsid w:val="005C6833"/>
    <w:rsid w:val="005C6A22"/>
    <w:rsid w:val="005C6A76"/>
    <w:rsid w:val="005C6FC8"/>
    <w:rsid w:val="005C763C"/>
    <w:rsid w:val="005C76D0"/>
    <w:rsid w:val="005C7704"/>
    <w:rsid w:val="005C7897"/>
    <w:rsid w:val="005C78CD"/>
    <w:rsid w:val="005C7AC3"/>
    <w:rsid w:val="005D0148"/>
    <w:rsid w:val="005D044D"/>
    <w:rsid w:val="005D06DA"/>
    <w:rsid w:val="005D0702"/>
    <w:rsid w:val="005D0FD6"/>
    <w:rsid w:val="005D11A6"/>
    <w:rsid w:val="005D11CF"/>
    <w:rsid w:val="005D154E"/>
    <w:rsid w:val="005D17C4"/>
    <w:rsid w:val="005D1D80"/>
    <w:rsid w:val="005D2573"/>
    <w:rsid w:val="005D2757"/>
    <w:rsid w:val="005D291F"/>
    <w:rsid w:val="005D2C06"/>
    <w:rsid w:val="005D2D63"/>
    <w:rsid w:val="005D2D9D"/>
    <w:rsid w:val="005D3116"/>
    <w:rsid w:val="005D34C3"/>
    <w:rsid w:val="005D35D9"/>
    <w:rsid w:val="005D3A01"/>
    <w:rsid w:val="005D47B5"/>
    <w:rsid w:val="005D522F"/>
    <w:rsid w:val="005D5930"/>
    <w:rsid w:val="005D59AF"/>
    <w:rsid w:val="005D6217"/>
    <w:rsid w:val="005D6C07"/>
    <w:rsid w:val="005D6C5E"/>
    <w:rsid w:val="005D78F2"/>
    <w:rsid w:val="005D7C3E"/>
    <w:rsid w:val="005D7C7B"/>
    <w:rsid w:val="005D7C7F"/>
    <w:rsid w:val="005D7F79"/>
    <w:rsid w:val="005E0021"/>
    <w:rsid w:val="005E009F"/>
    <w:rsid w:val="005E0453"/>
    <w:rsid w:val="005E049A"/>
    <w:rsid w:val="005E08DC"/>
    <w:rsid w:val="005E0AE3"/>
    <w:rsid w:val="005E0B79"/>
    <w:rsid w:val="005E15A8"/>
    <w:rsid w:val="005E1AB2"/>
    <w:rsid w:val="005E1FE7"/>
    <w:rsid w:val="005E2A43"/>
    <w:rsid w:val="005E2D7E"/>
    <w:rsid w:val="005E3049"/>
    <w:rsid w:val="005E3168"/>
    <w:rsid w:val="005E366F"/>
    <w:rsid w:val="005E3769"/>
    <w:rsid w:val="005E3EDA"/>
    <w:rsid w:val="005E454F"/>
    <w:rsid w:val="005E47A1"/>
    <w:rsid w:val="005E4882"/>
    <w:rsid w:val="005E4AEA"/>
    <w:rsid w:val="005E5236"/>
    <w:rsid w:val="005E564E"/>
    <w:rsid w:val="005E58F4"/>
    <w:rsid w:val="005E59E5"/>
    <w:rsid w:val="005E5DAE"/>
    <w:rsid w:val="005E5FF3"/>
    <w:rsid w:val="005E6352"/>
    <w:rsid w:val="005E6D9B"/>
    <w:rsid w:val="005E6DEA"/>
    <w:rsid w:val="005E715C"/>
    <w:rsid w:val="005E71D6"/>
    <w:rsid w:val="005E756E"/>
    <w:rsid w:val="005E7E28"/>
    <w:rsid w:val="005F046A"/>
    <w:rsid w:val="005F0676"/>
    <w:rsid w:val="005F06BF"/>
    <w:rsid w:val="005F08D6"/>
    <w:rsid w:val="005F0C71"/>
    <w:rsid w:val="005F1019"/>
    <w:rsid w:val="005F16D7"/>
    <w:rsid w:val="005F1FC6"/>
    <w:rsid w:val="005F217C"/>
    <w:rsid w:val="005F21AC"/>
    <w:rsid w:val="005F224B"/>
    <w:rsid w:val="005F26E5"/>
    <w:rsid w:val="005F2757"/>
    <w:rsid w:val="005F2F95"/>
    <w:rsid w:val="005F34E7"/>
    <w:rsid w:val="005F3942"/>
    <w:rsid w:val="005F3F31"/>
    <w:rsid w:val="005F431F"/>
    <w:rsid w:val="005F43B1"/>
    <w:rsid w:val="005F4482"/>
    <w:rsid w:val="005F4494"/>
    <w:rsid w:val="005F44E7"/>
    <w:rsid w:val="005F4781"/>
    <w:rsid w:val="005F49D7"/>
    <w:rsid w:val="005F4A89"/>
    <w:rsid w:val="005F523A"/>
    <w:rsid w:val="005F5396"/>
    <w:rsid w:val="005F5559"/>
    <w:rsid w:val="005F5CDD"/>
    <w:rsid w:val="005F5DD5"/>
    <w:rsid w:val="005F5DE0"/>
    <w:rsid w:val="005F62CB"/>
    <w:rsid w:val="005F66E4"/>
    <w:rsid w:val="005F6811"/>
    <w:rsid w:val="005F69EB"/>
    <w:rsid w:val="005F6F5F"/>
    <w:rsid w:val="005F700F"/>
    <w:rsid w:val="005F7212"/>
    <w:rsid w:val="005F7333"/>
    <w:rsid w:val="005F7467"/>
    <w:rsid w:val="005F78E4"/>
    <w:rsid w:val="005F7A92"/>
    <w:rsid w:val="005F7EEF"/>
    <w:rsid w:val="006005A2"/>
    <w:rsid w:val="00600A76"/>
    <w:rsid w:val="00600DF7"/>
    <w:rsid w:val="00600FF4"/>
    <w:rsid w:val="00601386"/>
    <w:rsid w:val="0060172D"/>
    <w:rsid w:val="00601F31"/>
    <w:rsid w:val="006027A8"/>
    <w:rsid w:val="006028EE"/>
    <w:rsid w:val="00602964"/>
    <w:rsid w:val="00602FB0"/>
    <w:rsid w:val="00603542"/>
    <w:rsid w:val="006036DD"/>
    <w:rsid w:val="0060372A"/>
    <w:rsid w:val="00603D56"/>
    <w:rsid w:val="00603FB3"/>
    <w:rsid w:val="0060480C"/>
    <w:rsid w:val="00604857"/>
    <w:rsid w:val="00604D95"/>
    <w:rsid w:val="00604F37"/>
    <w:rsid w:val="00605061"/>
    <w:rsid w:val="00605789"/>
    <w:rsid w:val="006057F7"/>
    <w:rsid w:val="00605899"/>
    <w:rsid w:val="00605B5E"/>
    <w:rsid w:val="00605C1D"/>
    <w:rsid w:val="00605CB9"/>
    <w:rsid w:val="006069F3"/>
    <w:rsid w:val="00606CC5"/>
    <w:rsid w:val="006070D1"/>
    <w:rsid w:val="0060737E"/>
    <w:rsid w:val="0060754A"/>
    <w:rsid w:val="006076D0"/>
    <w:rsid w:val="006079A2"/>
    <w:rsid w:val="00607BC8"/>
    <w:rsid w:val="00610764"/>
    <w:rsid w:val="006107F1"/>
    <w:rsid w:val="00610C4B"/>
    <w:rsid w:val="00610DF5"/>
    <w:rsid w:val="00610E4D"/>
    <w:rsid w:val="006111AE"/>
    <w:rsid w:val="00611444"/>
    <w:rsid w:val="00611752"/>
    <w:rsid w:val="00611768"/>
    <w:rsid w:val="0061197A"/>
    <w:rsid w:val="00611DAA"/>
    <w:rsid w:val="00611E0C"/>
    <w:rsid w:val="00611E17"/>
    <w:rsid w:val="00611E87"/>
    <w:rsid w:val="00612353"/>
    <w:rsid w:val="00612606"/>
    <w:rsid w:val="0061293E"/>
    <w:rsid w:val="00612AB9"/>
    <w:rsid w:val="00612F8F"/>
    <w:rsid w:val="006130F3"/>
    <w:rsid w:val="00613235"/>
    <w:rsid w:val="00613995"/>
    <w:rsid w:val="00613AB8"/>
    <w:rsid w:val="00613CA9"/>
    <w:rsid w:val="00613FA5"/>
    <w:rsid w:val="00614372"/>
    <w:rsid w:val="006144B0"/>
    <w:rsid w:val="006149CE"/>
    <w:rsid w:val="00614AC3"/>
    <w:rsid w:val="00614C32"/>
    <w:rsid w:val="0061535A"/>
    <w:rsid w:val="0061596D"/>
    <w:rsid w:val="0061629B"/>
    <w:rsid w:val="00616B97"/>
    <w:rsid w:val="00616FDC"/>
    <w:rsid w:val="0061730B"/>
    <w:rsid w:val="0061766E"/>
    <w:rsid w:val="0062000C"/>
    <w:rsid w:val="00620386"/>
    <w:rsid w:val="0062071F"/>
    <w:rsid w:val="00620CD1"/>
    <w:rsid w:val="00621123"/>
    <w:rsid w:val="006212D8"/>
    <w:rsid w:val="00621965"/>
    <w:rsid w:val="00621C4F"/>
    <w:rsid w:val="00621E0D"/>
    <w:rsid w:val="00622886"/>
    <w:rsid w:val="00622A0C"/>
    <w:rsid w:val="00622D96"/>
    <w:rsid w:val="00622DF1"/>
    <w:rsid w:val="00622EEB"/>
    <w:rsid w:val="006232B3"/>
    <w:rsid w:val="0062333E"/>
    <w:rsid w:val="0062346F"/>
    <w:rsid w:val="00623796"/>
    <w:rsid w:val="006237CC"/>
    <w:rsid w:val="00623A53"/>
    <w:rsid w:val="00623B98"/>
    <w:rsid w:val="00623BCC"/>
    <w:rsid w:val="00623F98"/>
    <w:rsid w:val="00623FA1"/>
    <w:rsid w:val="006242FE"/>
    <w:rsid w:val="006244C9"/>
    <w:rsid w:val="00624B3C"/>
    <w:rsid w:val="00624B7F"/>
    <w:rsid w:val="00624F7D"/>
    <w:rsid w:val="006251FE"/>
    <w:rsid w:val="00626570"/>
    <w:rsid w:val="00626667"/>
    <w:rsid w:val="00626980"/>
    <w:rsid w:val="006270F0"/>
    <w:rsid w:val="006272A6"/>
    <w:rsid w:val="00627AEF"/>
    <w:rsid w:val="00627D38"/>
    <w:rsid w:val="00627F10"/>
    <w:rsid w:val="00630B1B"/>
    <w:rsid w:val="00630C86"/>
    <w:rsid w:val="00631265"/>
    <w:rsid w:val="0063136A"/>
    <w:rsid w:val="0063167A"/>
    <w:rsid w:val="0063175D"/>
    <w:rsid w:val="0063177C"/>
    <w:rsid w:val="00631B18"/>
    <w:rsid w:val="00631EA0"/>
    <w:rsid w:val="006320BC"/>
    <w:rsid w:val="00632A89"/>
    <w:rsid w:val="0063307C"/>
    <w:rsid w:val="006333AA"/>
    <w:rsid w:val="00633449"/>
    <w:rsid w:val="006334AB"/>
    <w:rsid w:val="0063379F"/>
    <w:rsid w:val="00633BFA"/>
    <w:rsid w:val="00633FB3"/>
    <w:rsid w:val="0063462E"/>
    <w:rsid w:val="006348D9"/>
    <w:rsid w:val="00634A71"/>
    <w:rsid w:val="00634D33"/>
    <w:rsid w:val="00634DE8"/>
    <w:rsid w:val="00635770"/>
    <w:rsid w:val="00635912"/>
    <w:rsid w:val="00635EE5"/>
    <w:rsid w:val="00636383"/>
    <w:rsid w:val="00636401"/>
    <w:rsid w:val="00636411"/>
    <w:rsid w:val="00636520"/>
    <w:rsid w:val="00636AC2"/>
    <w:rsid w:val="00636B40"/>
    <w:rsid w:val="0063774D"/>
    <w:rsid w:val="00637A81"/>
    <w:rsid w:val="00637B0A"/>
    <w:rsid w:val="00637E0A"/>
    <w:rsid w:val="00637EEE"/>
    <w:rsid w:val="00637EFC"/>
    <w:rsid w:val="0064002B"/>
    <w:rsid w:val="00640036"/>
    <w:rsid w:val="006401E5"/>
    <w:rsid w:val="006403B7"/>
    <w:rsid w:val="0064046C"/>
    <w:rsid w:val="0064051D"/>
    <w:rsid w:val="006406FE"/>
    <w:rsid w:val="00640992"/>
    <w:rsid w:val="00640D37"/>
    <w:rsid w:val="00640ED1"/>
    <w:rsid w:val="00640FD0"/>
    <w:rsid w:val="00641065"/>
    <w:rsid w:val="00641230"/>
    <w:rsid w:val="00641CEB"/>
    <w:rsid w:val="00641D13"/>
    <w:rsid w:val="00641F21"/>
    <w:rsid w:val="00641FC0"/>
    <w:rsid w:val="00642241"/>
    <w:rsid w:val="006422BE"/>
    <w:rsid w:val="006426E6"/>
    <w:rsid w:val="00642922"/>
    <w:rsid w:val="00642B10"/>
    <w:rsid w:val="00642BBD"/>
    <w:rsid w:val="00642DDB"/>
    <w:rsid w:val="00643340"/>
    <w:rsid w:val="00643415"/>
    <w:rsid w:val="00643760"/>
    <w:rsid w:val="006442E3"/>
    <w:rsid w:val="00644C3B"/>
    <w:rsid w:val="00644DB2"/>
    <w:rsid w:val="00644F6E"/>
    <w:rsid w:val="006450A2"/>
    <w:rsid w:val="00645375"/>
    <w:rsid w:val="006458BA"/>
    <w:rsid w:val="0064591A"/>
    <w:rsid w:val="00645994"/>
    <w:rsid w:val="00645A70"/>
    <w:rsid w:val="00645D37"/>
    <w:rsid w:val="00645EF7"/>
    <w:rsid w:val="00646213"/>
    <w:rsid w:val="00646804"/>
    <w:rsid w:val="00646920"/>
    <w:rsid w:val="00646A0E"/>
    <w:rsid w:val="00646B27"/>
    <w:rsid w:val="00646D5D"/>
    <w:rsid w:val="00646E17"/>
    <w:rsid w:val="00650324"/>
    <w:rsid w:val="0065042B"/>
    <w:rsid w:val="00650FE2"/>
    <w:rsid w:val="00651C27"/>
    <w:rsid w:val="00651C7F"/>
    <w:rsid w:val="00651E35"/>
    <w:rsid w:val="00651F90"/>
    <w:rsid w:val="0065212C"/>
    <w:rsid w:val="006527E2"/>
    <w:rsid w:val="00652935"/>
    <w:rsid w:val="006529AF"/>
    <w:rsid w:val="00653509"/>
    <w:rsid w:val="0065351E"/>
    <w:rsid w:val="00653A76"/>
    <w:rsid w:val="00653B89"/>
    <w:rsid w:val="00653E15"/>
    <w:rsid w:val="00653EF5"/>
    <w:rsid w:val="00654697"/>
    <w:rsid w:val="00654B37"/>
    <w:rsid w:val="00654E7D"/>
    <w:rsid w:val="00654F50"/>
    <w:rsid w:val="00654FD5"/>
    <w:rsid w:val="00655296"/>
    <w:rsid w:val="0065557E"/>
    <w:rsid w:val="006555DC"/>
    <w:rsid w:val="00655761"/>
    <w:rsid w:val="00655A26"/>
    <w:rsid w:val="00655C9E"/>
    <w:rsid w:val="00656208"/>
    <w:rsid w:val="00656329"/>
    <w:rsid w:val="0065640C"/>
    <w:rsid w:val="0065647B"/>
    <w:rsid w:val="006564B8"/>
    <w:rsid w:val="00656547"/>
    <w:rsid w:val="00656604"/>
    <w:rsid w:val="0065677C"/>
    <w:rsid w:val="00656ABC"/>
    <w:rsid w:val="006573B9"/>
    <w:rsid w:val="00657CD8"/>
    <w:rsid w:val="00657D2E"/>
    <w:rsid w:val="006604AB"/>
    <w:rsid w:val="00660668"/>
    <w:rsid w:val="00660A20"/>
    <w:rsid w:val="00660E76"/>
    <w:rsid w:val="00661085"/>
    <w:rsid w:val="00661109"/>
    <w:rsid w:val="00662202"/>
    <w:rsid w:val="006626C4"/>
    <w:rsid w:val="00662922"/>
    <w:rsid w:val="00662CA3"/>
    <w:rsid w:val="00662E95"/>
    <w:rsid w:val="00662F60"/>
    <w:rsid w:val="00663089"/>
    <w:rsid w:val="006630AA"/>
    <w:rsid w:val="0066332D"/>
    <w:rsid w:val="00663C10"/>
    <w:rsid w:val="00663C87"/>
    <w:rsid w:val="00663E8F"/>
    <w:rsid w:val="00664225"/>
    <w:rsid w:val="00664465"/>
    <w:rsid w:val="00664779"/>
    <w:rsid w:val="0066484C"/>
    <w:rsid w:val="0066489F"/>
    <w:rsid w:val="00664AF4"/>
    <w:rsid w:val="0066500D"/>
    <w:rsid w:val="00665197"/>
    <w:rsid w:val="006654CA"/>
    <w:rsid w:val="006657BD"/>
    <w:rsid w:val="00665A37"/>
    <w:rsid w:val="0066620F"/>
    <w:rsid w:val="006662B3"/>
    <w:rsid w:val="006662F0"/>
    <w:rsid w:val="0066646F"/>
    <w:rsid w:val="00666569"/>
    <w:rsid w:val="006670D0"/>
    <w:rsid w:val="006675CA"/>
    <w:rsid w:val="00667791"/>
    <w:rsid w:val="00667DE5"/>
    <w:rsid w:val="00670501"/>
    <w:rsid w:val="006707AB"/>
    <w:rsid w:val="006709EC"/>
    <w:rsid w:val="00670C1C"/>
    <w:rsid w:val="00670DFA"/>
    <w:rsid w:val="00671CB6"/>
    <w:rsid w:val="006720AA"/>
    <w:rsid w:val="00672249"/>
    <w:rsid w:val="00672305"/>
    <w:rsid w:val="00672432"/>
    <w:rsid w:val="00672D14"/>
    <w:rsid w:val="00672DFE"/>
    <w:rsid w:val="00673490"/>
    <w:rsid w:val="00673532"/>
    <w:rsid w:val="00673638"/>
    <w:rsid w:val="0067374C"/>
    <w:rsid w:val="0067391A"/>
    <w:rsid w:val="0067396C"/>
    <w:rsid w:val="00673B5D"/>
    <w:rsid w:val="006742EA"/>
    <w:rsid w:val="006744C2"/>
    <w:rsid w:val="00674E20"/>
    <w:rsid w:val="00674EE0"/>
    <w:rsid w:val="006756FD"/>
    <w:rsid w:val="0067608F"/>
    <w:rsid w:val="006760E0"/>
    <w:rsid w:val="00676182"/>
    <w:rsid w:val="00676400"/>
    <w:rsid w:val="00676996"/>
    <w:rsid w:val="0067745E"/>
    <w:rsid w:val="0067777F"/>
    <w:rsid w:val="006779ED"/>
    <w:rsid w:val="00677AC6"/>
    <w:rsid w:val="00677F2E"/>
    <w:rsid w:val="00677F35"/>
    <w:rsid w:val="00677F8E"/>
    <w:rsid w:val="00677FDD"/>
    <w:rsid w:val="006805D1"/>
    <w:rsid w:val="00680779"/>
    <w:rsid w:val="006809CF"/>
    <w:rsid w:val="00681045"/>
    <w:rsid w:val="00681123"/>
    <w:rsid w:val="00681358"/>
    <w:rsid w:val="006817BF"/>
    <w:rsid w:val="00681B69"/>
    <w:rsid w:val="00681DED"/>
    <w:rsid w:val="006821CF"/>
    <w:rsid w:val="00682A91"/>
    <w:rsid w:val="00682AD1"/>
    <w:rsid w:val="00682BC2"/>
    <w:rsid w:val="00682E64"/>
    <w:rsid w:val="0068347E"/>
    <w:rsid w:val="006834F5"/>
    <w:rsid w:val="006839BB"/>
    <w:rsid w:val="00683B60"/>
    <w:rsid w:val="00683BC9"/>
    <w:rsid w:val="00683C8A"/>
    <w:rsid w:val="00683E06"/>
    <w:rsid w:val="00683F95"/>
    <w:rsid w:val="006843E4"/>
    <w:rsid w:val="00684562"/>
    <w:rsid w:val="006849DB"/>
    <w:rsid w:val="00684F11"/>
    <w:rsid w:val="006856C2"/>
    <w:rsid w:val="0068592E"/>
    <w:rsid w:val="006859FC"/>
    <w:rsid w:val="00685B92"/>
    <w:rsid w:val="00685C38"/>
    <w:rsid w:val="00685DE3"/>
    <w:rsid w:val="00686158"/>
    <w:rsid w:val="00686193"/>
    <w:rsid w:val="006865FF"/>
    <w:rsid w:val="0068672B"/>
    <w:rsid w:val="00686731"/>
    <w:rsid w:val="00686A3C"/>
    <w:rsid w:val="0068738E"/>
    <w:rsid w:val="00687747"/>
    <w:rsid w:val="00687849"/>
    <w:rsid w:val="0068786B"/>
    <w:rsid w:val="00687A9C"/>
    <w:rsid w:val="00687BFE"/>
    <w:rsid w:val="00687FAD"/>
    <w:rsid w:val="00690139"/>
    <w:rsid w:val="0069018C"/>
    <w:rsid w:val="0069064A"/>
    <w:rsid w:val="00690D6E"/>
    <w:rsid w:val="00690ECB"/>
    <w:rsid w:val="006914FA"/>
    <w:rsid w:val="00691698"/>
    <w:rsid w:val="00691B9D"/>
    <w:rsid w:val="006921CD"/>
    <w:rsid w:val="0069273E"/>
    <w:rsid w:val="0069298D"/>
    <w:rsid w:val="00692AB0"/>
    <w:rsid w:val="00692AD6"/>
    <w:rsid w:val="00692E2B"/>
    <w:rsid w:val="006936D7"/>
    <w:rsid w:val="0069398A"/>
    <w:rsid w:val="00693CB8"/>
    <w:rsid w:val="00693F4B"/>
    <w:rsid w:val="0069447A"/>
    <w:rsid w:val="00694895"/>
    <w:rsid w:val="0069498E"/>
    <w:rsid w:val="00695A20"/>
    <w:rsid w:val="00695CE2"/>
    <w:rsid w:val="006960B4"/>
    <w:rsid w:val="0069644B"/>
    <w:rsid w:val="0069646B"/>
    <w:rsid w:val="0069659C"/>
    <w:rsid w:val="0069671E"/>
    <w:rsid w:val="00696B36"/>
    <w:rsid w:val="00696D7C"/>
    <w:rsid w:val="00697324"/>
    <w:rsid w:val="00697833"/>
    <w:rsid w:val="006979CE"/>
    <w:rsid w:val="00697AF8"/>
    <w:rsid w:val="00697BCE"/>
    <w:rsid w:val="00697E01"/>
    <w:rsid w:val="006A013C"/>
    <w:rsid w:val="006A0312"/>
    <w:rsid w:val="006A0744"/>
    <w:rsid w:val="006A0D83"/>
    <w:rsid w:val="006A10FC"/>
    <w:rsid w:val="006A145B"/>
    <w:rsid w:val="006A16DC"/>
    <w:rsid w:val="006A17F0"/>
    <w:rsid w:val="006A1810"/>
    <w:rsid w:val="006A19AE"/>
    <w:rsid w:val="006A19DE"/>
    <w:rsid w:val="006A1E04"/>
    <w:rsid w:val="006A222A"/>
    <w:rsid w:val="006A2BAC"/>
    <w:rsid w:val="006A2C83"/>
    <w:rsid w:val="006A2F8D"/>
    <w:rsid w:val="006A31D7"/>
    <w:rsid w:val="006A3631"/>
    <w:rsid w:val="006A3A0C"/>
    <w:rsid w:val="006A3A90"/>
    <w:rsid w:val="006A3C7F"/>
    <w:rsid w:val="006A413F"/>
    <w:rsid w:val="006A4B5F"/>
    <w:rsid w:val="006A52DE"/>
    <w:rsid w:val="006A55F3"/>
    <w:rsid w:val="006A5A76"/>
    <w:rsid w:val="006A5E9B"/>
    <w:rsid w:val="006A658C"/>
    <w:rsid w:val="006A699E"/>
    <w:rsid w:val="006A7430"/>
    <w:rsid w:val="006A7AE9"/>
    <w:rsid w:val="006A7B8F"/>
    <w:rsid w:val="006A7E57"/>
    <w:rsid w:val="006A7E66"/>
    <w:rsid w:val="006B005D"/>
    <w:rsid w:val="006B021A"/>
    <w:rsid w:val="006B0415"/>
    <w:rsid w:val="006B0DD8"/>
    <w:rsid w:val="006B0FAE"/>
    <w:rsid w:val="006B1233"/>
    <w:rsid w:val="006B153B"/>
    <w:rsid w:val="006B1FC0"/>
    <w:rsid w:val="006B2A6F"/>
    <w:rsid w:val="006B2AA4"/>
    <w:rsid w:val="006B2AB7"/>
    <w:rsid w:val="006B2B07"/>
    <w:rsid w:val="006B2C85"/>
    <w:rsid w:val="006B2D52"/>
    <w:rsid w:val="006B2F1C"/>
    <w:rsid w:val="006B3BE5"/>
    <w:rsid w:val="006B3CE1"/>
    <w:rsid w:val="006B44B4"/>
    <w:rsid w:val="006B46DA"/>
    <w:rsid w:val="006B48B8"/>
    <w:rsid w:val="006B49A6"/>
    <w:rsid w:val="006B54C7"/>
    <w:rsid w:val="006B5634"/>
    <w:rsid w:val="006B5784"/>
    <w:rsid w:val="006B67A0"/>
    <w:rsid w:val="006B6B16"/>
    <w:rsid w:val="006B6E5A"/>
    <w:rsid w:val="006B7112"/>
    <w:rsid w:val="006B72C2"/>
    <w:rsid w:val="006B79C2"/>
    <w:rsid w:val="006B7A24"/>
    <w:rsid w:val="006B7A79"/>
    <w:rsid w:val="006B7A88"/>
    <w:rsid w:val="006B7C01"/>
    <w:rsid w:val="006B7D92"/>
    <w:rsid w:val="006B7EA4"/>
    <w:rsid w:val="006C00AD"/>
    <w:rsid w:val="006C0148"/>
    <w:rsid w:val="006C09EE"/>
    <w:rsid w:val="006C0B5C"/>
    <w:rsid w:val="006C0DB2"/>
    <w:rsid w:val="006C16AE"/>
    <w:rsid w:val="006C17D3"/>
    <w:rsid w:val="006C1E78"/>
    <w:rsid w:val="006C1FC3"/>
    <w:rsid w:val="006C216E"/>
    <w:rsid w:val="006C2613"/>
    <w:rsid w:val="006C2645"/>
    <w:rsid w:val="006C2813"/>
    <w:rsid w:val="006C295C"/>
    <w:rsid w:val="006C3656"/>
    <w:rsid w:val="006C3EE6"/>
    <w:rsid w:val="006C4529"/>
    <w:rsid w:val="006C46BB"/>
    <w:rsid w:val="006C48E7"/>
    <w:rsid w:val="006C4BC9"/>
    <w:rsid w:val="006C508A"/>
    <w:rsid w:val="006C50A2"/>
    <w:rsid w:val="006C5447"/>
    <w:rsid w:val="006C5451"/>
    <w:rsid w:val="006C56F5"/>
    <w:rsid w:val="006C5714"/>
    <w:rsid w:val="006C5804"/>
    <w:rsid w:val="006C5A55"/>
    <w:rsid w:val="006C5B8F"/>
    <w:rsid w:val="006C5C33"/>
    <w:rsid w:val="006C5F22"/>
    <w:rsid w:val="006C6C59"/>
    <w:rsid w:val="006C6ED1"/>
    <w:rsid w:val="006C700A"/>
    <w:rsid w:val="006C7468"/>
    <w:rsid w:val="006C7E40"/>
    <w:rsid w:val="006C7E7D"/>
    <w:rsid w:val="006D1190"/>
    <w:rsid w:val="006D1484"/>
    <w:rsid w:val="006D1681"/>
    <w:rsid w:val="006D17E8"/>
    <w:rsid w:val="006D19D6"/>
    <w:rsid w:val="006D1A1A"/>
    <w:rsid w:val="006D20B6"/>
    <w:rsid w:val="006D27B8"/>
    <w:rsid w:val="006D2859"/>
    <w:rsid w:val="006D2D64"/>
    <w:rsid w:val="006D3269"/>
    <w:rsid w:val="006D3CD9"/>
    <w:rsid w:val="006D3FA9"/>
    <w:rsid w:val="006D440D"/>
    <w:rsid w:val="006D463C"/>
    <w:rsid w:val="006D4656"/>
    <w:rsid w:val="006D4997"/>
    <w:rsid w:val="006D52C5"/>
    <w:rsid w:val="006D5506"/>
    <w:rsid w:val="006D5A3F"/>
    <w:rsid w:val="006D5C12"/>
    <w:rsid w:val="006D630D"/>
    <w:rsid w:val="006D637B"/>
    <w:rsid w:val="006D63D2"/>
    <w:rsid w:val="006D646A"/>
    <w:rsid w:val="006D648C"/>
    <w:rsid w:val="006D64A3"/>
    <w:rsid w:val="006D6A50"/>
    <w:rsid w:val="006D6E29"/>
    <w:rsid w:val="006D75D0"/>
    <w:rsid w:val="006D77F6"/>
    <w:rsid w:val="006D7D90"/>
    <w:rsid w:val="006D7F2B"/>
    <w:rsid w:val="006E0079"/>
    <w:rsid w:val="006E045F"/>
    <w:rsid w:val="006E08A6"/>
    <w:rsid w:val="006E08FA"/>
    <w:rsid w:val="006E0A56"/>
    <w:rsid w:val="006E0D1E"/>
    <w:rsid w:val="006E0FFD"/>
    <w:rsid w:val="006E1322"/>
    <w:rsid w:val="006E193B"/>
    <w:rsid w:val="006E1B2B"/>
    <w:rsid w:val="006E1DCE"/>
    <w:rsid w:val="006E1E87"/>
    <w:rsid w:val="006E1F7F"/>
    <w:rsid w:val="006E1FA2"/>
    <w:rsid w:val="006E2112"/>
    <w:rsid w:val="006E2357"/>
    <w:rsid w:val="006E2C7C"/>
    <w:rsid w:val="006E3157"/>
    <w:rsid w:val="006E31D5"/>
    <w:rsid w:val="006E32C2"/>
    <w:rsid w:val="006E38DA"/>
    <w:rsid w:val="006E3C37"/>
    <w:rsid w:val="006E3C89"/>
    <w:rsid w:val="006E3E51"/>
    <w:rsid w:val="006E490B"/>
    <w:rsid w:val="006E4C16"/>
    <w:rsid w:val="006E5919"/>
    <w:rsid w:val="006E5E35"/>
    <w:rsid w:val="006E68E7"/>
    <w:rsid w:val="006E6B94"/>
    <w:rsid w:val="006E6EAD"/>
    <w:rsid w:val="006E6F24"/>
    <w:rsid w:val="006E7159"/>
    <w:rsid w:val="006E72B3"/>
    <w:rsid w:val="006E76FD"/>
    <w:rsid w:val="006F0A8D"/>
    <w:rsid w:val="006F0B75"/>
    <w:rsid w:val="006F0F1F"/>
    <w:rsid w:val="006F1506"/>
    <w:rsid w:val="006F1748"/>
    <w:rsid w:val="006F1806"/>
    <w:rsid w:val="006F185F"/>
    <w:rsid w:val="006F1A38"/>
    <w:rsid w:val="006F1B0E"/>
    <w:rsid w:val="006F1BDF"/>
    <w:rsid w:val="006F21BD"/>
    <w:rsid w:val="006F2916"/>
    <w:rsid w:val="006F2C26"/>
    <w:rsid w:val="006F2C57"/>
    <w:rsid w:val="006F2EEC"/>
    <w:rsid w:val="006F3114"/>
    <w:rsid w:val="006F33B7"/>
    <w:rsid w:val="006F36B8"/>
    <w:rsid w:val="006F37BC"/>
    <w:rsid w:val="006F46EB"/>
    <w:rsid w:val="006F498D"/>
    <w:rsid w:val="006F4A5D"/>
    <w:rsid w:val="006F56E1"/>
    <w:rsid w:val="006F5D0D"/>
    <w:rsid w:val="006F600C"/>
    <w:rsid w:val="006F66E7"/>
    <w:rsid w:val="006F68A3"/>
    <w:rsid w:val="006F6AC4"/>
    <w:rsid w:val="006F6D57"/>
    <w:rsid w:val="006F6D71"/>
    <w:rsid w:val="006F6F1C"/>
    <w:rsid w:val="006F7926"/>
    <w:rsid w:val="006F7B07"/>
    <w:rsid w:val="006F7D33"/>
    <w:rsid w:val="006F7EF0"/>
    <w:rsid w:val="006F7FD4"/>
    <w:rsid w:val="00700126"/>
    <w:rsid w:val="007004D1"/>
    <w:rsid w:val="00700BC4"/>
    <w:rsid w:val="00700C35"/>
    <w:rsid w:val="00701190"/>
    <w:rsid w:val="007017CD"/>
    <w:rsid w:val="00701B40"/>
    <w:rsid w:val="00701B4D"/>
    <w:rsid w:val="00701DC1"/>
    <w:rsid w:val="00701DE0"/>
    <w:rsid w:val="00701FE2"/>
    <w:rsid w:val="00701FEB"/>
    <w:rsid w:val="00702627"/>
    <w:rsid w:val="0070282F"/>
    <w:rsid w:val="00702D8C"/>
    <w:rsid w:val="007037C8"/>
    <w:rsid w:val="00703BB5"/>
    <w:rsid w:val="00703EF6"/>
    <w:rsid w:val="00703F96"/>
    <w:rsid w:val="0070400E"/>
    <w:rsid w:val="00704494"/>
    <w:rsid w:val="007044B0"/>
    <w:rsid w:val="0070480D"/>
    <w:rsid w:val="00704A12"/>
    <w:rsid w:val="00704FE9"/>
    <w:rsid w:val="007052E8"/>
    <w:rsid w:val="007053CC"/>
    <w:rsid w:val="00705B74"/>
    <w:rsid w:val="0070627B"/>
    <w:rsid w:val="00706800"/>
    <w:rsid w:val="00706F64"/>
    <w:rsid w:val="007071C5"/>
    <w:rsid w:val="00707261"/>
    <w:rsid w:val="00707AD8"/>
    <w:rsid w:val="00707EC6"/>
    <w:rsid w:val="007104FE"/>
    <w:rsid w:val="007106A5"/>
    <w:rsid w:val="007109A5"/>
    <w:rsid w:val="00711593"/>
    <w:rsid w:val="00711627"/>
    <w:rsid w:val="00711A74"/>
    <w:rsid w:val="00711B68"/>
    <w:rsid w:val="00712629"/>
    <w:rsid w:val="0071289D"/>
    <w:rsid w:val="00712B90"/>
    <w:rsid w:val="00712CC1"/>
    <w:rsid w:val="00713162"/>
    <w:rsid w:val="0071353B"/>
    <w:rsid w:val="0071363D"/>
    <w:rsid w:val="00713725"/>
    <w:rsid w:val="00713A4A"/>
    <w:rsid w:val="00713A50"/>
    <w:rsid w:val="00713E2E"/>
    <w:rsid w:val="0071412D"/>
    <w:rsid w:val="00714577"/>
    <w:rsid w:val="00714713"/>
    <w:rsid w:val="00714951"/>
    <w:rsid w:val="00714F31"/>
    <w:rsid w:val="00715242"/>
    <w:rsid w:val="0071545B"/>
    <w:rsid w:val="007156D3"/>
    <w:rsid w:val="007163C9"/>
    <w:rsid w:val="00716B72"/>
    <w:rsid w:val="00716CFA"/>
    <w:rsid w:val="0071709F"/>
    <w:rsid w:val="007170FC"/>
    <w:rsid w:val="007174EA"/>
    <w:rsid w:val="00717638"/>
    <w:rsid w:val="00717E10"/>
    <w:rsid w:val="00717ED8"/>
    <w:rsid w:val="00720206"/>
    <w:rsid w:val="00720356"/>
    <w:rsid w:val="00720BE8"/>
    <w:rsid w:val="00720C66"/>
    <w:rsid w:val="00720FBF"/>
    <w:rsid w:val="00721274"/>
    <w:rsid w:val="0072180E"/>
    <w:rsid w:val="00721841"/>
    <w:rsid w:val="00721DCF"/>
    <w:rsid w:val="00722289"/>
    <w:rsid w:val="00722577"/>
    <w:rsid w:val="00722580"/>
    <w:rsid w:val="0072275A"/>
    <w:rsid w:val="00722A2A"/>
    <w:rsid w:val="00722C17"/>
    <w:rsid w:val="00722D6C"/>
    <w:rsid w:val="00723169"/>
    <w:rsid w:val="007231A3"/>
    <w:rsid w:val="0072357F"/>
    <w:rsid w:val="0072399C"/>
    <w:rsid w:val="00723CC8"/>
    <w:rsid w:val="00723D58"/>
    <w:rsid w:val="00723FFB"/>
    <w:rsid w:val="00724397"/>
    <w:rsid w:val="007244F5"/>
    <w:rsid w:val="00724647"/>
    <w:rsid w:val="007248F0"/>
    <w:rsid w:val="007251E8"/>
    <w:rsid w:val="00725369"/>
    <w:rsid w:val="00725745"/>
    <w:rsid w:val="00725FC7"/>
    <w:rsid w:val="0072628A"/>
    <w:rsid w:val="007263D3"/>
    <w:rsid w:val="007264B1"/>
    <w:rsid w:val="0072656F"/>
    <w:rsid w:val="007265E3"/>
    <w:rsid w:val="00726874"/>
    <w:rsid w:val="007269CF"/>
    <w:rsid w:val="00726C1E"/>
    <w:rsid w:val="00727906"/>
    <w:rsid w:val="00727A69"/>
    <w:rsid w:val="00727C18"/>
    <w:rsid w:val="00727C50"/>
    <w:rsid w:val="007309FC"/>
    <w:rsid w:val="00731DDC"/>
    <w:rsid w:val="0073275F"/>
    <w:rsid w:val="007328D4"/>
    <w:rsid w:val="007329BE"/>
    <w:rsid w:val="00732C76"/>
    <w:rsid w:val="0073320D"/>
    <w:rsid w:val="00733844"/>
    <w:rsid w:val="007338CC"/>
    <w:rsid w:val="007341D7"/>
    <w:rsid w:val="0073449A"/>
    <w:rsid w:val="00734754"/>
    <w:rsid w:val="007348A0"/>
    <w:rsid w:val="007349A7"/>
    <w:rsid w:val="00734D4C"/>
    <w:rsid w:val="0073562B"/>
    <w:rsid w:val="00735C0A"/>
    <w:rsid w:val="00735FE4"/>
    <w:rsid w:val="0073620C"/>
    <w:rsid w:val="00736278"/>
    <w:rsid w:val="00736322"/>
    <w:rsid w:val="007363BB"/>
    <w:rsid w:val="00736787"/>
    <w:rsid w:val="00736AD7"/>
    <w:rsid w:val="00736F16"/>
    <w:rsid w:val="007370B5"/>
    <w:rsid w:val="0073714D"/>
    <w:rsid w:val="0073729C"/>
    <w:rsid w:val="0073733D"/>
    <w:rsid w:val="00737BAA"/>
    <w:rsid w:val="00737C1A"/>
    <w:rsid w:val="00740512"/>
    <w:rsid w:val="007405DE"/>
    <w:rsid w:val="00740824"/>
    <w:rsid w:val="00740947"/>
    <w:rsid w:val="00740AD0"/>
    <w:rsid w:val="00740DDD"/>
    <w:rsid w:val="00740E87"/>
    <w:rsid w:val="0074126B"/>
    <w:rsid w:val="007412BF"/>
    <w:rsid w:val="00741AC2"/>
    <w:rsid w:val="00741C86"/>
    <w:rsid w:val="00741EBD"/>
    <w:rsid w:val="00741FC4"/>
    <w:rsid w:val="00741FDC"/>
    <w:rsid w:val="007420BC"/>
    <w:rsid w:val="00742211"/>
    <w:rsid w:val="007424D2"/>
    <w:rsid w:val="00742837"/>
    <w:rsid w:val="00742AC5"/>
    <w:rsid w:val="007432D0"/>
    <w:rsid w:val="00743A9F"/>
    <w:rsid w:val="007443A2"/>
    <w:rsid w:val="007446F3"/>
    <w:rsid w:val="00744A51"/>
    <w:rsid w:val="00744D07"/>
    <w:rsid w:val="00745610"/>
    <w:rsid w:val="00745AA9"/>
    <w:rsid w:val="00745C0C"/>
    <w:rsid w:val="00746336"/>
    <w:rsid w:val="00746339"/>
    <w:rsid w:val="0074638E"/>
    <w:rsid w:val="00746870"/>
    <w:rsid w:val="00746D10"/>
    <w:rsid w:val="00746DBF"/>
    <w:rsid w:val="00746E03"/>
    <w:rsid w:val="00746F00"/>
    <w:rsid w:val="0074720F"/>
    <w:rsid w:val="00747568"/>
    <w:rsid w:val="007476DF"/>
    <w:rsid w:val="007477B4"/>
    <w:rsid w:val="007505B8"/>
    <w:rsid w:val="0075062F"/>
    <w:rsid w:val="007506F9"/>
    <w:rsid w:val="0075088F"/>
    <w:rsid w:val="00750F3C"/>
    <w:rsid w:val="00751015"/>
    <w:rsid w:val="0075147F"/>
    <w:rsid w:val="007525A4"/>
    <w:rsid w:val="00752630"/>
    <w:rsid w:val="00752CA9"/>
    <w:rsid w:val="007530FB"/>
    <w:rsid w:val="007531E9"/>
    <w:rsid w:val="007534C1"/>
    <w:rsid w:val="00753769"/>
    <w:rsid w:val="00754292"/>
    <w:rsid w:val="007544F0"/>
    <w:rsid w:val="00754947"/>
    <w:rsid w:val="007549E6"/>
    <w:rsid w:val="00754BE2"/>
    <w:rsid w:val="00754F6C"/>
    <w:rsid w:val="00755075"/>
    <w:rsid w:val="00755219"/>
    <w:rsid w:val="00755B8C"/>
    <w:rsid w:val="00755BDE"/>
    <w:rsid w:val="00755CFC"/>
    <w:rsid w:val="00755EDD"/>
    <w:rsid w:val="00756113"/>
    <w:rsid w:val="0075623B"/>
    <w:rsid w:val="00756508"/>
    <w:rsid w:val="0075651F"/>
    <w:rsid w:val="00756738"/>
    <w:rsid w:val="0075685D"/>
    <w:rsid w:val="0075704B"/>
    <w:rsid w:val="0075735A"/>
    <w:rsid w:val="00757726"/>
    <w:rsid w:val="00757806"/>
    <w:rsid w:val="0075787F"/>
    <w:rsid w:val="0075789A"/>
    <w:rsid w:val="00757FFC"/>
    <w:rsid w:val="00760076"/>
    <w:rsid w:val="0076079E"/>
    <w:rsid w:val="00760B3A"/>
    <w:rsid w:val="007610A0"/>
    <w:rsid w:val="007611C4"/>
    <w:rsid w:val="00761403"/>
    <w:rsid w:val="007615CE"/>
    <w:rsid w:val="00761981"/>
    <w:rsid w:val="00761B48"/>
    <w:rsid w:val="00761CCC"/>
    <w:rsid w:val="00761DE2"/>
    <w:rsid w:val="00761EF3"/>
    <w:rsid w:val="00761FEC"/>
    <w:rsid w:val="007620BA"/>
    <w:rsid w:val="0076227D"/>
    <w:rsid w:val="0076252C"/>
    <w:rsid w:val="00762603"/>
    <w:rsid w:val="00762605"/>
    <w:rsid w:val="0076292F"/>
    <w:rsid w:val="00762D6C"/>
    <w:rsid w:val="00762E08"/>
    <w:rsid w:val="0076322C"/>
    <w:rsid w:val="00763359"/>
    <w:rsid w:val="00763465"/>
    <w:rsid w:val="0076355A"/>
    <w:rsid w:val="00763B60"/>
    <w:rsid w:val="00763E49"/>
    <w:rsid w:val="007640BF"/>
    <w:rsid w:val="00764BD3"/>
    <w:rsid w:val="00764D12"/>
    <w:rsid w:val="00765205"/>
    <w:rsid w:val="00765620"/>
    <w:rsid w:val="00765E41"/>
    <w:rsid w:val="00765E66"/>
    <w:rsid w:val="00766958"/>
    <w:rsid w:val="00770DEE"/>
    <w:rsid w:val="007711D8"/>
    <w:rsid w:val="00771E74"/>
    <w:rsid w:val="007721E6"/>
    <w:rsid w:val="007724DA"/>
    <w:rsid w:val="00773069"/>
    <w:rsid w:val="0077306F"/>
    <w:rsid w:val="007733DD"/>
    <w:rsid w:val="00773BC3"/>
    <w:rsid w:val="00773D5D"/>
    <w:rsid w:val="00774019"/>
    <w:rsid w:val="0077474F"/>
    <w:rsid w:val="0077484B"/>
    <w:rsid w:val="00774D5C"/>
    <w:rsid w:val="00774DCE"/>
    <w:rsid w:val="0077530D"/>
    <w:rsid w:val="00775335"/>
    <w:rsid w:val="007754FC"/>
    <w:rsid w:val="00775A39"/>
    <w:rsid w:val="00775BC0"/>
    <w:rsid w:val="00775D86"/>
    <w:rsid w:val="00775E46"/>
    <w:rsid w:val="00776532"/>
    <w:rsid w:val="007766C6"/>
    <w:rsid w:val="0077680D"/>
    <w:rsid w:val="00777056"/>
    <w:rsid w:val="00777217"/>
    <w:rsid w:val="00780554"/>
    <w:rsid w:val="00780796"/>
    <w:rsid w:val="007818B3"/>
    <w:rsid w:val="00781E63"/>
    <w:rsid w:val="007820BF"/>
    <w:rsid w:val="007820EB"/>
    <w:rsid w:val="00782482"/>
    <w:rsid w:val="00782667"/>
    <w:rsid w:val="00782743"/>
    <w:rsid w:val="007828B6"/>
    <w:rsid w:val="00782BD4"/>
    <w:rsid w:val="00782C55"/>
    <w:rsid w:val="00782E0E"/>
    <w:rsid w:val="00783329"/>
    <w:rsid w:val="00783949"/>
    <w:rsid w:val="00783B29"/>
    <w:rsid w:val="00783CD2"/>
    <w:rsid w:val="00783E51"/>
    <w:rsid w:val="007846A2"/>
    <w:rsid w:val="007848E8"/>
    <w:rsid w:val="00784E03"/>
    <w:rsid w:val="007854FE"/>
    <w:rsid w:val="007859BD"/>
    <w:rsid w:val="00785A29"/>
    <w:rsid w:val="00785A51"/>
    <w:rsid w:val="00786B40"/>
    <w:rsid w:val="00787451"/>
    <w:rsid w:val="00787ED5"/>
    <w:rsid w:val="00790340"/>
    <w:rsid w:val="00790413"/>
    <w:rsid w:val="0079078A"/>
    <w:rsid w:val="00790950"/>
    <w:rsid w:val="00790A7E"/>
    <w:rsid w:val="00790B4E"/>
    <w:rsid w:val="00790DA4"/>
    <w:rsid w:val="00790EE3"/>
    <w:rsid w:val="00790FCB"/>
    <w:rsid w:val="007910E0"/>
    <w:rsid w:val="00791119"/>
    <w:rsid w:val="007917A9"/>
    <w:rsid w:val="00791898"/>
    <w:rsid w:val="007918FF"/>
    <w:rsid w:val="00791A92"/>
    <w:rsid w:val="0079205A"/>
    <w:rsid w:val="007920D6"/>
    <w:rsid w:val="00792530"/>
    <w:rsid w:val="00792761"/>
    <w:rsid w:val="00792768"/>
    <w:rsid w:val="00792B54"/>
    <w:rsid w:val="007932AF"/>
    <w:rsid w:val="007933F2"/>
    <w:rsid w:val="00793911"/>
    <w:rsid w:val="007942C2"/>
    <w:rsid w:val="007944DF"/>
    <w:rsid w:val="00794625"/>
    <w:rsid w:val="00794D39"/>
    <w:rsid w:val="00795358"/>
    <w:rsid w:val="007958C9"/>
    <w:rsid w:val="00795C06"/>
    <w:rsid w:val="00795C76"/>
    <w:rsid w:val="00795DE4"/>
    <w:rsid w:val="00795E51"/>
    <w:rsid w:val="00795EDF"/>
    <w:rsid w:val="007962ED"/>
    <w:rsid w:val="00796733"/>
    <w:rsid w:val="00796740"/>
    <w:rsid w:val="00796BB3"/>
    <w:rsid w:val="007979DF"/>
    <w:rsid w:val="00797A7A"/>
    <w:rsid w:val="00797AB8"/>
    <w:rsid w:val="007A0914"/>
    <w:rsid w:val="007A0B64"/>
    <w:rsid w:val="007A0C6C"/>
    <w:rsid w:val="007A117B"/>
    <w:rsid w:val="007A15F2"/>
    <w:rsid w:val="007A1663"/>
    <w:rsid w:val="007A1975"/>
    <w:rsid w:val="007A1F07"/>
    <w:rsid w:val="007A2190"/>
    <w:rsid w:val="007A2389"/>
    <w:rsid w:val="007A2B16"/>
    <w:rsid w:val="007A2C38"/>
    <w:rsid w:val="007A2CB4"/>
    <w:rsid w:val="007A2D57"/>
    <w:rsid w:val="007A2E18"/>
    <w:rsid w:val="007A303D"/>
    <w:rsid w:val="007A362C"/>
    <w:rsid w:val="007A3711"/>
    <w:rsid w:val="007A3CCF"/>
    <w:rsid w:val="007A3EC1"/>
    <w:rsid w:val="007A424E"/>
    <w:rsid w:val="007A4946"/>
    <w:rsid w:val="007A4EC2"/>
    <w:rsid w:val="007A512F"/>
    <w:rsid w:val="007A51FF"/>
    <w:rsid w:val="007A532E"/>
    <w:rsid w:val="007A543C"/>
    <w:rsid w:val="007A5A16"/>
    <w:rsid w:val="007A5BDB"/>
    <w:rsid w:val="007A5F0E"/>
    <w:rsid w:val="007A6801"/>
    <w:rsid w:val="007A6A59"/>
    <w:rsid w:val="007A6BE7"/>
    <w:rsid w:val="007A6D0C"/>
    <w:rsid w:val="007A73CA"/>
    <w:rsid w:val="007A7536"/>
    <w:rsid w:val="007A7C1C"/>
    <w:rsid w:val="007B08FF"/>
    <w:rsid w:val="007B0B99"/>
    <w:rsid w:val="007B0CAC"/>
    <w:rsid w:val="007B10F9"/>
    <w:rsid w:val="007B1722"/>
    <w:rsid w:val="007B1A2B"/>
    <w:rsid w:val="007B1BE4"/>
    <w:rsid w:val="007B1C23"/>
    <w:rsid w:val="007B1C46"/>
    <w:rsid w:val="007B1F34"/>
    <w:rsid w:val="007B2034"/>
    <w:rsid w:val="007B2369"/>
    <w:rsid w:val="007B2719"/>
    <w:rsid w:val="007B2A40"/>
    <w:rsid w:val="007B2D55"/>
    <w:rsid w:val="007B2E76"/>
    <w:rsid w:val="007B3119"/>
    <w:rsid w:val="007B3153"/>
    <w:rsid w:val="007B389B"/>
    <w:rsid w:val="007B3BBE"/>
    <w:rsid w:val="007B3C69"/>
    <w:rsid w:val="007B42BA"/>
    <w:rsid w:val="007B4BE7"/>
    <w:rsid w:val="007B4E59"/>
    <w:rsid w:val="007B54C0"/>
    <w:rsid w:val="007B555A"/>
    <w:rsid w:val="007B5702"/>
    <w:rsid w:val="007B5712"/>
    <w:rsid w:val="007B5F1A"/>
    <w:rsid w:val="007B6337"/>
    <w:rsid w:val="007B63A9"/>
    <w:rsid w:val="007B667E"/>
    <w:rsid w:val="007B70AF"/>
    <w:rsid w:val="007C068B"/>
    <w:rsid w:val="007C0801"/>
    <w:rsid w:val="007C0C6E"/>
    <w:rsid w:val="007C0F0A"/>
    <w:rsid w:val="007C189B"/>
    <w:rsid w:val="007C2321"/>
    <w:rsid w:val="007C23F3"/>
    <w:rsid w:val="007C260B"/>
    <w:rsid w:val="007C2617"/>
    <w:rsid w:val="007C27C1"/>
    <w:rsid w:val="007C2B60"/>
    <w:rsid w:val="007C2D99"/>
    <w:rsid w:val="007C3051"/>
    <w:rsid w:val="007C3666"/>
    <w:rsid w:val="007C3760"/>
    <w:rsid w:val="007C3B39"/>
    <w:rsid w:val="007C3F41"/>
    <w:rsid w:val="007C479C"/>
    <w:rsid w:val="007C4846"/>
    <w:rsid w:val="007C4851"/>
    <w:rsid w:val="007C4CCE"/>
    <w:rsid w:val="007C4FDE"/>
    <w:rsid w:val="007C51D0"/>
    <w:rsid w:val="007C5643"/>
    <w:rsid w:val="007C597C"/>
    <w:rsid w:val="007C5A31"/>
    <w:rsid w:val="007C5D45"/>
    <w:rsid w:val="007C62A6"/>
    <w:rsid w:val="007C6708"/>
    <w:rsid w:val="007C7391"/>
    <w:rsid w:val="007C77C2"/>
    <w:rsid w:val="007C7B38"/>
    <w:rsid w:val="007C7E61"/>
    <w:rsid w:val="007D0081"/>
    <w:rsid w:val="007D026F"/>
    <w:rsid w:val="007D063C"/>
    <w:rsid w:val="007D06CD"/>
    <w:rsid w:val="007D0A67"/>
    <w:rsid w:val="007D12D0"/>
    <w:rsid w:val="007D136E"/>
    <w:rsid w:val="007D1394"/>
    <w:rsid w:val="007D1564"/>
    <w:rsid w:val="007D1761"/>
    <w:rsid w:val="007D1CA4"/>
    <w:rsid w:val="007D1F13"/>
    <w:rsid w:val="007D235F"/>
    <w:rsid w:val="007D2521"/>
    <w:rsid w:val="007D266E"/>
    <w:rsid w:val="007D26F4"/>
    <w:rsid w:val="007D2710"/>
    <w:rsid w:val="007D28AE"/>
    <w:rsid w:val="007D2A6E"/>
    <w:rsid w:val="007D31D1"/>
    <w:rsid w:val="007D3319"/>
    <w:rsid w:val="007D33AC"/>
    <w:rsid w:val="007D34D9"/>
    <w:rsid w:val="007D3540"/>
    <w:rsid w:val="007D3B16"/>
    <w:rsid w:val="007D3BA3"/>
    <w:rsid w:val="007D3CAF"/>
    <w:rsid w:val="007D421A"/>
    <w:rsid w:val="007D44A6"/>
    <w:rsid w:val="007D4B72"/>
    <w:rsid w:val="007D4B8A"/>
    <w:rsid w:val="007D4BAF"/>
    <w:rsid w:val="007D553C"/>
    <w:rsid w:val="007D5641"/>
    <w:rsid w:val="007D564C"/>
    <w:rsid w:val="007D5C00"/>
    <w:rsid w:val="007D63DB"/>
    <w:rsid w:val="007D64D4"/>
    <w:rsid w:val="007D67B7"/>
    <w:rsid w:val="007D6815"/>
    <w:rsid w:val="007D6890"/>
    <w:rsid w:val="007D711D"/>
    <w:rsid w:val="007D72C9"/>
    <w:rsid w:val="007D7499"/>
    <w:rsid w:val="007D7507"/>
    <w:rsid w:val="007D7845"/>
    <w:rsid w:val="007D7E5E"/>
    <w:rsid w:val="007E0030"/>
    <w:rsid w:val="007E006E"/>
    <w:rsid w:val="007E00B9"/>
    <w:rsid w:val="007E028B"/>
    <w:rsid w:val="007E0464"/>
    <w:rsid w:val="007E0935"/>
    <w:rsid w:val="007E0E89"/>
    <w:rsid w:val="007E0EBE"/>
    <w:rsid w:val="007E166F"/>
    <w:rsid w:val="007E22C1"/>
    <w:rsid w:val="007E23A5"/>
    <w:rsid w:val="007E24EF"/>
    <w:rsid w:val="007E27E5"/>
    <w:rsid w:val="007E2D78"/>
    <w:rsid w:val="007E34CE"/>
    <w:rsid w:val="007E3675"/>
    <w:rsid w:val="007E37AB"/>
    <w:rsid w:val="007E37C1"/>
    <w:rsid w:val="007E37CD"/>
    <w:rsid w:val="007E38F2"/>
    <w:rsid w:val="007E3EBA"/>
    <w:rsid w:val="007E440C"/>
    <w:rsid w:val="007E45D0"/>
    <w:rsid w:val="007E484B"/>
    <w:rsid w:val="007E4BD5"/>
    <w:rsid w:val="007E4FD7"/>
    <w:rsid w:val="007E50C2"/>
    <w:rsid w:val="007E5AA5"/>
    <w:rsid w:val="007E695E"/>
    <w:rsid w:val="007E6AA8"/>
    <w:rsid w:val="007E7032"/>
    <w:rsid w:val="007E78FC"/>
    <w:rsid w:val="007E7D91"/>
    <w:rsid w:val="007E7EA1"/>
    <w:rsid w:val="007F0349"/>
    <w:rsid w:val="007F07AA"/>
    <w:rsid w:val="007F0A80"/>
    <w:rsid w:val="007F0EA4"/>
    <w:rsid w:val="007F0EAD"/>
    <w:rsid w:val="007F1321"/>
    <w:rsid w:val="007F1431"/>
    <w:rsid w:val="007F1580"/>
    <w:rsid w:val="007F1796"/>
    <w:rsid w:val="007F19F3"/>
    <w:rsid w:val="007F1B04"/>
    <w:rsid w:val="007F2064"/>
    <w:rsid w:val="007F2977"/>
    <w:rsid w:val="007F2B93"/>
    <w:rsid w:val="007F2BDA"/>
    <w:rsid w:val="007F37CD"/>
    <w:rsid w:val="007F3A17"/>
    <w:rsid w:val="007F3D99"/>
    <w:rsid w:val="007F41F6"/>
    <w:rsid w:val="007F45CF"/>
    <w:rsid w:val="007F4CFD"/>
    <w:rsid w:val="007F4EEE"/>
    <w:rsid w:val="007F53C2"/>
    <w:rsid w:val="007F5C6F"/>
    <w:rsid w:val="007F6014"/>
    <w:rsid w:val="007F6135"/>
    <w:rsid w:val="007F6186"/>
    <w:rsid w:val="007F6500"/>
    <w:rsid w:val="007F6810"/>
    <w:rsid w:val="007F69C6"/>
    <w:rsid w:val="007F6BB0"/>
    <w:rsid w:val="007F6BDF"/>
    <w:rsid w:val="007F71F3"/>
    <w:rsid w:val="007F797C"/>
    <w:rsid w:val="007F7D23"/>
    <w:rsid w:val="007F7FA6"/>
    <w:rsid w:val="008009EB"/>
    <w:rsid w:val="00800C14"/>
    <w:rsid w:val="00800C43"/>
    <w:rsid w:val="00800DD4"/>
    <w:rsid w:val="008013CE"/>
    <w:rsid w:val="00801AD1"/>
    <w:rsid w:val="00802D3A"/>
    <w:rsid w:val="0080355A"/>
    <w:rsid w:val="008039BE"/>
    <w:rsid w:val="00804676"/>
    <w:rsid w:val="00804A9C"/>
    <w:rsid w:val="00804F33"/>
    <w:rsid w:val="008051AF"/>
    <w:rsid w:val="008054C9"/>
    <w:rsid w:val="0080595C"/>
    <w:rsid w:val="008059DF"/>
    <w:rsid w:val="00805C96"/>
    <w:rsid w:val="008061EB"/>
    <w:rsid w:val="008064D7"/>
    <w:rsid w:val="008067A1"/>
    <w:rsid w:val="00806A56"/>
    <w:rsid w:val="00806E31"/>
    <w:rsid w:val="00806FA3"/>
    <w:rsid w:val="00807103"/>
    <w:rsid w:val="0080731F"/>
    <w:rsid w:val="00807588"/>
    <w:rsid w:val="0080772E"/>
    <w:rsid w:val="00807763"/>
    <w:rsid w:val="00807853"/>
    <w:rsid w:val="00807B45"/>
    <w:rsid w:val="008101B1"/>
    <w:rsid w:val="008102DB"/>
    <w:rsid w:val="008107E7"/>
    <w:rsid w:val="00810D34"/>
    <w:rsid w:val="00811538"/>
    <w:rsid w:val="00811792"/>
    <w:rsid w:val="00811C42"/>
    <w:rsid w:val="00811CCE"/>
    <w:rsid w:val="00811DA3"/>
    <w:rsid w:val="00811ED6"/>
    <w:rsid w:val="008126B1"/>
    <w:rsid w:val="00812749"/>
    <w:rsid w:val="00812D95"/>
    <w:rsid w:val="008131C5"/>
    <w:rsid w:val="008131F7"/>
    <w:rsid w:val="00813AB9"/>
    <w:rsid w:val="00813AFB"/>
    <w:rsid w:val="00813BE8"/>
    <w:rsid w:val="00813C34"/>
    <w:rsid w:val="00813C8D"/>
    <w:rsid w:val="00813F97"/>
    <w:rsid w:val="00813FC6"/>
    <w:rsid w:val="00814665"/>
    <w:rsid w:val="00814833"/>
    <w:rsid w:val="00814D9C"/>
    <w:rsid w:val="00814E6E"/>
    <w:rsid w:val="00815102"/>
    <w:rsid w:val="008152A5"/>
    <w:rsid w:val="00815511"/>
    <w:rsid w:val="00815CD0"/>
    <w:rsid w:val="00816217"/>
    <w:rsid w:val="0081746A"/>
    <w:rsid w:val="0081766F"/>
    <w:rsid w:val="00817FC7"/>
    <w:rsid w:val="008202E3"/>
    <w:rsid w:val="00820759"/>
    <w:rsid w:val="00820B72"/>
    <w:rsid w:val="00820CD9"/>
    <w:rsid w:val="00820D40"/>
    <w:rsid w:val="00820D6E"/>
    <w:rsid w:val="00820DCA"/>
    <w:rsid w:val="008218B3"/>
    <w:rsid w:val="00822257"/>
    <w:rsid w:val="0082234B"/>
    <w:rsid w:val="00822B1B"/>
    <w:rsid w:val="00822B36"/>
    <w:rsid w:val="00822BC4"/>
    <w:rsid w:val="0082301B"/>
    <w:rsid w:val="0082315A"/>
    <w:rsid w:val="00823198"/>
    <w:rsid w:val="008234C6"/>
    <w:rsid w:val="008239C0"/>
    <w:rsid w:val="00823D2C"/>
    <w:rsid w:val="0082478E"/>
    <w:rsid w:val="00824AC2"/>
    <w:rsid w:val="00824EFE"/>
    <w:rsid w:val="008254B7"/>
    <w:rsid w:val="008256B4"/>
    <w:rsid w:val="008259DC"/>
    <w:rsid w:val="00826104"/>
    <w:rsid w:val="0082613B"/>
    <w:rsid w:val="0082616B"/>
    <w:rsid w:val="008262FB"/>
    <w:rsid w:val="0082659C"/>
    <w:rsid w:val="00826950"/>
    <w:rsid w:val="008269F4"/>
    <w:rsid w:val="00826A80"/>
    <w:rsid w:val="00826D32"/>
    <w:rsid w:val="00826D64"/>
    <w:rsid w:val="00826DC3"/>
    <w:rsid w:val="00826E92"/>
    <w:rsid w:val="00827030"/>
    <w:rsid w:val="008270C8"/>
    <w:rsid w:val="00827195"/>
    <w:rsid w:val="0082756E"/>
    <w:rsid w:val="00827BE7"/>
    <w:rsid w:val="00827C2A"/>
    <w:rsid w:val="00827C8C"/>
    <w:rsid w:val="00827D93"/>
    <w:rsid w:val="00830568"/>
    <w:rsid w:val="0083061D"/>
    <w:rsid w:val="008306A6"/>
    <w:rsid w:val="00830899"/>
    <w:rsid w:val="00830D6E"/>
    <w:rsid w:val="00830F22"/>
    <w:rsid w:val="00830FE1"/>
    <w:rsid w:val="008310F5"/>
    <w:rsid w:val="008311BD"/>
    <w:rsid w:val="00831548"/>
    <w:rsid w:val="0083193C"/>
    <w:rsid w:val="00831A77"/>
    <w:rsid w:val="0083274C"/>
    <w:rsid w:val="00832840"/>
    <w:rsid w:val="00832A1D"/>
    <w:rsid w:val="00832C11"/>
    <w:rsid w:val="00833564"/>
    <w:rsid w:val="008335EA"/>
    <w:rsid w:val="00833742"/>
    <w:rsid w:val="00833A13"/>
    <w:rsid w:val="00833F1B"/>
    <w:rsid w:val="00833F89"/>
    <w:rsid w:val="00834003"/>
    <w:rsid w:val="0083430C"/>
    <w:rsid w:val="00834A99"/>
    <w:rsid w:val="00834F0E"/>
    <w:rsid w:val="00834FF6"/>
    <w:rsid w:val="00835551"/>
    <w:rsid w:val="00835C87"/>
    <w:rsid w:val="008375A4"/>
    <w:rsid w:val="00837821"/>
    <w:rsid w:val="0083792C"/>
    <w:rsid w:val="00837AE0"/>
    <w:rsid w:val="00837F6D"/>
    <w:rsid w:val="00840057"/>
    <w:rsid w:val="00840339"/>
    <w:rsid w:val="0084036E"/>
    <w:rsid w:val="0084045C"/>
    <w:rsid w:val="008409B3"/>
    <w:rsid w:val="00840C68"/>
    <w:rsid w:val="00841013"/>
    <w:rsid w:val="008418CA"/>
    <w:rsid w:val="008419D8"/>
    <w:rsid w:val="00841E5D"/>
    <w:rsid w:val="00842543"/>
    <w:rsid w:val="00842EE6"/>
    <w:rsid w:val="008438E7"/>
    <w:rsid w:val="00843968"/>
    <w:rsid w:val="00844136"/>
    <w:rsid w:val="00844902"/>
    <w:rsid w:val="008456C8"/>
    <w:rsid w:val="00845DF7"/>
    <w:rsid w:val="00845F45"/>
    <w:rsid w:val="008476B9"/>
    <w:rsid w:val="00847900"/>
    <w:rsid w:val="008479BE"/>
    <w:rsid w:val="00847DF9"/>
    <w:rsid w:val="00850923"/>
    <w:rsid w:val="00850C5D"/>
    <w:rsid w:val="00850D39"/>
    <w:rsid w:val="00851045"/>
    <w:rsid w:val="0085132B"/>
    <w:rsid w:val="008518F7"/>
    <w:rsid w:val="00851B59"/>
    <w:rsid w:val="00851DF6"/>
    <w:rsid w:val="00851E67"/>
    <w:rsid w:val="00851F93"/>
    <w:rsid w:val="00851FAC"/>
    <w:rsid w:val="00852185"/>
    <w:rsid w:val="0085232D"/>
    <w:rsid w:val="00852B13"/>
    <w:rsid w:val="00852BC0"/>
    <w:rsid w:val="008531F7"/>
    <w:rsid w:val="0085340F"/>
    <w:rsid w:val="00853580"/>
    <w:rsid w:val="00853927"/>
    <w:rsid w:val="00853A6B"/>
    <w:rsid w:val="00853DE6"/>
    <w:rsid w:val="00853F95"/>
    <w:rsid w:val="00854177"/>
    <w:rsid w:val="008542F5"/>
    <w:rsid w:val="008545C4"/>
    <w:rsid w:val="00854E6A"/>
    <w:rsid w:val="0085566F"/>
    <w:rsid w:val="00855E94"/>
    <w:rsid w:val="00856A0A"/>
    <w:rsid w:val="00856A2E"/>
    <w:rsid w:val="00856A34"/>
    <w:rsid w:val="00856B4B"/>
    <w:rsid w:val="00856CD1"/>
    <w:rsid w:val="008570E9"/>
    <w:rsid w:val="008571EF"/>
    <w:rsid w:val="0085747B"/>
    <w:rsid w:val="00857931"/>
    <w:rsid w:val="00857B33"/>
    <w:rsid w:val="00857F0F"/>
    <w:rsid w:val="00860302"/>
    <w:rsid w:val="0086031B"/>
    <w:rsid w:val="0086032B"/>
    <w:rsid w:val="008603DC"/>
    <w:rsid w:val="00860901"/>
    <w:rsid w:val="00860985"/>
    <w:rsid w:val="00860C2D"/>
    <w:rsid w:val="00861041"/>
    <w:rsid w:val="00861103"/>
    <w:rsid w:val="00861C26"/>
    <w:rsid w:val="00861DD2"/>
    <w:rsid w:val="00862615"/>
    <w:rsid w:val="0086265E"/>
    <w:rsid w:val="00863048"/>
    <w:rsid w:val="008630FD"/>
    <w:rsid w:val="00863E72"/>
    <w:rsid w:val="00863FB1"/>
    <w:rsid w:val="00864BD4"/>
    <w:rsid w:val="00864E16"/>
    <w:rsid w:val="00864F67"/>
    <w:rsid w:val="008654CE"/>
    <w:rsid w:val="0086556E"/>
    <w:rsid w:val="008655D9"/>
    <w:rsid w:val="00865679"/>
    <w:rsid w:val="00865A9D"/>
    <w:rsid w:val="00865DF7"/>
    <w:rsid w:val="00866500"/>
    <w:rsid w:val="008668D5"/>
    <w:rsid w:val="00866C74"/>
    <w:rsid w:val="00866DB4"/>
    <w:rsid w:val="00866EE7"/>
    <w:rsid w:val="00866FB0"/>
    <w:rsid w:val="00866FB4"/>
    <w:rsid w:val="008672ED"/>
    <w:rsid w:val="00867818"/>
    <w:rsid w:val="00867D51"/>
    <w:rsid w:val="00867E4F"/>
    <w:rsid w:val="0087164F"/>
    <w:rsid w:val="00871D0F"/>
    <w:rsid w:val="00871DE1"/>
    <w:rsid w:val="00871F5E"/>
    <w:rsid w:val="00871FD6"/>
    <w:rsid w:val="008727B6"/>
    <w:rsid w:val="008727CF"/>
    <w:rsid w:val="0087288B"/>
    <w:rsid w:val="00872906"/>
    <w:rsid w:val="00872BC5"/>
    <w:rsid w:val="00872C75"/>
    <w:rsid w:val="00872E88"/>
    <w:rsid w:val="00873082"/>
    <w:rsid w:val="008731B0"/>
    <w:rsid w:val="00873A85"/>
    <w:rsid w:val="00873D37"/>
    <w:rsid w:val="008746A1"/>
    <w:rsid w:val="0087473C"/>
    <w:rsid w:val="00874D7C"/>
    <w:rsid w:val="00874DA0"/>
    <w:rsid w:val="00875A98"/>
    <w:rsid w:val="0087614C"/>
    <w:rsid w:val="0087645E"/>
    <w:rsid w:val="0087675F"/>
    <w:rsid w:val="00876914"/>
    <w:rsid w:val="00876D49"/>
    <w:rsid w:val="008772BD"/>
    <w:rsid w:val="0087741A"/>
    <w:rsid w:val="00877E56"/>
    <w:rsid w:val="008800FF"/>
    <w:rsid w:val="00880479"/>
    <w:rsid w:val="00881226"/>
    <w:rsid w:val="008816ED"/>
    <w:rsid w:val="008816F5"/>
    <w:rsid w:val="0088170E"/>
    <w:rsid w:val="00881997"/>
    <w:rsid w:val="00881DDB"/>
    <w:rsid w:val="0088254C"/>
    <w:rsid w:val="008826DA"/>
    <w:rsid w:val="00882C93"/>
    <w:rsid w:val="008830B9"/>
    <w:rsid w:val="00883159"/>
    <w:rsid w:val="008836FA"/>
    <w:rsid w:val="008837C7"/>
    <w:rsid w:val="00883933"/>
    <w:rsid w:val="00883B10"/>
    <w:rsid w:val="00883BCB"/>
    <w:rsid w:val="00883CCC"/>
    <w:rsid w:val="00883E76"/>
    <w:rsid w:val="008841EB"/>
    <w:rsid w:val="008845DE"/>
    <w:rsid w:val="00884615"/>
    <w:rsid w:val="008846D7"/>
    <w:rsid w:val="00884885"/>
    <w:rsid w:val="00884CB2"/>
    <w:rsid w:val="008850CF"/>
    <w:rsid w:val="00885300"/>
    <w:rsid w:val="008858D3"/>
    <w:rsid w:val="00885A87"/>
    <w:rsid w:val="008860CB"/>
    <w:rsid w:val="00886359"/>
    <w:rsid w:val="00886504"/>
    <w:rsid w:val="00886A81"/>
    <w:rsid w:val="00886D2F"/>
    <w:rsid w:val="00886F9B"/>
    <w:rsid w:val="008870D9"/>
    <w:rsid w:val="008870DB"/>
    <w:rsid w:val="00887192"/>
    <w:rsid w:val="008872F8"/>
    <w:rsid w:val="00887471"/>
    <w:rsid w:val="00887E1D"/>
    <w:rsid w:val="008902BD"/>
    <w:rsid w:val="00890382"/>
    <w:rsid w:val="00890A2E"/>
    <w:rsid w:val="00890E76"/>
    <w:rsid w:val="0089131E"/>
    <w:rsid w:val="008914AD"/>
    <w:rsid w:val="0089164D"/>
    <w:rsid w:val="00891A55"/>
    <w:rsid w:val="00891CC1"/>
    <w:rsid w:val="00891D92"/>
    <w:rsid w:val="008927D0"/>
    <w:rsid w:val="008927F2"/>
    <w:rsid w:val="00892D5B"/>
    <w:rsid w:val="00892DE3"/>
    <w:rsid w:val="008932AE"/>
    <w:rsid w:val="008936DB"/>
    <w:rsid w:val="00893E22"/>
    <w:rsid w:val="00894DE8"/>
    <w:rsid w:val="00894F7B"/>
    <w:rsid w:val="00895423"/>
    <w:rsid w:val="0089580F"/>
    <w:rsid w:val="0089617F"/>
    <w:rsid w:val="0089682B"/>
    <w:rsid w:val="008969A9"/>
    <w:rsid w:val="00896B4C"/>
    <w:rsid w:val="00896D84"/>
    <w:rsid w:val="00897060"/>
    <w:rsid w:val="0089726C"/>
    <w:rsid w:val="008972D5"/>
    <w:rsid w:val="00897715"/>
    <w:rsid w:val="00897AD3"/>
    <w:rsid w:val="00897DB6"/>
    <w:rsid w:val="00897E0A"/>
    <w:rsid w:val="008A0A25"/>
    <w:rsid w:val="008A0AF3"/>
    <w:rsid w:val="008A0C08"/>
    <w:rsid w:val="008A1227"/>
    <w:rsid w:val="008A124B"/>
    <w:rsid w:val="008A1288"/>
    <w:rsid w:val="008A12B9"/>
    <w:rsid w:val="008A134E"/>
    <w:rsid w:val="008A1979"/>
    <w:rsid w:val="008A1AB3"/>
    <w:rsid w:val="008A1D92"/>
    <w:rsid w:val="008A21F7"/>
    <w:rsid w:val="008A2725"/>
    <w:rsid w:val="008A2C05"/>
    <w:rsid w:val="008A3582"/>
    <w:rsid w:val="008A398D"/>
    <w:rsid w:val="008A3E8A"/>
    <w:rsid w:val="008A419D"/>
    <w:rsid w:val="008A423E"/>
    <w:rsid w:val="008A443F"/>
    <w:rsid w:val="008A4460"/>
    <w:rsid w:val="008A453E"/>
    <w:rsid w:val="008A4897"/>
    <w:rsid w:val="008A4A65"/>
    <w:rsid w:val="008A4F4F"/>
    <w:rsid w:val="008A54AA"/>
    <w:rsid w:val="008A56BA"/>
    <w:rsid w:val="008A5987"/>
    <w:rsid w:val="008A5C23"/>
    <w:rsid w:val="008A5EE9"/>
    <w:rsid w:val="008A609B"/>
    <w:rsid w:val="008A64DA"/>
    <w:rsid w:val="008A67B6"/>
    <w:rsid w:val="008A69E4"/>
    <w:rsid w:val="008A6AFC"/>
    <w:rsid w:val="008A6DB0"/>
    <w:rsid w:val="008A6E09"/>
    <w:rsid w:val="008A7483"/>
    <w:rsid w:val="008A7C3E"/>
    <w:rsid w:val="008A7EBA"/>
    <w:rsid w:val="008A7FBA"/>
    <w:rsid w:val="008B0C9E"/>
    <w:rsid w:val="008B0D6B"/>
    <w:rsid w:val="008B1161"/>
    <w:rsid w:val="008B1C00"/>
    <w:rsid w:val="008B2567"/>
    <w:rsid w:val="008B27FF"/>
    <w:rsid w:val="008B2C72"/>
    <w:rsid w:val="008B31EC"/>
    <w:rsid w:val="008B385D"/>
    <w:rsid w:val="008B38DC"/>
    <w:rsid w:val="008B3E36"/>
    <w:rsid w:val="008B43A0"/>
    <w:rsid w:val="008B497C"/>
    <w:rsid w:val="008B4F0D"/>
    <w:rsid w:val="008B4F38"/>
    <w:rsid w:val="008B5516"/>
    <w:rsid w:val="008B5566"/>
    <w:rsid w:val="008B56C6"/>
    <w:rsid w:val="008B5805"/>
    <w:rsid w:val="008B6445"/>
    <w:rsid w:val="008B65D2"/>
    <w:rsid w:val="008B6767"/>
    <w:rsid w:val="008B6C57"/>
    <w:rsid w:val="008B73D1"/>
    <w:rsid w:val="008B7437"/>
    <w:rsid w:val="008B75C2"/>
    <w:rsid w:val="008B75CB"/>
    <w:rsid w:val="008B768B"/>
    <w:rsid w:val="008B76CB"/>
    <w:rsid w:val="008B76D6"/>
    <w:rsid w:val="008B77C6"/>
    <w:rsid w:val="008B79B8"/>
    <w:rsid w:val="008B7CF7"/>
    <w:rsid w:val="008B7D30"/>
    <w:rsid w:val="008B7E1C"/>
    <w:rsid w:val="008C07EC"/>
    <w:rsid w:val="008C1489"/>
    <w:rsid w:val="008C1968"/>
    <w:rsid w:val="008C19FC"/>
    <w:rsid w:val="008C1C70"/>
    <w:rsid w:val="008C248E"/>
    <w:rsid w:val="008C2615"/>
    <w:rsid w:val="008C2771"/>
    <w:rsid w:val="008C2B75"/>
    <w:rsid w:val="008C2FC3"/>
    <w:rsid w:val="008C3AD9"/>
    <w:rsid w:val="008C3E14"/>
    <w:rsid w:val="008C3EA2"/>
    <w:rsid w:val="008C3FB0"/>
    <w:rsid w:val="008C416B"/>
    <w:rsid w:val="008C45D0"/>
    <w:rsid w:val="008C49B4"/>
    <w:rsid w:val="008C4FFB"/>
    <w:rsid w:val="008C56CE"/>
    <w:rsid w:val="008C5B72"/>
    <w:rsid w:val="008C5D8B"/>
    <w:rsid w:val="008C6314"/>
    <w:rsid w:val="008C6610"/>
    <w:rsid w:val="008C6792"/>
    <w:rsid w:val="008C6ABF"/>
    <w:rsid w:val="008C6F27"/>
    <w:rsid w:val="008C7049"/>
    <w:rsid w:val="008C766B"/>
    <w:rsid w:val="008C77F4"/>
    <w:rsid w:val="008C7898"/>
    <w:rsid w:val="008C79C8"/>
    <w:rsid w:val="008C7D6B"/>
    <w:rsid w:val="008C7E97"/>
    <w:rsid w:val="008D0D80"/>
    <w:rsid w:val="008D0E4B"/>
    <w:rsid w:val="008D0E80"/>
    <w:rsid w:val="008D1329"/>
    <w:rsid w:val="008D1590"/>
    <w:rsid w:val="008D1B39"/>
    <w:rsid w:val="008D2338"/>
    <w:rsid w:val="008D2AD8"/>
    <w:rsid w:val="008D2F31"/>
    <w:rsid w:val="008D3731"/>
    <w:rsid w:val="008D38A8"/>
    <w:rsid w:val="008D4258"/>
    <w:rsid w:val="008D4406"/>
    <w:rsid w:val="008D441B"/>
    <w:rsid w:val="008D48E8"/>
    <w:rsid w:val="008D48E9"/>
    <w:rsid w:val="008D494B"/>
    <w:rsid w:val="008D59F7"/>
    <w:rsid w:val="008D5B23"/>
    <w:rsid w:val="008D60E9"/>
    <w:rsid w:val="008D619C"/>
    <w:rsid w:val="008D6453"/>
    <w:rsid w:val="008D67AF"/>
    <w:rsid w:val="008D6AA6"/>
    <w:rsid w:val="008D7014"/>
    <w:rsid w:val="008D7057"/>
    <w:rsid w:val="008D7161"/>
    <w:rsid w:val="008D7354"/>
    <w:rsid w:val="008D7D09"/>
    <w:rsid w:val="008D7D42"/>
    <w:rsid w:val="008D7E9A"/>
    <w:rsid w:val="008E0727"/>
    <w:rsid w:val="008E0786"/>
    <w:rsid w:val="008E08EE"/>
    <w:rsid w:val="008E0FAF"/>
    <w:rsid w:val="008E12F2"/>
    <w:rsid w:val="008E13FF"/>
    <w:rsid w:val="008E14DF"/>
    <w:rsid w:val="008E1698"/>
    <w:rsid w:val="008E16DB"/>
    <w:rsid w:val="008E185F"/>
    <w:rsid w:val="008E1E21"/>
    <w:rsid w:val="008E2C28"/>
    <w:rsid w:val="008E2DEC"/>
    <w:rsid w:val="008E2EC0"/>
    <w:rsid w:val="008E3359"/>
    <w:rsid w:val="008E36A6"/>
    <w:rsid w:val="008E38F1"/>
    <w:rsid w:val="008E44A0"/>
    <w:rsid w:val="008E4E66"/>
    <w:rsid w:val="008E4EC1"/>
    <w:rsid w:val="008E4FDA"/>
    <w:rsid w:val="008E5610"/>
    <w:rsid w:val="008E57A6"/>
    <w:rsid w:val="008E584B"/>
    <w:rsid w:val="008E5DA7"/>
    <w:rsid w:val="008E6EB7"/>
    <w:rsid w:val="008E6F1A"/>
    <w:rsid w:val="008E6FE9"/>
    <w:rsid w:val="008E76A5"/>
    <w:rsid w:val="008E7812"/>
    <w:rsid w:val="008E7971"/>
    <w:rsid w:val="008E7C38"/>
    <w:rsid w:val="008E7DBE"/>
    <w:rsid w:val="008E7DE8"/>
    <w:rsid w:val="008E7F9B"/>
    <w:rsid w:val="008F0B8F"/>
    <w:rsid w:val="008F1581"/>
    <w:rsid w:val="008F16DD"/>
    <w:rsid w:val="008F180B"/>
    <w:rsid w:val="008F1C05"/>
    <w:rsid w:val="008F1ED3"/>
    <w:rsid w:val="008F2098"/>
    <w:rsid w:val="008F23D3"/>
    <w:rsid w:val="008F24C1"/>
    <w:rsid w:val="008F271B"/>
    <w:rsid w:val="008F2B23"/>
    <w:rsid w:val="008F2CBF"/>
    <w:rsid w:val="008F3A50"/>
    <w:rsid w:val="008F3B33"/>
    <w:rsid w:val="008F3D52"/>
    <w:rsid w:val="008F40D8"/>
    <w:rsid w:val="008F476C"/>
    <w:rsid w:val="008F49B4"/>
    <w:rsid w:val="008F51DE"/>
    <w:rsid w:val="008F53D4"/>
    <w:rsid w:val="008F5787"/>
    <w:rsid w:val="008F5915"/>
    <w:rsid w:val="008F5AE3"/>
    <w:rsid w:val="008F5F32"/>
    <w:rsid w:val="008F61B1"/>
    <w:rsid w:val="008F6593"/>
    <w:rsid w:val="008F69BA"/>
    <w:rsid w:val="008F6FD5"/>
    <w:rsid w:val="008F75B5"/>
    <w:rsid w:val="008F7732"/>
    <w:rsid w:val="008F779B"/>
    <w:rsid w:val="008F7A64"/>
    <w:rsid w:val="008F7C49"/>
    <w:rsid w:val="008F7F3F"/>
    <w:rsid w:val="0090007F"/>
    <w:rsid w:val="0090032E"/>
    <w:rsid w:val="009007A9"/>
    <w:rsid w:val="00901047"/>
    <w:rsid w:val="00901193"/>
    <w:rsid w:val="009015D6"/>
    <w:rsid w:val="009017AA"/>
    <w:rsid w:val="009023F3"/>
    <w:rsid w:val="009025C6"/>
    <w:rsid w:val="00902B08"/>
    <w:rsid w:val="00902B3A"/>
    <w:rsid w:val="00902B93"/>
    <w:rsid w:val="009032F3"/>
    <w:rsid w:val="0090352D"/>
    <w:rsid w:val="0090382B"/>
    <w:rsid w:val="0090392A"/>
    <w:rsid w:val="00903AA5"/>
    <w:rsid w:val="00903E87"/>
    <w:rsid w:val="009041C3"/>
    <w:rsid w:val="00904479"/>
    <w:rsid w:val="0090459A"/>
    <w:rsid w:val="0090486C"/>
    <w:rsid w:val="00904ECF"/>
    <w:rsid w:val="0090502F"/>
    <w:rsid w:val="0090516D"/>
    <w:rsid w:val="00905278"/>
    <w:rsid w:val="00905567"/>
    <w:rsid w:val="00905632"/>
    <w:rsid w:val="0090596C"/>
    <w:rsid w:val="00906525"/>
    <w:rsid w:val="00910A8B"/>
    <w:rsid w:val="00910E77"/>
    <w:rsid w:val="009110D6"/>
    <w:rsid w:val="00911700"/>
    <w:rsid w:val="0091177D"/>
    <w:rsid w:val="0091181A"/>
    <w:rsid w:val="00911C9F"/>
    <w:rsid w:val="0091266C"/>
    <w:rsid w:val="009126EF"/>
    <w:rsid w:val="00912732"/>
    <w:rsid w:val="00912A13"/>
    <w:rsid w:val="00912A29"/>
    <w:rsid w:val="00912DFD"/>
    <w:rsid w:val="00912FA1"/>
    <w:rsid w:val="00912FFC"/>
    <w:rsid w:val="00913102"/>
    <w:rsid w:val="009131BA"/>
    <w:rsid w:val="0091338E"/>
    <w:rsid w:val="0091371E"/>
    <w:rsid w:val="00913A6C"/>
    <w:rsid w:val="00913D40"/>
    <w:rsid w:val="00914140"/>
    <w:rsid w:val="009142D3"/>
    <w:rsid w:val="009147EE"/>
    <w:rsid w:val="0091486A"/>
    <w:rsid w:val="00914B38"/>
    <w:rsid w:val="0091569B"/>
    <w:rsid w:val="00915FEC"/>
    <w:rsid w:val="0091602E"/>
    <w:rsid w:val="009163BD"/>
    <w:rsid w:val="009165CE"/>
    <w:rsid w:val="00916865"/>
    <w:rsid w:val="00916C7E"/>
    <w:rsid w:val="00917204"/>
    <w:rsid w:val="00917371"/>
    <w:rsid w:val="009173F3"/>
    <w:rsid w:val="0091778A"/>
    <w:rsid w:val="009178C9"/>
    <w:rsid w:val="00917B73"/>
    <w:rsid w:val="00917CAE"/>
    <w:rsid w:val="00917D5C"/>
    <w:rsid w:val="009200AF"/>
    <w:rsid w:val="009209F1"/>
    <w:rsid w:val="00920C26"/>
    <w:rsid w:val="00920F88"/>
    <w:rsid w:val="00921A7C"/>
    <w:rsid w:val="00921B63"/>
    <w:rsid w:val="00921FAE"/>
    <w:rsid w:val="00922105"/>
    <w:rsid w:val="00922872"/>
    <w:rsid w:val="00923216"/>
    <w:rsid w:val="0092338C"/>
    <w:rsid w:val="009234F0"/>
    <w:rsid w:val="00923978"/>
    <w:rsid w:val="00923AF0"/>
    <w:rsid w:val="00923B30"/>
    <w:rsid w:val="00923E88"/>
    <w:rsid w:val="009244E9"/>
    <w:rsid w:val="00924B4E"/>
    <w:rsid w:val="00924EF9"/>
    <w:rsid w:val="009253DB"/>
    <w:rsid w:val="0092578F"/>
    <w:rsid w:val="00925ABC"/>
    <w:rsid w:val="00925ED5"/>
    <w:rsid w:val="0092631F"/>
    <w:rsid w:val="009267BC"/>
    <w:rsid w:val="0092682E"/>
    <w:rsid w:val="009268EC"/>
    <w:rsid w:val="0092697B"/>
    <w:rsid w:val="00926D4D"/>
    <w:rsid w:val="009270C2"/>
    <w:rsid w:val="0092734A"/>
    <w:rsid w:val="009274D6"/>
    <w:rsid w:val="00927905"/>
    <w:rsid w:val="00930390"/>
    <w:rsid w:val="0093062B"/>
    <w:rsid w:val="009307A8"/>
    <w:rsid w:val="009308A8"/>
    <w:rsid w:val="00930E6E"/>
    <w:rsid w:val="009319DA"/>
    <w:rsid w:val="009320EF"/>
    <w:rsid w:val="00932381"/>
    <w:rsid w:val="009327BE"/>
    <w:rsid w:val="0093281C"/>
    <w:rsid w:val="00932CD7"/>
    <w:rsid w:val="009333FA"/>
    <w:rsid w:val="00933A19"/>
    <w:rsid w:val="00933A5F"/>
    <w:rsid w:val="00933DC9"/>
    <w:rsid w:val="00934030"/>
    <w:rsid w:val="0093420F"/>
    <w:rsid w:val="009342B2"/>
    <w:rsid w:val="009342E5"/>
    <w:rsid w:val="00934376"/>
    <w:rsid w:val="00934CBC"/>
    <w:rsid w:val="00934D60"/>
    <w:rsid w:val="0093503E"/>
    <w:rsid w:val="00935049"/>
    <w:rsid w:val="009353FE"/>
    <w:rsid w:val="009354B8"/>
    <w:rsid w:val="00935775"/>
    <w:rsid w:val="0093602C"/>
    <w:rsid w:val="009365EC"/>
    <w:rsid w:val="009366EE"/>
    <w:rsid w:val="009367B0"/>
    <w:rsid w:val="0093684F"/>
    <w:rsid w:val="00936BB6"/>
    <w:rsid w:val="00936C06"/>
    <w:rsid w:val="00936D11"/>
    <w:rsid w:val="009371DA"/>
    <w:rsid w:val="0093758D"/>
    <w:rsid w:val="009377B5"/>
    <w:rsid w:val="00937AEA"/>
    <w:rsid w:val="00937F00"/>
    <w:rsid w:val="00937F32"/>
    <w:rsid w:val="009403E0"/>
    <w:rsid w:val="00940794"/>
    <w:rsid w:val="00941383"/>
    <w:rsid w:val="00942469"/>
    <w:rsid w:val="00942715"/>
    <w:rsid w:val="009427B3"/>
    <w:rsid w:val="009439FC"/>
    <w:rsid w:val="00944AAA"/>
    <w:rsid w:val="00944ECB"/>
    <w:rsid w:val="00945C0D"/>
    <w:rsid w:val="00945DAE"/>
    <w:rsid w:val="00945E15"/>
    <w:rsid w:val="00946489"/>
    <w:rsid w:val="00946514"/>
    <w:rsid w:val="00946831"/>
    <w:rsid w:val="00946E07"/>
    <w:rsid w:val="00947393"/>
    <w:rsid w:val="00947AB6"/>
    <w:rsid w:val="0095021C"/>
    <w:rsid w:val="00950361"/>
    <w:rsid w:val="00951346"/>
    <w:rsid w:val="0095155E"/>
    <w:rsid w:val="00951953"/>
    <w:rsid w:val="00951DCA"/>
    <w:rsid w:val="00951EB8"/>
    <w:rsid w:val="009521CD"/>
    <w:rsid w:val="00952211"/>
    <w:rsid w:val="00952277"/>
    <w:rsid w:val="00952B71"/>
    <w:rsid w:val="00953391"/>
    <w:rsid w:val="00953564"/>
    <w:rsid w:val="00953702"/>
    <w:rsid w:val="00953978"/>
    <w:rsid w:val="009539D2"/>
    <w:rsid w:val="00953B65"/>
    <w:rsid w:val="00953B91"/>
    <w:rsid w:val="0095442B"/>
    <w:rsid w:val="0095470B"/>
    <w:rsid w:val="00954B2B"/>
    <w:rsid w:val="0095513D"/>
    <w:rsid w:val="00955748"/>
    <w:rsid w:val="0095582C"/>
    <w:rsid w:val="00955D82"/>
    <w:rsid w:val="009565E1"/>
    <w:rsid w:val="00956814"/>
    <w:rsid w:val="0095706E"/>
    <w:rsid w:val="009573A5"/>
    <w:rsid w:val="00957AE8"/>
    <w:rsid w:val="00957BB0"/>
    <w:rsid w:val="00957D11"/>
    <w:rsid w:val="00957F93"/>
    <w:rsid w:val="009608D6"/>
    <w:rsid w:val="00960A56"/>
    <w:rsid w:val="00960F3D"/>
    <w:rsid w:val="00961172"/>
    <w:rsid w:val="00961948"/>
    <w:rsid w:val="00961F53"/>
    <w:rsid w:val="009621CF"/>
    <w:rsid w:val="009628E1"/>
    <w:rsid w:val="00962F04"/>
    <w:rsid w:val="009639A9"/>
    <w:rsid w:val="00963EB3"/>
    <w:rsid w:val="0096426C"/>
    <w:rsid w:val="00964291"/>
    <w:rsid w:val="00964460"/>
    <w:rsid w:val="009646C6"/>
    <w:rsid w:val="009648A3"/>
    <w:rsid w:val="009649FF"/>
    <w:rsid w:val="00964A35"/>
    <w:rsid w:val="00964B5E"/>
    <w:rsid w:val="00964E73"/>
    <w:rsid w:val="00965169"/>
    <w:rsid w:val="00965495"/>
    <w:rsid w:val="00965825"/>
    <w:rsid w:val="009659C3"/>
    <w:rsid w:val="00965BFB"/>
    <w:rsid w:val="00965E68"/>
    <w:rsid w:val="00965F59"/>
    <w:rsid w:val="00965FB5"/>
    <w:rsid w:val="00966031"/>
    <w:rsid w:val="00966451"/>
    <w:rsid w:val="00966506"/>
    <w:rsid w:val="00966555"/>
    <w:rsid w:val="00966D3C"/>
    <w:rsid w:val="00966EF8"/>
    <w:rsid w:val="00967251"/>
    <w:rsid w:val="00967C9E"/>
    <w:rsid w:val="00967E25"/>
    <w:rsid w:val="00967EB5"/>
    <w:rsid w:val="00967EFF"/>
    <w:rsid w:val="00970943"/>
    <w:rsid w:val="009710FE"/>
    <w:rsid w:val="009713A8"/>
    <w:rsid w:val="0097174A"/>
    <w:rsid w:val="009718D3"/>
    <w:rsid w:val="009718DE"/>
    <w:rsid w:val="00971E65"/>
    <w:rsid w:val="00972153"/>
    <w:rsid w:val="009722FF"/>
    <w:rsid w:val="00972EBB"/>
    <w:rsid w:val="00973112"/>
    <w:rsid w:val="00973B5D"/>
    <w:rsid w:val="00973D08"/>
    <w:rsid w:val="00974CB5"/>
    <w:rsid w:val="00974DED"/>
    <w:rsid w:val="00974FC8"/>
    <w:rsid w:val="00975224"/>
    <w:rsid w:val="00975521"/>
    <w:rsid w:val="0097596C"/>
    <w:rsid w:val="00976C22"/>
    <w:rsid w:val="00976EAA"/>
    <w:rsid w:val="009775A3"/>
    <w:rsid w:val="00977764"/>
    <w:rsid w:val="009778F8"/>
    <w:rsid w:val="009779E3"/>
    <w:rsid w:val="00977C73"/>
    <w:rsid w:val="00980170"/>
    <w:rsid w:val="009803C5"/>
    <w:rsid w:val="00980547"/>
    <w:rsid w:val="009805A6"/>
    <w:rsid w:val="009808F6"/>
    <w:rsid w:val="00980A33"/>
    <w:rsid w:val="00980E96"/>
    <w:rsid w:val="00980EB5"/>
    <w:rsid w:val="00980FB4"/>
    <w:rsid w:val="00981ABE"/>
    <w:rsid w:val="00981AF1"/>
    <w:rsid w:val="00981BCC"/>
    <w:rsid w:val="00982436"/>
    <w:rsid w:val="00982512"/>
    <w:rsid w:val="00983127"/>
    <w:rsid w:val="009834DF"/>
    <w:rsid w:val="0098396C"/>
    <w:rsid w:val="00983ADC"/>
    <w:rsid w:val="00983E91"/>
    <w:rsid w:val="009846DA"/>
    <w:rsid w:val="00984FF4"/>
    <w:rsid w:val="009859D2"/>
    <w:rsid w:val="00985C41"/>
    <w:rsid w:val="00985D39"/>
    <w:rsid w:val="00986423"/>
    <w:rsid w:val="00986805"/>
    <w:rsid w:val="009869F2"/>
    <w:rsid w:val="00986EB2"/>
    <w:rsid w:val="009871BD"/>
    <w:rsid w:val="00987B18"/>
    <w:rsid w:val="00987F92"/>
    <w:rsid w:val="00990717"/>
    <w:rsid w:val="00990909"/>
    <w:rsid w:val="00990A70"/>
    <w:rsid w:val="00991230"/>
    <w:rsid w:val="009917A3"/>
    <w:rsid w:val="00991FCE"/>
    <w:rsid w:val="009920DB"/>
    <w:rsid w:val="00992305"/>
    <w:rsid w:val="0099248F"/>
    <w:rsid w:val="009929AD"/>
    <w:rsid w:val="00993621"/>
    <w:rsid w:val="009937B6"/>
    <w:rsid w:val="00993962"/>
    <w:rsid w:val="00993D43"/>
    <w:rsid w:val="00993D78"/>
    <w:rsid w:val="0099432E"/>
    <w:rsid w:val="00994B46"/>
    <w:rsid w:val="00994E05"/>
    <w:rsid w:val="00994F1D"/>
    <w:rsid w:val="00995009"/>
    <w:rsid w:val="009954D6"/>
    <w:rsid w:val="00995A57"/>
    <w:rsid w:val="00996098"/>
    <w:rsid w:val="00996CD1"/>
    <w:rsid w:val="00996E05"/>
    <w:rsid w:val="009977B5"/>
    <w:rsid w:val="00997A05"/>
    <w:rsid w:val="00997A65"/>
    <w:rsid w:val="00997D91"/>
    <w:rsid w:val="009A0178"/>
    <w:rsid w:val="009A0309"/>
    <w:rsid w:val="009A03F5"/>
    <w:rsid w:val="009A04F1"/>
    <w:rsid w:val="009A07E3"/>
    <w:rsid w:val="009A0857"/>
    <w:rsid w:val="009A0C5B"/>
    <w:rsid w:val="009A0DC2"/>
    <w:rsid w:val="009A0EF0"/>
    <w:rsid w:val="009A1929"/>
    <w:rsid w:val="009A19E1"/>
    <w:rsid w:val="009A28F3"/>
    <w:rsid w:val="009A2A55"/>
    <w:rsid w:val="009A36F6"/>
    <w:rsid w:val="009A39C4"/>
    <w:rsid w:val="009A3C19"/>
    <w:rsid w:val="009A3FCC"/>
    <w:rsid w:val="009A454B"/>
    <w:rsid w:val="009A486E"/>
    <w:rsid w:val="009A4992"/>
    <w:rsid w:val="009A4FEB"/>
    <w:rsid w:val="009A5723"/>
    <w:rsid w:val="009A5959"/>
    <w:rsid w:val="009A64E4"/>
    <w:rsid w:val="009A6696"/>
    <w:rsid w:val="009A6A82"/>
    <w:rsid w:val="009A6D2E"/>
    <w:rsid w:val="009A7483"/>
    <w:rsid w:val="009A76E0"/>
    <w:rsid w:val="009A7715"/>
    <w:rsid w:val="009A773A"/>
    <w:rsid w:val="009A7B1C"/>
    <w:rsid w:val="009A7C9D"/>
    <w:rsid w:val="009A7F69"/>
    <w:rsid w:val="009A7FB3"/>
    <w:rsid w:val="009B03F9"/>
    <w:rsid w:val="009B05F5"/>
    <w:rsid w:val="009B071F"/>
    <w:rsid w:val="009B1E93"/>
    <w:rsid w:val="009B2BC5"/>
    <w:rsid w:val="009B2BCE"/>
    <w:rsid w:val="009B35FE"/>
    <w:rsid w:val="009B39B8"/>
    <w:rsid w:val="009B3A02"/>
    <w:rsid w:val="009B3F31"/>
    <w:rsid w:val="009B4074"/>
    <w:rsid w:val="009B40B1"/>
    <w:rsid w:val="009B4125"/>
    <w:rsid w:val="009B41AA"/>
    <w:rsid w:val="009B4A18"/>
    <w:rsid w:val="009B4B3F"/>
    <w:rsid w:val="009B4EDE"/>
    <w:rsid w:val="009B500B"/>
    <w:rsid w:val="009B51BE"/>
    <w:rsid w:val="009B5539"/>
    <w:rsid w:val="009B5AD8"/>
    <w:rsid w:val="009B5B0E"/>
    <w:rsid w:val="009B5CCB"/>
    <w:rsid w:val="009B5F27"/>
    <w:rsid w:val="009B694A"/>
    <w:rsid w:val="009B6D7C"/>
    <w:rsid w:val="009B704B"/>
    <w:rsid w:val="009B71E7"/>
    <w:rsid w:val="009B71FA"/>
    <w:rsid w:val="009B73B8"/>
    <w:rsid w:val="009B77FD"/>
    <w:rsid w:val="009B7825"/>
    <w:rsid w:val="009B7DED"/>
    <w:rsid w:val="009B7F27"/>
    <w:rsid w:val="009C0082"/>
    <w:rsid w:val="009C042A"/>
    <w:rsid w:val="009C0849"/>
    <w:rsid w:val="009C1625"/>
    <w:rsid w:val="009C1DE1"/>
    <w:rsid w:val="009C1E63"/>
    <w:rsid w:val="009C1E65"/>
    <w:rsid w:val="009C217F"/>
    <w:rsid w:val="009C22FA"/>
    <w:rsid w:val="009C2653"/>
    <w:rsid w:val="009C2A2D"/>
    <w:rsid w:val="009C315A"/>
    <w:rsid w:val="009C39AF"/>
    <w:rsid w:val="009C3E2A"/>
    <w:rsid w:val="009C3F3B"/>
    <w:rsid w:val="009C3F56"/>
    <w:rsid w:val="009C42FA"/>
    <w:rsid w:val="009C4501"/>
    <w:rsid w:val="009C48D9"/>
    <w:rsid w:val="009C5018"/>
    <w:rsid w:val="009C531E"/>
    <w:rsid w:val="009C5629"/>
    <w:rsid w:val="009C575E"/>
    <w:rsid w:val="009C5AF2"/>
    <w:rsid w:val="009C5F2D"/>
    <w:rsid w:val="009C65B7"/>
    <w:rsid w:val="009C668B"/>
    <w:rsid w:val="009C69F8"/>
    <w:rsid w:val="009C6C23"/>
    <w:rsid w:val="009C6CAF"/>
    <w:rsid w:val="009C7355"/>
    <w:rsid w:val="009C772B"/>
    <w:rsid w:val="009C78C6"/>
    <w:rsid w:val="009C7AAD"/>
    <w:rsid w:val="009C7AC2"/>
    <w:rsid w:val="009C7EF2"/>
    <w:rsid w:val="009D09A7"/>
    <w:rsid w:val="009D0B2A"/>
    <w:rsid w:val="009D0DDF"/>
    <w:rsid w:val="009D0F28"/>
    <w:rsid w:val="009D11F0"/>
    <w:rsid w:val="009D13D3"/>
    <w:rsid w:val="009D1585"/>
    <w:rsid w:val="009D1655"/>
    <w:rsid w:val="009D177B"/>
    <w:rsid w:val="009D1A6D"/>
    <w:rsid w:val="009D1ABD"/>
    <w:rsid w:val="009D1CDA"/>
    <w:rsid w:val="009D1EE6"/>
    <w:rsid w:val="009D209D"/>
    <w:rsid w:val="009D25FE"/>
    <w:rsid w:val="009D2F9E"/>
    <w:rsid w:val="009D3204"/>
    <w:rsid w:val="009D3210"/>
    <w:rsid w:val="009D358D"/>
    <w:rsid w:val="009D394D"/>
    <w:rsid w:val="009D3B83"/>
    <w:rsid w:val="009D4080"/>
    <w:rsid w:val="009D43E3"/>
    <w:rsid w:val="009D48BB"/>
    <w:rsid w:val="009D4BBC"/>
    <w:rsid w:val="009D5523"/>
    <w:rsid w:val="009D5A00"/>
    <w:rsid w:val="009D60EA"/>
    <w:rsid w:val="009D6143"/>
    <w:rsid w:val="009D648F"/>
    <w:rsid w:val="009D682F"/>
    <w:rsid w:val="009D6918"/>
    <w:rsid w:val="009D6BB5"/>
    <w:rsid w:val="009D6CD4"/>
    <w:rsid w:val="009D7523"/>
    <w:rsid w:val="009D7C31"/>
    <w:rsid w:val="009E00B4"/>
    <w:rsid w:val="009E0890"/>
    <w:rsid w:val="009E089B"/>
    <w:rsid w:val="009E090A"/>
    <w:rsid w:val="009E09BE"/>
    <w:rsid w:val="009E0A8C"/>
    <w:rsid w:val="009E0B4F"/>
    <w:rsid w:val="009E0F9F"/>
    <w:rsid w:val="009E106B"/>
    <w:rsid w:val="009E1BE5"/>
    <w:rsid w:val="009E1CDC"/>
    <w:rsid w:val="009E1EB2"/>
    <w:rsid w:val="009E20DD"/>
    <w:rsid w:val="009E2660"/>
    <w:rsid w:val="009E286D"/>
    <w:rsid w:val="009E293E"/>
    <w:rsid w:val="009E297C"/>
    <w:rsid w:val="009E30D6"/>
    <w:rsid w:val="009E33E8"/>
    <w:rsid w:val="009E3A27"/>
    <w:rsid w:val="009E3C86"/>
    <w:rsid w:val="009E3CFB"/>
    <w:rsid w:val="009E3F81"/>
    <w:rsid w:val="009E479E"/>
    <w:rsid w:val="009E47C8"/>
    <w:rsid w:val="009E4ABE"/>
    <w:rsid w:val="009E5687"/>
    <w:rsid w:val="009E5825"/>
    <w:rsid w:val="009E5B50"/>
    <w:rsid w:val="009E5BBE"/>
    <w:rsid w:val="009E5BC1"/>
    <w:rsid w:val="009E5EF1"/>
    <w:rsid w:val="009E62DD"/>
    <w:rsid w:val="009E63D1"/>
    <w:rsid w:val="009E6634"/>
    <w:rsid w:val="009E69A7"/>
    <w:rsid w:val="009E6F1D"/>
    <w:rsid w:val="009E77EF"/>
    <w:rsid w:val="009E7CB6"/>
    <w:rsid w:val="009E7F82"/>
    <w:rsid w:val="009F089F"/>
    <w:rsid w:val="009F11EC"/>
    <w:rsid w:val="009F15C3"/>
    <w:rsid w:val="009F1F45"/>
    <w:rsid w:val="009F22E0"/>
    <w:rsid w:val="009F26DF"/>
    <w:rsid w:val="009F2B03"/>
    <w:rsid w:val="009F2B13"/>
    <w:rsid w:val="009F3484"/>
    <w:rsid w:val="009F358B"/>
    <w:rsid w:val="009F38DD"/>
    <w:rsid w:val="009F3CD1"/>
    <w:rsid w:val="009F4010"/>
    <w:rsid w:val="009F4068"/>
    <w:rsid w:val="009F4791"/>
    <w:rsid w:val="009F4C91"/>
    <w:rsid w:val="009F4DF6"/>
    <w:rsid w:val="009F5118"/>
    <w:rsid w:val="009F536B"/>
    <w:rsid w:val="009F583B"/>
    <w:rsid w:val="009F5C40"/>
    <w:rsid w:val="009F668C"/>
    <w:rsid w:val="009F6AC2"/>
    <w:rsid w:val="009F6D50"/>
    <w:rsid w:val="009F70DF"/>
    <w:rsid w:val="009F751A"/>
    <w:rsid w:val="009F7658"/>
    <w:rsid w:val="009F7C4E"/>
    <w:rsid w:val="00A001BE"/>
    <w:rsid w:val="00A00312"/>
    <w:rsid w:val="00A004A5"/>
    <w:rsid w:val="00A00597"/>
    <w:rsid w:val="00A00C9D"/>
    <w:rsid w:val="00A00ED4"/>
    <w:rsid w:val="00A01646"/>
    <w:rsid w:val="00A01712"/>
    <w:rsid w:val="00A01939"/>
    <w:rsid w:val="00A01E9F"/>
    <w:rsid w:val="00A025AE"/>
    <w:rsid w:val="00A0294E"/>
    <w:rsid w:val="00A02CC6"/>
    <w:rsid w:val="00A02D7C"/>
    <w:rsid w:val="00A02FB4"/>
    <w:rsid w:val="00A02FB7"/>
    <w:rsid w:val="00A036C7"/>
    <w:rsid w:val="00A04487"/>
    <w:rsid w:val="00A04885"/>
    <w:rsid w:val="00A04B5E"/>
    <w:rsid w:val="00A04FED"/>
    <w:rsid w:val="00A056D3"/>
    <w:rsid w:val="00A05814"/>
    <w:rsid w:val="00A05843"/>
    <w:rsid w:val="00A05892"/>
    <w:rsid w:val="00A05B82"/>
    <w:rsid w:val="00A05E0C"/>
    <w:rsid w:val="00A0695B"/>
    <w:rsid w:val="00A06AA8"/>
    <w:rsid w:val="00A06AEB"/>
    <w:rsid w:val="00A06D3F"/>
    <w:rsid w:val="00A06FF3"/>
    <w:rsid w:val="00A07128"/>
    <w:rsid w:val="00A07375"/>
    <w:rsid w:val="00A075EE"/>
    <w:rsid w:val="00A0795E"/>
    <w:rsid w:val="00A07BD1"/>
    <w:rsid w:val="00A10117"/>
    <w:rsid w:val="00A10270"/>
    <w:rsid w:val="00A1050E"/>
    <w:rsid w:val="00A106DE"/>
    <w:rsid w:val="00A1105F"/>
    <w:rsid w:val="00A11209"/>
    <w:rsid w:val="00A114C2"/>
    <w:rsid w:val="00A11674"/>
    <w:rsid w:val="00A11698"/>
    <w:rsid w:val="00A116E5"/>
    <w:rsid w:val="00A11714"/>
    <w:rsid w:val="00A11D29"/>
    <w:rsid w:val="00A11EF9"/>
    <w:rsid w:val="00A12509"/>
    <w:rsid w:val="00A12614"/>
    <w:rsid w:val="00A12764"/>
    <w:rsid w:val="00A12A2E"/>
    <w:rsid w:val="00A12B1F"/>
    <w:rsid w:val="00A12E3C"/>
    <w:rsid w:val="00A12EC6"/>
    <w:rsid w:val="00A1307F"/>
    <w:rsid w:val="00A13882"/>
    <w:rsid w:val="00A13B01"/>
    <w:rsid w:val="00A14012"/>
    <w:rsid w:val="00A1433B"/>
    <w:rsid w:val="00A143C3"/>
    <w:rsid w:val="00A145D6"/>
    <w:rsid w:val="00A147DB"/>
    <w:rsid w:val="00A14C21"/>
    <w:rsid w:val="00A15FEF"/>
    <w:rsid w:val="00A160BB"/>
    <w:rsid w:val="00A166AB"/>
    <w:rsid w:val="00A16AD2"/>
    <w:rsid w:val="00A16D2A"/>
    <w:rsid w:val="00A17E84"/>
    <w:rsid w:val="00A17EC0"/>
    <w:rsid w:val="00A2012C"/>
    <w:rsid w:val="00A20965"/>
    <w:rsid w:val="00A20D1C"/>
    <w:rsid w:val="00A210C2"/>
    <w:rsid w:val="00A2144B"/>
    <w:rsid w:val="00A21566"/>
    <w:rsid w:val="00A216AA"/>
    <w:rsid w:val="00A21EAA"/>
    <w:rsid w:val="00A21F94"/>
    <w:rsid w:val="00A21FCC"/>
    <w:rsid w:val="00A220D4"/>
    <w:rsid w:val="00A22832"/>
    <w:rsid w:val="00A22AF9"/>
    <w:rsid w:val="00A23181"/>
    <w:rsid w:val="00A23200"/>
    <w:rsid w:val="00A232A4"/>
    <w:rsid w:val="00A2360D"/>
    <w:rsid w:val="00A23989"/>
    <w:rsid w:val="00A24242"/>
    <w:rsid w:val="00A2488D"/>
    <w:rsid w:val="00A24D6F"/>
    <w:rsid w:val="00A24D8D"/>
    <w:rsid w:val="00A2518F"/>
    <w:rsid w:val="00A25355"/>
    <w:rsid w:val="00A253BC"/>
    <w:rsid w:val="00A2548F"/>
    <w:rsid w:val="00A262EA"/>
    <w:rsid w:val="00A263F4"/>
    <w:rsid w:val="00A26434"/>
    <w:rsid w:val="00A2672B"/>
    <w:rsid w:val="00A26797"/>
    <w:rsid w:val="00A26A4F"/>
    <w:rsid w:val="00A26E50"/>
    <w:rsid w:val="00A26EAE"/>
    <w:rsid w:val="00A272E0"/>
    <w:rsid w:val="00A27C55"/>
    <w:rsid w:val="00A305A7"/>
    <w:rsid w:val="00A30750"/>
    <w:rsid w:val="00A30DBD"/>
    <w:rsid w:val="00A31A0D"/>
    <w:rsid w:val="00A31A15"/>
    <w:rsid w:val="00A31D75"/>
    <w:rsid w:val="00A3203C"/>
    <w:rsid w:val="00A32258"/>
    <w:rsid w:val="00A322D8"/>
    <w:rsid w:val="00A324EC"/>
    <w:rsid w:val="00A3264E"/>
    <w:rsid w:val="00A3266C"/>
    <w:rsid w:val="00A3315C"/>
    <w:rsid w:val="00A336A7"/>
    <w:rsid w:val="00A34127"/>
    <w:rsid w:val="00A34876"/>
    <w:rsid w:val="00A349E4"/>
    <w:rsid w:val="00A35008"/>
    <w:rsid w:val="00A35DFF"/>
    <w:rsid w:val="00A363D7"/>
    <w:rsid w:val="00A363F8"/>
    <w:rsid w:val="00A36685"/>
    <w:rsid w:val="00A368DD"/>
    <w:rsid w:val="00A36A02"/>
    <w:rsid w:val="00A36BAB"/>
    <w:rsid w:val="00A36C4E"/>
    <w:rsid w:val="00A3725F"/>
    <w:rsid w:val="00A37A30"/>
    <w:rsid w:val="00A37A9F"/>
    <w:rsid w:val="00A37DFA"/>
    <w:rsid w:val="00A37EEA"/>
    <w:rsid w:val="00A40594"/>
    <w:rsid w:val="00A40675"/>
    <w:rsid w:val="00A40ADE"/>
    <w:rsid w:val="00A40B60"/>
    <w:rsid w:val="00A41214"/>
    <w:rsid w:val="00A41350"/>
    <w:rsid w:val="00A41D13"/>
    <w:rsid w:val="00A41D1A"/>
    <w:rsid w:val="00A422F8"/>
    <w:rsid w:val="00A42343"/>
    <w:rsid w:val="00A4240E"/>
    <w:rsid w:val="00A424BD"/>
    <w:rsid w:val="00A4273D"/>
    <w:rsid w:val="00A429D4"/>
    <w:rsid w:val="00A42CA2"/>
    <w:rsid w:val="00A43BE5"/>
    <w:rsid w:val="00A43F14"/>
    <w:rsid w:val="00A4464D"/>
    <w:rsid w:val="00A44689"/>
    <w:rsid w:val="00A44897"/>
    <w:rsid w:val="00A44CF4"/>
    <w:rsid w:val="00A44D56"/>
    <w:rsid w:val="00A4532E"/>
    <w:rsid w:val="00A4594A"/>
    <w:rsid w:val="00A45C57"/>
    <w:rsid w:val="00A45C8F"/>
    <w:rsid w:val="00A45D5F"/>
    <w:rsid w:val="00A45F65"/>
    <w:rsid w:val="00A46467"/>
    <w:rsid w:val="00A47183"/>
    <w:rsid w:val="00A4730A"/>
    <w:rsid w:val="00A47A6A"/>
    <w:rsid w:val="00A50348"/>
    <w:rsid w:val="00A504F8"/>
    <w:rsid w:val="00A5060E"/>
    <w:rsid w:val="00A5073C"/>
    <w:rsid w:val="00A50F9E"/>
    <w:rsid w:val="00A5150C"/>
    <w:rsid w:val="00A51692"/>
    <w:rsid w:val="00A52A1F"/>
    <w:rsid w:val="00A52A85"/>
    <w:rsid w:val="00A52B12"/>
    <w:rsid w:val="00A52C03"/>
    <w:rsid w:val="00A53069"/>
    <w:rsid w:val="00A531E5"/>
    <w:rsid w:val="00A53940"/>
    <w:rsid w:val="00A53D1B"/>
    <w:rsid w:val="00A54073"/>
    <w:rsid w:val="00A54955"/>
    <w:rsid w:val="00A54E66"/>
    <w:rsid w:val="00A55C00"/>
    <w:rsid w:val="00A56623"/>
    <w:rsid w:val="00A56917"/>
    <w:rsid w:val="00A56DCF"/>
    <w:rsid w:val="00A56FAB"/>
    <w:rsid w:val="00A57139"/>
    <w:rsid w:val="00A57154"/>
    <w:rsid w:val="00A575D5"/>
    <w:rsid w:val="00A57745"/>
    <w:rsid w:val="00A57AF8"/>
    <w:rsid w:val="00A60025"/>
    <w:rsid w:val="00A6090C"/>
    <w:rsid w:val="00A60929"/>
    <w:rsid w:val="00A6105E"/>
    <w:rsid w:val="00A6124C"/>
    <w:rsid w:val="00A621FB"/>
    <w:rsid w:val="00A625D1"/>
    <w:rsid w:val="00A62628"/>
    <w:rsid w:val="00A62698"/>
    <w:rsid w:val="00A63893"/>
    <w:rsid w:val="00A63B62"/>
    <w:rsid w:val="00A63D85"/>
    <w:rsid w:val="00A63EBF"/>
    <w:rsid w:val="00A63FC1"/>
    <w:rsid w:val="00A644A8"/>
    <w:rsid w:val="00A64CC8"/>
    <w:rsid w:val="00A64E26"/>
    <w:rsid w:val="00A64F60"/>
    <w:rsid w:val="00A65109"/>
    <w:rsid w:val="00A651D2"/>
    <w:rsid w:val="00A6611B"/>
    <w:rsid w:val="00A662FF"/>
    <w:rsid w:val="00A66739"/>
    <w:rsid w:val="00A668DB"/>
    <w:rsid w:val="00A66A77"/>
    <w:rsid w:val="00A670BF"/>
    <w:rsid w:val="00A676FD"/>
    <w:rsid w:val="00A67DFD"/>
    <w:rsid w:val="00A701CA"/>
    <w:rsid w:val="00A7087E"/>
    <w:rsid w:val="00A70B7F"/>
    <w:rsid w:val="00A71474"/>
    <w:rsid w:val="00A7159D"/>
    <w:rsid w:val="00A7197A"/>
    <w:rsid w:val="00A720E6"/>
    <w:rsid w:val="00A7257C"/>
    <w:rsid w:val="00A72630"/>
    <w:rsid w:val="00A72777"/>
    <w:rsid w:val="00A72D8D"/>
    <w:rsid w:val="00A72E09"/>
    <w:rsid w:val="00A72FC3"/>
    <w:rsid w:val="00A7344E"/>
    <w:rsid w:val="00A735A1"/>
    <w:rsid w:val="00A7414C"/>
    <w:rsid w:val="00A74352"/>
    <w:rsid w:val="00A74402"/>
    <w:rsid w:val="00A74952"/>
    <w:rsid w:val="00A74B5F"/>
    <w:rsid w:val="00A74C66"/>
    <w:rsid w:val="00A74DB4"/>
    <w:rsid w:val="00A75064"/>
    <w:rsid w:val="00A751C2"/>
    <w:rsid w:val="00A75269"/>
    <w:rsid w:val="00A753DC"/>
    <w:rsid w:val="00A756E4"/>
    <w:rsid w:val="00A75991"/>
    <w:rsid w:val="00A75A2A"/>
    <w:rsid w:val="00A75D08"/>
    <w:rsid w:val="00A76A62"/>
    <w:rsid w:val="00A77335"/>
    <w:rsid w:val="00A80908"/>
    <w:rsid w:val="00A80BC6"/>
    <w:rsid w:val="00A80CEA"/>
    <w:rsid w:val="00A80F98"/>
    <w:rsid w:val="00A812DD"/>
    <w:rsid w:val="00A814D8"/>
    <w:rsid w:val="00A81635"/>
    <w:rsid w:val="00A81E45"/>
    <w:rsid w:val="00A829CB"/>
    <w:rsid w:val="00A82BD5"/>
    <w:rsid w:val="00A82DC5"/>
    <w:rsid w:val="00A83022"/>
    <w:rsid w:val="00A8330A"/>
    <w:rsid w:val="00A83429"/>
    <w:rsid w:val="00A838EA"/>
    <w:rsid w:val="00A838FE"/>
    <w:rsid w:val="00A83BF2"/>
    <w:rsid w:val="00A83DB0"/>
    <w:rsid w:val="00A8461E"/>
    <w:rsid w:val="00A84844"/>
    <w:rsid w:val="00A84A4C"/>
    <w:rsid w:val="00A84B00"/>
    <w:rsid w:val="00A84DD3"/>
    <w:rsid w:val="00A85F62"/>
    <w:rsid w:val="00A8604B"/>
    <w:rsid w:val="00A86264"/>
    <w:rsid w:val="00A86A5A"/>
    <w:rsid w:val="00A86D4C"/>
    <w:rsid w:val="00A8785F"/>
    <w:rsid w:val="00A9027E"/>
    <w:rsid w:val="00A9030E"/>
    <w:rsid w:val="00A905DF"/>
    <w:rsid w:val="00A90ACA"/>
    <w:rsid w:val="00A90CEB"/>
    <w:rsid w:val="00A90E1A"/>
    <w:rsid w:val="00A91478"/>
    <w:rsid w:val="00A916E2"/>
    <w:rsid w:val="00A91EB3"/>
    <w:rsid w:val="00A91F38"/>
    <w:rsid w:val="00A92030"/>
    <w:rsid w:val="00A922A5"/>
    <w:rsid w:val="00A93311"/>
    <w:rsid w:val="00A943D6"/>
    <w:rsid w:val="00A9497D"/>
    <w:rsid w:val="00A94B13"/>
    <w:rsid w:val="00A94EFC"/>
    <w:rsid w:val="00A94F85"/>
    <w:rsid w:val="00A9542F"/>
    <w:rsid w:val="00A954F6"/>
    <w:rsid w:val="00A959B9"/>
    <w:rsid w:val="00A95DFF"/>
    <w:rsid w:val="00A9636A"/>
    <w:rsid w:val="00A966FD"/>
    <w:rsid w:val="00A9680F"/>
    <w:rsid w:val="00A96969"/>
    <w:rsid w:val="00A969F5"/>
    <w:rsid w:val="00A9744C"/>
    <w:rsid w:val="00A9765F"/>
    <w:rsid w:val="00A97E06"/>
    <w:rsid w:val="00A97EA6"/>
    <w:rsid w:val="00A97FE4"/>
    <w:rsid w:val="00AA02F7"/>
    <w:rsid w:val="00AA0656"/>
    <w:rsid w:val="00AA0844"/>
    <w:rsid w:val="00AA0A1F"/>
    <w:rsid w:val="00AA0AFD"/>
    <w:rsid w:val="00AA0E15"/>
    <w:rsid w:val="00AA1C2B"/>
    <w:rsid w:val="00AA1E4F"/>
    <w:rsid w:val="00AA2278"/>
    <w:rsid w:val="00AA2498"/>
    <w:rsid w:val="00AA29B8"/>
    <w:rsid w:val="00AA29FA"/>
    <w:rsid w:val="00AA3069"/>
    <w:rsid w:val="00AA376E"/>
    <w:rsid w:val="00AA3B7E"/>
    <w:rsid w:val="00AA3BC1"/>
    <w:rsid w:val="00AA3F45"/>
    <w:rsid w:val="00AA3F9D"/>
    <w:rsid w:val="00AA44AB"/>
    <w:rsid w:val="00AA46F4"/>
    <w:rsid w:val="00AA4EBE"/>
    <w:rsid w:val="00AA5233"/>
    <w:rsid w:val="00AA5687"/>
    <w:rsid w:val="00AA5B92"/>
    <w:rsid w:val="00AA5D2B"/>
    <w:rsid w:val="00AA5E0E"/>
    <w:rsid w:val="00AA5FDF"/>
    <w:rsid w:val="00AA6CB2"/>
    <w:rsid w:val="00AA6DFF"/>
    <w:rsid w:val="00AA762C"/>
    <w:rsid w:val="00AA7705"/>
    <w:rsid w:val="00AA7DD4"/>
    <w:rsid w:val="00AB012A"/>
    <w:rsid w:val="00AB05CB"/>
    <w:rsid w:val="00AB0856"/>
    <w:rsid w:val="00AB0AAA"/>
    <w:rsid w:val="00AB1B92"/>
    <w:rsid w:val="00AB1C33"/>
    <w:rsid w:val="00AB203C"/>
    <w:rsid w:val="00AB20E0"/>
    <w:rsid w:val="00AB2284"/>
    <w:rsid w:val="00AB22EB"/>
    <w:rsid w:val="00AB2619"/>
    <w:rsid w:val="00AB29BB"/>
    <w:rsid w:val="00AB2D1A"/>
    <w:rsid w:val="00AB2ECB"/>
    <w:rsid w:val="00AB3438"/>
    <w:rsid w:val="00AB36DC"/>
    <w:rsid w:val="00AB37E3"/>
    <w:rsid w:val="00AB3DA7"/>
    <w:rsid w:val="00AB4300"/>
    <w:rsid w:val="00AB5D72"/>
    <w:rsid w:val="00AB5FC6"/>
    <w:rsid w:val="00AB64E4"/>
    <w:rsid w:val="00AB666A"/>
    <w:rsid w:val="00AB66F3"/>
    <w:rsid w:val="00AB6A37"/>
    <w:rsid w:val="00AB6A68"/>
    <w:rsid w:val="00AB6F35"/>
    <w:rsid w:val="00AB6FDB"/>
    <w:rsid w:val="00AB70E8"/>
    <w:rsid w:val="00AB711A"/>
    <w:rsid w:val="00AB786E"/>
    <w:rsid w:val="00AB7FCD"/>
    <w:rsid w:val="00AC03DE"/>
    <w:rsid w:val="00AC0669"/>
    <w:rsid w:val="00AC08DC"/>
    <w:rsid w:val="00AC0CD1"/>
    <w:rsid w:val="00AC0E8C"/>
    <w:rsid w:val="00AC135C"/>
    <w:rsid w:val="00AC1454"/>
    <w:rsid w:val="00AC16EB"/>
    <w:rsid w:val="00AC1B19"/>
    <w:rsid w:val="00AC1FB9"/>
    <w:rsid w:val="00AC21DE"/>
    <w:rsid w:val="00AC2276"/>
    <w:rsid w:val="00AC25DB"/>
    <w:rsid w:val="00AC2614"/>
    <w:rsid w:val="00AC2A6B"/>
    <w:rsid w:val="00AC2BB5"/>
    <w:rsid w:val="00AC2FA8"/>
    <w:rsid w:val="00AC346C"/>
    <w:rsid w:val="00AC379A"/>
    <w:rsid w:val="00AC45AF"/>
    <w:rsid w:val="00AC4DB3"/>
    <w:rsid w:val="00AC51BA"/>
    <w:rsid w:val="00AC584D"/>
    <w:rsid w:val="00AC5BC7"/>
    <w:rsid w:val="00AC5EA3"/>
    <w:rsid w:val="00AC609D"/>
    <w:rsid w:val="00AC61CD"/>
    <w:rsid w:val="00AC698F"/>
    <w:rsid w:val="00AC6F0C"/>
    <w:rsid w:val="00AC6F7E"/>
    <w:rsid w:val="00AC779C"/>
    <w:rsid w:val="00AC788F"/>
    <w:rsid w:val="00AC7AA9"/>
    <w:rsid w:val="00AC7DD4"/>
    <w:rsid w:val="00AC7F85"/>
    <w:rsid w:val="00AD02C0"/>
    <w:rsid w:val="00AD0796"/>
    <w:rsid w:val="00AD0DDD"/>
    <w:rsid w:val="00AD0FB0"/>
    <w:rsid w:val="00AD14B1"/>
    <w:rsid w:val="00AD19EA"/>
    <w:rsid w:val="00AD2079"/>
    <w:rsid w:val="00AD2140"/>
    <w:rsid w:val="00AD2423"/>
    <w:rsid w:val="00AD259A"/>
    <w:rsid w:val="00AD27ED"/>
    <w:rsid w:val="00AD287A"/>
    <w:rsid w:val="00AD2A22"/>
    <w:rsid w:val="00AD2CC1"/>
    <w:rsid w:val="00AD2CF3"/>
    <w:rsid w:val="00AD2EF3"/>
    <w:rsid w:val="00AD3016"/>
    <w:rsid w:val="00AD34B7"/>
    <w:rsid w:val="00AD38D9"/>
    <w:rsid w:val="00AD3AC8"/>
    <w:rsid w:val="00AD3B17"/>
    <w:rsid w:val="00AD3E0E"/>
    <w:rsid w:val="00AD3E51"/>
    <w:rsid w:val="00AD3F16"/>
    <w:rsid w:val="00AD42A2"/>
    <w:rsid w:val="00AD48C8"/>
    <w:rsid w:val="00AD4CB4"/>
    <w:rsid w:val="00AD50A5"/>
    <w:rsid w:val="00AD53EA"/>
    <w:rsid w:val="00AD5909"/>
    <w:rsid w:val="00AD5C27"/>
    <w:rsid w:val="00AD5C55"/>
    <w:rsid w:val="00AD5C89"/>
    <w:rsid w:val="00AD5CAB"/>
    <w:rsid w:val="00AD5E14"/>
    <w:rsid w:val="00AD5E83"/>
    <w:rsid w:val="00AD604A"/>
    <w:rsid w:val="00AD6151"/>
    <w:rsid w:val="00AD6862"/>
    <w:rsid w:val="00AD6B7A"/>
    <w:rsid w:val="00AD703C"/>
    <w:rsid w:val="00AD70AB"/>
    <w:rsid w:val="00AD73BC"/>
    <w:rsid w:val="00AD764D"/>
    <w:rsid w:val="00AD7825"/>
    <w:rsid w:val="00AD7BF7"/>
    <w:rsid w:val="00AD7C3E"/>
    <w:rsid w:val="00AD7F4C"/>
    <w:rsid w:val="00AE015C"/>
    <w:rsid w:val="00AE0B06"/>
    <w:rsid w:val="00AE0E4C"/>
    <w:rsid w:val="00AE152F"/>
    <w:rsid w:val="00AE163B"/>
    <w:rsid w:val="00AE165C"/>
    <w:rsid w:val="00AE1683"/>
    <w:rsid w:val="00AE1835"/>
    <w:rsid w:val="00AE1C8F"/>
    <w:rsid w:val="00AE1D4F"/>
    <w:rsid w:val="00AE2372"/>
    <w:rsid w:val="00AE24CE"/>
    <w:rsid w:val="00AE2566"/>
    <w:rsid w:val="00AE2655"/>
    <w:rsid w:val="00AE2891"/>
    <w:rsid w:val="00AE2916"/>
    <w:rsid w:val="00AE2FFA"/>
    <w:rsid w:val="00AE36B2"/>
    <w:rsid w:val="00AE4455"/>
    <w:rsid w:val="00AE44E8"/>
    <w:rsid w:val="00AE4602"/>
    <w:rsid w:val="00AE46DE"/>
    <w:rsid w:val="00AE49BB"/>
    <w:rsid w:val="00AE526E"/>
    <w:rsid w:val="00AE533F"/>
    <w:rsid w:val="00AE56C2"/>
    <w:rsid w:val="00AE575F"/>
    <w:rsid w:val="00AE6A53"/>
    <w:rsid w:val="00AE7375"/>
    <w:rsid w:val="00AE761A"/>
    <w:rsid w:val="00AE7750"/>
    <w:rsid w:val="00AF02EC"/>
    <w:rsid w:val="00AF0310"/>
    <w:rsid w:val="00AF0427"/>
    <w:rsid w:val="00AF06BB"/>
    <w:rsid w:val="00AF1072"/>
    <w:rsid w:val="00AF1074"/>
    <w:rsid w:val="00AF1157"/>
    <w:rsid w:val="00AF1223"/>
    <w:rsid w:val="00AF1390"/>
    <w:rsid w:val="00AF156F"/>
    <w:rsid w:val="00AF1C11"/>
    <w:rsid w:val="00AF1E27"/>
    <w:rsid w:val="00AF23AC"/>
    <w:rsid w:val="00AF253B"/>
    <w:rsid w:val="00AF2BD6"/>
    <w:rsid w:val="00AF2C19"/>
    <w:rsid w:val="00AF2C1B"/>
    <w:rsid w:val="00AF2EE0"/>
    <w:rsid w:val="00AF3288"/>
    <w:rsid w:val="00AF32C2"/>
    <w:rsid w:val="00AF346B"/>
    <w:rsid w:val="00AF3A22"/>
    <w:rsid w:val="00AF3D6C"/>
    <w:rsid w:val="00AF3EDB"/>
    <w:rsid w:val="00AF4FEC"/>
    <w:rsid w:val="00AF52E9"/>
    <w:rsid w:val="00AF5321"/>
    <w:rsid w:val="00AF5594"/>
    <w:rsid w:val="00AF582B"/>
    <w:rsid w:val="00AF5848"/>
    <w:rsid w:val="00AF5C0D"/>
    <w:rsid w:val="00AF5ED4"/>
    <w:rsid w:val="00AF6108"/>
    <w:rsid w:val="00AF66CD"/>
    <w:rsid w:val="00AF69D7"/>
    <w:rsid w:val="00AF6EF2"/>
    <w:rsid w:val="00AF6FF2"/>
    <w:rsid w:val="00AF7589"/>
    <w:rsid w:val="00AF77A7"/>
    <w:rsid w:val="00AF7CFD"/>
    <w:rsid w:val="00AF7E8E"/>
    <w:rsid w:val="00B000A3"/>
    <w:rsid w:val="00B002A2"/>
    <w:rsid w:val="00B003A1"/>
    <w:rsid w:val="00B006F1"/>
    <w:rsid w:val="00B00929"/>
    <w:rsid w:val="00B00AF5"/>
    <w:rsid w:val="00B00BF1"/>
    <w:rsid w:val="00B010EF"/>
    <w:rsid w:val="00B015A9"/>
    <w:rsid w:val="00B0191E"/>
    <w:rsid w:val="00B019B5"/>
    <w:rsid w:val="00B01AAF"/>
    <w:rsid w:val="00B01B97"/>
    <w:rsid w:val="00B01D60"/>
    <w:rsid w:val="00B01DEC"/>
    <w:rsid w:val="00B0298F"/>
    <w:rsid w:val="00B02BC5"/>
    <w:rsid w:val="00B02E89"/>
    <w:rsid w:val="00B03197"/>
    <w:rsid w:val="00B035F1"/>
    <w:rsid w:val="00B040F4"/>
    <w:rsid w:val="00B04564"/>
    <w:rsid w:val="00B046A1"/>
    <w:rsid w:val="00B049E8"/>
    <w:rsid w:val="00B04A6E"/>
    <w:rsid w:val="00B04BF9"/>
    <w:rsid w:val="00B04CAB"/>
    <w:rsid w:val="00B04D94"/>
    <w:rsid w:val="00B04E1A"/>
    <w:rsid w:val="00B055EC"/>
    <w:rsid w:val="00B05729"/>
    <w:rsid w:val="00B058D0"/>
    <w:rsid w:val="00B059BE"/>
    <w:rsid w:val="00B062CB"/>
    <w:rsid w:val="00B06820"/>
    <w:rsid w:val="00B0698C"/>
    <w:rsid w:val="00B06C13"/>
    <w:rsid w:val="00B06EB2"/>
    <w:rsid w:val="00B0719A"/>
    <w:rsid w:val="00B0728F"/>
    <w:rsid w:val="00B072CE"/>
    <w:rsid w:val="00B07523"/>
    <w:rsid w:val="00B0758B"/>
    <w:rsid w:val="00B07689"/>
    <w:rsid w:val="00B07BBF"/>
    <w:rsid w:val="00B10AE3"/>
    <w:rsid w:val="00B10D87"/>
    <w:rsid w:val="00B10E70"/>
    <w:rsid w:val="00B11042"/>
    <w:rsid w:val="00B111F3"/>
    <w:rsid w:val="00B11661"/>
    <w:rsid w:val="00B1176B"/>
    <w:rsid w:val="00B1194A"/>
    <w:rsid w:val="00B11AC5"/>
    <w:rsid w:val="00B125C9"/>
    <w:rsid w:val="00B1292D"/>
    <w:rsid w:val="00B1298B"/>
    <w:rsid w:val="00B1336E"/>
    <w:rsid w:val="00B1345D"/>
    <w:rsid w:val="00B1396D"/>
    <w:rsid w:val="00B147D6"/>
    <w:rsid w:val="00B14949"/>
    <w:rsid w:val="00B158D1"/>
    <w:rsid w:val="00B15AF1"/>
    <w:rsid w:val="00B15DD6"/>
    <w:rsid w:val="00B16406"/>
    <w:rsid w:val="00B166DB"/>
    <w:rsid w:val="00B1693A"/>
    <w:rsid w:val="00B17439"/>
    <w:rsid w:val="00B17545"/>
    <w:rsid w:val="00B17615"/>
    <w:rsid w:val="00B1766E"/>
    <w:rsid w:val="00B1775D"/>
    <w:rsid w:val="00B17ECD"/>
    <w:rsid w:val="00B2036F"/>
    <w:rsid w:val="00B21474"/>
    <w:rsid w:val="00B21490"/>
    <w:rsid w:val="00B2166E"/>
    <w:rsid w:val="00B21AD7"/>
    <w:rsid w:val="00B21AE3"/>
    <w:rsid w:val="00B21BA9"/>
    <w:rsid w:val="00B21BCC"/>
    <w:rsid w:val="00B21D7D"/>
    <w:rsid w:val="00B21E26"/>
    <w:rsid w:val="00B21F59"/>
    <w:rsid w:val="00B2211A"/>
    <w:rsid w:val="00B22604"/>
    <w:rsid w:val="00B22BC8"/>
    <w:rsid w:val="00B22F96"/>
    <w:rsid w:val="00B2332A"/>
    <w:rsid w:val="00B23831"/>
    <w:rsid w:val="00B238A9"/>
    <w:rsid w:val="00B24080"/>
    <w:rsid w:val="00B2444B"/>
    <w:rsid w:val="00B245B7"/>
    <w:rsid w:val="00B247E4"/>
    <w:rsid w:val="00B24F84"/>
    <w:rsid w:val="00B25203"/>
    <w:rsid w:val="00B25F4F"/>
    <w:rsid w:val="00B26070"/>
    <w:rsid w:val="00B26612"/>
    <w:rsid w:val="00B2695C"/>
    <w:rsid w:val="00B26E69"/>
    <w:rsid w:val="00B2741E"/>
    <w:rsid w:val="00B27584"/>
    <w:rsid w:val="00B27673"/>
    <w:rsid w:val="00B27D18"/>
    <w:rsid w:val="00B3003E"/>
    <w:rsid w:val="00B305ED"/>
    <w:rsid w:val="00B3083D"/>
    <w:rsid w:val="00B30B25"/>
    <w:rsid w:val="00B30E17"/>
    <w:rsid w:val="00B31535"/>
    <w:rsid w:val="00B3207B"/>
    <w:rsid w:val="00B3245F"/>
    <w:rsid w:val="00B32517"/>
    <w:rsid w:val="00B32AD4"/>
    <w:rsid w:val="00B338C3"/>
    <w:rsid w:val="00B33A10"/>
    <w:rsid w:val="00B33D32"/>
    <w:rsid w:val="00B3447F"/>
    <w:rsid w:val="00B34806"/>
    <w:rsid w:val="00B349B2"/>
    <w:rsid w:val="00B34D8F"/>
    <w:rsid w:val="00B34DF0"/>
    <w:rsid w:val="00B34EF9"/>
    <w:rsid w:val="00B34F02"/>
    <w:rsid w:val="00B35597"/>
    <w:rsid w:val="00B35983"/>
    <w:rsid w:val="00B359CF"/>
    <w:rsid w:val="00B3604E"/>
    <w:rsid w:val="00B36115"/>
    <w:rsid w:val="00B36217"/>
    <w:rsid w:val="00B37110"/>
    <w:rsid w:val="00B3732A"/>
    <w:rsid w:val="00B3743F"/>
    <w:rsid w:val="00B374FA"/>
    <w:rsid w:val="00B379B7"/>
    <w:rsid w:val="00B37D67"/>
    <w:rsid w:val="00B37E28"/>
    <w:rsid w:val="00B37FC1"/>
    <w:rsid w:val="00B40155"/>
    <w:rsid w:val="00B409C7"/>
    <w:rsid w:val="00B40BE0"/>
    <w:rsid w:val="00B40CF5"/>
    <w:rsid w:val="00B40F85"/>
    <w:rsid w:val="00B411AD"/>
    <w:rsid w:val="00B412C5"/>
    <w:rsid w:val="00B4199E"/>
    <w:rsid w:val="00B41A1F"/>
    <w:rsid w:val="00B42499"/>
    <w:rsid w:val="00B42899"/>
    <w:rsid w:val="00B42F59"/>
    <w:rsid w:val="00B434D3"/>
    <w:rsid w:val="00B43547"/>
    <w:rsid w:val="00B435F9"/>
    <w:rsid w:val="00B43F77"/>
    <w:rsid w:val="00B44715"/>
    <w:rsid w:val="00B44CC9"/>
    <w:rsid w:val="00B44DFF"/>
    <w:rsid w:val="00B44E8E"/>
    <w:rsid w:val="00B453C4"/>
    <w:rsid w:val="00B4546A"/>
    <w:rsid w:val="00B458BF"/>
    <w:rsid w:val="00B45977"/>
    <w:rsid w:val="00B45FF3"/>
    <w:rsid w:val="00B4602F"/>
    <w:rsid w:val="00B46427"/>
    <w:rsid w:val="00B466BE"/>
    <w:rsid w:val="00B4675A"/>
    <w:rsid w:val="00B467C9"/>
    <w:rsid w:val="00B46A38"/>
    <w:rsid w:val="00B46A51"/>
    <w:rsid w:val="00B46E00"/>
    <w:rsid w:val="00B46EF2"/>
    <w:rsid w:val="00B46EFD"/>
    <w:rsid w:val="00B473DD"/>
    <w:rsid w:val="00B47497"/>
    <w:rsid w:val="00B47777"/>
    <w:rsid w:val="00B477E3"/>
    <w:rsid w:val="00B47878"/>
    <w:rsid w:val="00B47BC7"/>
    <w:rsid w:val="00B47D3F"/>
    <w:rsid w:val="00B47E6D"/>
    <w:rsid w:val="00B50262"/>
    <w:rsid w:val="00B50367"/>
    <w:rsid w:val="00B509AA"/>
    <w:rsid w:val="00B50D07"/>
    <w:rsid w:val="00B50FAF"/>
    <w:rsid w:val="00B518A2"/>
    <w:rsid w:val="00B52366"/>
    <w:rsid w:val="00B52713"/>
    <w:rsid w:val="00B5287D"/>
    <w:rsid w:val="00B528B1"/>
    <w:rsid w:val="00B52CC9"/>
    <w:rsid w:val="00B52EF7"/>
    <w:rsid w:val="00B53144"/>
    <w:rsid w:val="00B534C5"/>
    <w:rsid w:val="00B53881"/>
    <w:rsid w:val="00B53D12"/>
    <w:rsid w:val="00B53F00"/>
    <w:rsid w:val="00B5439F"/>
    <w:rsid w:val="00B543F1"/>
    <w:rsid w:val="00B544A2"/>
    <w:rsid w:val="00B54508"/>
    <w:rsid w:val="00B545C9"/>
    <w:rsid w:val="00B54823"/>
    <w:rsid w:val="00B54ED2"/>
    <w:rsid w:val="00B56434"/>
    <w:rsid w:val="00B56912"/>
    <w:rsid w:val="00B56A03"/>
    <w:rsid w:val="00B56A50"/>
    <w:rsid w:val="00B56BB1"/>
    <w:rsid w:val="00B56F29"/>
    <w:rsid w:val="00B57316"/>
    <w:rsid w:val="00B576B5"/>
    <w:rsid w:val="00B57864"/>
    <w:rsid w:val="00B578C1"/>
    <w:rsid w:val="00B57939"/>
    <w:rsid w:val="00B604E1"/>
    <w:rsid w:val="00B605A4"/>
    <w:rsid w:val="00B60B60"/>
    <w:rsid w:val="00B60F1C"/>
    <w:rsid w:val="00B60F70"/>
    <w:rsid w:val="00B610BD"/>
    <w:rsid w:val="00B6148D"/>
    <w:rsid w:val="00B61582"/>
    <w:rsid w:val="00B61BAF"/>
    <w:rsid w:val="00B61F1E"/>
    <w:rsid w:val="00B6282E"/>
    <w:rsid w:val="00B63366"/>
    <w:rsid w:val="00B634A0"/>
    <w:rsid w:val="00B6363E"/>
    <w:rsid w:val="00B637F2"/>
    <w:rsid w:val="00B6380A"/>
    <w:rsid w:val="00B63B11"/>
    <w:rsid w:val="00B64339"/>
    <w:rsid w:val="00B645EF"/>
    <w:rsid w:val="00B6469B"/>
    <w:rsid w:val="00B64846"/>
    <w:rsid w:val="00B649AA"/>
    <w:rsid w:val="00B64A85"/>
    <w:rsid w:val="00B64BB3"/>
    <w:rsid w:val="00B64E30"/>
    <w:rsid w:val="00B65081"/>
    <w:rsid w:val="00B651BB"/>
    <w:rsid w:val="00B65898"/>
    <w:rsid w:val="00B65AB2"/>
    <w:rsid w:val="00B65C23"/>
    <w:rsid w:val="00B65F1B"/>
    <w:rsid w:val="00B6630A"/>
    <w:rsid w:val="00B66930"/>
    <w:rsid w:val="00B66C6F"/>
    <w:rsid w:val="00B66C93"/>
    <w:rsid w:val="00B671AC"/>
    <w:rsid w:val="00B67211"/>
    <w:rsid w:val="00B673CE"/>
    <w:rsid w:val="00B67432"/>
    <w:rsid w:val="00B6762B"/>
    <w:rsid w:val="00B67F97"/>
    <w:rsid w:val="00B7005A"/>
    <w:rsid w:val="00B70140"/>
    <w:rsid w:val="00B702D6"/>
    <w:rsid w:val="00B705C6"/>
    <w:rsid w:val="00B70840"/>
    <w:rsid w:val="00B70CCE"/>
    <w:rsid w:val="00B7158B"/>
    <w:rsid w:val="00B71858"/>
    <w:rsid w:val="00B718E0"/>
    <w:rsid w:val="00B71A7E"/>
    <w:rsid w:val="00B71D01"/>
    <w:rsid w:val="00B722C5"/>
    <w:rsid w:val="00B72398"/>
    <w:rsid w:val="00B7253B"/>
    <w:rsid w:val="00B7277A"/>
    <w:rsid w:val="00B729B3"/>
    <w:rsid w:val="00B737A0"/>
    <w:rsid w:val="00B73CAE"/>
    <w:rsid w:val="00B7403F"/>
    <w:rsid w:val="00B740E8"/>
    <w:rsid w:val="00B744B3"/>
    <w:rsid w:val="00B744EC"/>
    <w:rsid w:val="00B74B00"/>
    <w:rsid w:val="00B74B89"/>
    <w:rsid w:val="00B750D2"/>
    <w:rsid w:val="00B75EF2"/>
    <w:rsid w:val="00B7627A"/>
    <w:rsid w:val="00B76540"/>
    <w:rsid w:val="00B76669"/>
    <w:rsid w:val="00B767F2"/>
    <w:rsid w:val="00B76C02"/>
    <w:rsid w:val="00B779AF"/>
    <w:rsid w:val="00B77ED5"/>
    <w:rsid w:val="00B77F48"/>
    <w:rsid w:val="00B80034"/>
    <w:rsid w:val="00B80042"/>
    <w:rsid w:val="00B80A35"/>
    <w:rsid w:val="00B8136B"/>
    <w:rsid w:val="00B8196C"/>
    <w:rsid w:val="00B81AB8"/>
    <w:rsid w:val="00B81BEC"/>
    <w:rsid w:val="00B81F1F"/>
    <w:rsid w:val="00B826DA"/>
    <w:rsid w:val="00B82875"/>
    <w:rsid w:val="00B82888"/>
    <w:rsid w:val="00B82A05"/>
    <w:rsid w:val="00B82F37"/>
    <w:rsid w:val="00B83105"/>
    <w:rsid w:val="00B832B6"/>
    <w:rsid w:val="00B8356F"/>
    <w:rsid w:val="00B83679"/>
    <w:rsid w:val="00B83854"/>
    <w:rsid w:val="00B84751"/>
    <w:rsid w:val="00B84A87"/>
    <w:rsid w:val="00B84E3F"/>
    <w:rsid w:val="00B851BB"/>
    <w:rsid w:val="00B853D6"/>
    <w:rsid w:val="00B85498"/>
    <w:rsid w:val="00B85945"/>
    <w:rsid w:val="00B859C9"/>
    <w:rsid w:val="00B85A0B"/>
    <w:rsid w:val="00B85EDD"/>
    <w:rsid w:val="00B86EE1"/>
    <w:rsid w:val="00B87021"/>
    <w:rsid w:val="00B87261"/>
    <w:rsid w:val="00B878BD"/>
    <w:rsid w:val="00B87DF0"/>
    <w:rsid w:val="00B9006C"/>
    <w:rsid w:val="00B90617"/>
    <w:rsid w:val="00B90662"/>
    <w:rsid w:val="00B90665"/>
    <w:rsid w:val="00B90AA2"/>
    <w:rsid w:val="00B90F17"/>
    <w:rsid w:val="00B9181D"/>
    <w:rsid w:val="00B91FA5"/>
    <w:rsid w:val="00B9221C"/>
    <w:rsid w:val="00B92781"/>
    <w:rsid w:val="00B9309A"/>
    <w:rsid w:val="00B946E3"/>
    <w:rsid w:val="00B94B02"/>
    <w:rsid w:val="00B94C66"/>
    <w:rsid w:val="00B94C85"/>
    <w:rsid w:val="00B95324"/>
    <w:rsid w:val="00B95A9A"/>
    <w:rsid w:val="00B95AE5"/>
    <w:rsid w:val="00B96062"/>
    <w:rsid w:val="00B960CA"/>
    <w:rsid w:val="00B96330"/>
    <w:rsid w:val="00B967DB"/>
    <w:rsid w:val="00B96834"/>
    <w:rsid w:val="00B96C47"/>
    <w:rsid w:val="00B96DD2"/>
    <w:rsid w:val="00B96F7A"/>
    <w:rsid w:val="00B973CE"/>
    <w:rsid w:val="00B97DE5"/>
    <w:rsid w:val="00BA001A"/>
    <w:rsid w:val="00BA0062"/>
    <w:rsid w:val="00BA0359"/>
    <w:rsid w:val="00BA0433"/>
    <w:rsid w:val="00BA0E78"/>
    <w:rsid w:val="00BA104B"/>
    <w:rsid w:val="00BA10BD"/>
    <w:rsid w:val="00BA120F"/>
    <w:rsid w:val="00BA1EE7"/>
    <w:rsid w:val="00BA220B"/>
    <w:rsid w:val="00BA2898"/>
    <w:rsid w:val="00BA3308"/>
    <w:rsid w:val="00BA344B"/>
    <w:rsid w:val="00BA3793"/>
    <w:rsid w:val="00BA3C86"/>
    <w:rsid w:val="00BA4587"/>
    <w:rsid w:val="00BA4AA0"/>
    <w:rsid w:val="00BA51E6"/>
    <w:rsid w:val="00BA540B"/>
    <w:rsid w:val="00BA59DE"/>
    <w:rsid w:val="00BA5AF1"/>
    <w:rsid w:val="00BA5AFE"/>
    <w:rsid w:val="00BA5B54"/>
    <w:rsid w:val="00BA5CC0"/>
    <w:rsid w:val="00BA6325"/>
    <w:rsid w:val="00BA68CF"/>
    <w:rsid w:val="00BA6AEF"/>
    <w:rsid w:val="00BA7331"/>
    <w:rsid w:val="00BA7338"/>
    <w:rsid w:val="00BA73D3"/>
    <w:rsid w:val="00BA7414"/>
    <w:rsid w:val="00BA74F2"/>
    <w:rsid w:val="00BA7563"/>
    <w:rsid w:val="00BA79A9"/>
    <w:rsid w:val="00BA7AF3"/>
    <w:rsid w:val="00BB0245"/>
    <w:rsid w:val="00BB02C6"/>
    <w:rsid w:val="00BB055D"/>
    <w:rsid w:val="00BB0EE8"/>
    <w:rsid w:val="00BB1310"/>
    <w:rsid w:val="00BB15B9"/>
    <w:rsid w:val="00BB1796"/>
    <w:rsid w:val="00BB1EC3"/>
    <w:rsid w:val="00BB1F85"/>
    <w:rsid w:val="00BB2044"/>
    <w:rsid w:val="00BB25FB"/>
    <w:rsid w:val="00BB2652"/>
    <w:rsid w:val="00BB275E"/>
    <w:rsid w:val="00BB29F5"/>
    <w:rsid w:val="00BB306A"/>
    <w:rsid w:val="00BB321A"/>
    <w:rsid w:val="00BB377E"/>
    <w:rsid w:val="00BB3D41"/>
    <w:rsid w:val="00BB49DE"/>
    <w:rsid w:val="00BB536C"/>
    <w:rsid w:val="00BB5F02"/>
    <w:rsid w:val="00BB62B4"/>
    <w:rsid w:val="00BB6711"/>
    <w:rsid w:val="00BB67F8"/>
    <w:rsid w:val="00BB6B49"/>
    <w:rsid w:val="00BB77F5"/>
    <w:rsid w:val="00BC00C0"/>
    <w:rsid w:val="00BC00F1"/>
    <w:rsid w:val="00BC0793"/>
    <w:rsid w:val="00BC0AA7"/>
    <w:rsid w:val="00BC0B3A"/>
    <w:rsid w:val="00BC161F"/>
    <w:rsid w:val="00BC1767"/>
    <w:rsid w:val="00BC181F"/>
    <w:rsid w:val="00BC1B7B"/>
    <w:rsid w:val="00BC1E36"/>
    <w:rsid w:val="00BC27DF"/>
    <w:rsid w:val="00BC28CF"/>
    <w:rsid w:val="00BC324B"/>
    <w:rsid w:val="00BC3283"/>
    <w:rsid w:val="00BC3430"/>
    <w:rsid w:val="00BC3468"/>
    <w:rsid w:val="00BC3920"/>
    <w:rsid w:val="00BC3B9B"/>
    <w:rsid w:val="00BC3C5B"/>
    <w:rsid w:val="00BC3FEB"/>
    <w:rsid w:val="00BC42AD"/>
    <w:rsid w:val="00BC48CD"/>
    <w:rsid w:val="00BC50E5"/>
    <w:rsid w:val="00BC58C9"/>
    <w:rsid w:val="00BC5F65"/>
    <w:rsid w:val="00BC6B03"/>
    <w:rsid w:val="00BC6BEB"/>
    <w:rsid w:val="00BC6CE3"/>
    <w:rsid w:val="00BC6F19"/>
    <w:rsid w:val="00BC7063"/>
    <w:rsid w:val="00BC72CC"/>
    <w:rsid w:val="00BC7746"/>
    <w:rsid w:val="00BD03A4"/>
    <w:rsid w:val="00BD0646"/>
    <w:rsid w:val="00BD075A"/>
    <w:rsid w:val="00BD07E6"/>
    <w:rsid w:val="00BD09DC"/>
    <w:rsid w:val="00BD0AD0"/>
    <w:rsid w:val="00BD0D96"/>
    <w:rsid w:val="00BD0F94"/>
    <w:rsid w:val="00BD11D2"/>
    <w:rsid w:val="00BD130C"/>
    <w:rsid w:val="00BD1418"/>
    <w:rsid w:val="00BD1550"/>
    <w:rsid w:val="00BD170C"/>
    <w:rsid w:val="00BD1804"/>
    <w:rsid w:val="00BD1D78"/>
    <w:rsid w:val="00BD1EB4"/>
    <w:rsid w:val="00BD214C"/>
    <w:rsid w:val="00BD21DF"/>
    <w:rsid w:val="00BD2989"/>
    <w:rsid w:val="00BD29F4"/>
    <w:rsid w:val="00BD2E00"/>
    <w:rsid w:val="00BD31E3"/>
    <w:rsid w:val="00BD348C"/>
    <w:rsid w:val="00BD3774"/>
    <w:rsid w:val="00BD3F8C"/>
    <w:rsid w:val="00BD4057"/>
    <w:rsid w:val="00BD4272"/>
    <w:rsid w:val="00BD43BF"/>
    <w:rsid w:val="00BD462E"/>
    <w:rsid w:val="00BD580D"/>
    <w:rsid w:val="00BD612A"/>
    <w:rsid w:val="00BD65C4"/>
    <w:rsid w:val="00BD6674"/>
    <w:rsid w:val="00BD68B9"/>
    <w:rsid w:val="00BD6940"/>
    <w:rsid w:val="00BD6956"/>
    <w:rsid w:val="00BD6B17"/>
    <w:rsid w:val="00BD6B6C"/>
    <w:rsid w:val="00BD7319"/>
    <w:rsid w:val="00BD734A"/>
    <w:rsid w:val="00BD79A8"/>
    <w:rsid w:val="00BD7C64"/>
    <w:rsid w:val="00BD7DA3"/>
    <w:rsid w:val="00BD7F0E"/>
    <w:rsid w:val="00BE006C"/>
    <w:rsid w:val="00BE00B9"/>
    <w:rsid w:val="00BE00C6"/>
    <w:rsid w:val="00BE05D2"/>
    <w:rsid w:val="00BE0958"/>
    <w:rsid w:val="00BE0A2F"/>
    <w:rsid w:val="00BE0F52"/>
    <w:rsid w:val="00BE1515"/>
    <w:rsid w:val="00BE2006"/>
    <w:rsid w:val="00BE2116"/>
    <w:rsid w:val="00BE22F3"/>
    <w:rsid w:val="00BE23CD"/>
    <w:rsid w:val="00BE2674"/>
    <w:rsid w:val="00BE26AD"/>
    <w:rsid w:val="00BE27D1"/>
    <w:rsid w:val="00BE2914"/>
    <w:rsid w:val="00BE29BF"/>
    <w:rsid w:val="00BE2DEC"/>
    <w:rsid w:val="00BE31C6"/>
    <w:rsid w:val="00BE343D"/>
    <w:rsid w:val="00BE38A7"/>
    <w:rsid w:val="00BE3C0E"/>
    <w:rsid w:val="00BE3C78"/>
    <w:rsid w:val="00BE4120"/>
    <w:rsid w:val="00BE497A"/>
    <w:rsid w:val="00BE4A54"/>
    <w:rsid w:val="00BE4DF9"/>
    <w:rsid w:val="00BE4ED6"/>
    <w:rsid w:val="00BE575C"/>
    <w:rsid w:val="00BE594C"/>
    <w:rsid w:val="00BE5D5E"/>
    <w:rsid w:val="00BE66CD"/>
    <w:rsid w:val="00BE6705"/>
    <w:rsid w:val="00BE69F7"/>
    <w:rsid w:val="00BE6C56"/>
    <w:rsid w:val="00BE6D5B"/>
    <w:rsid w:val="00BE7451"/>
    <w:rsid w:val="00BE7633"/>
    <w:rsid w:val="00BE77AD"/>
    <w:rsid w:val="00BE79DB"/>
    <w:rsid w:val="00BE7A83"/>
    <w:rsid w:val="00BF03A3"/>
    <w:rsid w:val="00BF042E"/>
    <w:rsid w:val="00BF07AE"/>
    <w:rsid w:val="00BF1116"/>
    <w:rsid w:val="00BF1563"/>
    <w:rsid w:val="00BF1821"/>
    <w:rsid w:val="00BF19B3"/>
    <w:rsid w:val="00BF1A1F"/>
    <w:rsid w:val="00BF1C94"/>
    <w:rsid w:val="00BF288D"/>
    <w:rsid w:val="00BF28DB"/>
    <w:rsid w:val="00BF2EB6"/>
    <w:rsid w:val="00BF3053"/>
    <w:rsid w:val="00BF349C"/>
    <w:rsid w:val="00BF3C21"/>
    <w:rsid w:val="00BF3FDD"/>
    <w:rsid w:val="00BF4364"/>
    <w:rsid w:val="00BF4CFE"/>
    <w:rsid w:val="00BF4FA4"/>
    <w:rsid w:val="00BF5169"/>
    <w:rsid w:val="00BF54D3"/>
    <w:rsid w:val="00BF5A5F"/>
    <w:rsid w:val="00BF5E0C"/>
    <w:rsid w:val="00BF667F"/>
    <w:rsid w:val="00BF670B"/>
    <w:rsid w:val="00BF68DC"/>
    <w:rsid w:val="00BF6A37"/>
    <w:rsid w:val="00BF6EBC"/>
    <w:rsid w:val="00BF71FF"/>
    <w:rsid w:val="00BF75CC"/>
    <w:rsid w:val="00BF7C38"/>
    <w:rsid w:val="00C00498"/>
    <w:rsid w:val="00C00D9D"/>
    <w:rsid w:val="00C0139B"/>
    <w:rsid w:val="00C0152E"/>
    <w:rsid w:val="00C0176E"/>
    <w:rsid w:val="00C01A4A"/>
    <w:rsid w:val="00C01B7C"/>
    <w:rsid w:val="00C01D13"/>
    <w:rsid w:val="00C01E9E"/>
    <w:rsid w:val="00C021A5"/>
    <w:rsid w:val="00C02280"/>
    <w:rsid w:val="00C02B42"/>
    <w:rsid w:val="00C031CC"/>
    <w:rsid w:val="00C037EE"/>
    <w:rsid w:val="00C03884"/>
    <w:rsid w:val="00C03A0D"/>
    <w:rsid w:val="00C04366"/>
    <w:rsid w:val="00C043A8"/>
    <w:rsid w:val="00C045D6"/>
    <w:rsid w:val="00C04AF3"/>
    <w:rsid w:val="00C05019"/>
    <w:rsid w:val="00C0504A"/>
    <w:rsid w:val="00C0564F"/>
    <w:rsid w:val="00C05679"/>
    <w:rsid w:val="00C05967"/>
    <w:rsid w:val="00C05BAD"/>
    <w:rsid w:val="00C0602C"/>
    <w:rsid w:val="00C061FD"/>
    <w:rsid w:val="00C064C9"/>
    <w:rsid w:val="00C06C6C"/>
    <w:rsid w:val="00C06EC3"/>
    <w:rsid w:val="00C071E7"/>
    <w:rsid w:val="00C0725B"/>
    <w:rsid w:val="00C075E4"/>
    <w:rsid w:val="00C076EF"/>
    <w:rsid w:val="00C077D8"/>
    <w:rsid w:val="00C07920"/>
    <w:rsid w:val="00C07C3F"/>
    <w:rsid w:val="00C07FBE"/>
    <w:rsid w:val="00C07FD5"/>
    <w:rsid w:val="00C1086B"/>
    <w:rsid w:val="00C10BA8"/>
    <w:rsid w:val="00C11699"/>
    <w:rsid w:val="00C11E04"/>
    <w:rsid w:val="00C11E2C"/>
    <w:rsid w:val="00C12664"/>
    <w:rsid w:val="00C126FE"/>
    <w:rsid w:val="00C12B68"/>
    <w:rsid w:val="00C12C28"/>
    <w:rsid w:val="00C12DF8"/>
    <w:rsid w:val="00C133C2"/>
    <w:rsid w:val="00C13611"/>
    <w:rsid w:val="00C13798"/>
    <w:rsid w:val="00C137A1"/>
    <w:rsid w:val="00C13B78"/>
    <w:rsid w:val="00C13CA7"/>
    <w:rsid w:val="00C13FD4"/>
    <w:rsid w:val="00C140B5"/>
    <w:rsid w:val="00C14C5D"/>
    <w:rsid w:val="00C14F06"/>
    <w:rsid w:val="00C15E70"/>
    <w:rsid w:val="00C1603B"/>
    <w:rsid w:val="00C1612A"/>
    <w:rsid w:val="00C1619A"/>
    <w:rsid w:val="00C16D62"/>
    <w:rsid w:val="00C16DB0"/>
    <w:rsid w:val="00C16FFE"/>
    <w:rsid w:val="00C17004"/>
    <w:rsid w:val="00C17566"/>
    <w:rsid w:val="00C17C20"/>
    <w:rsid w:val="00C17CC1"/>
    <w:rsid w:val="00C17D24"/>
    <w:rsid w:val="00C17E72"/>
    <w:rsid w:val="00C20046"/>
    <w:rsid w:val="00C205BC"/>
    <w:rsid w:val="00C20C06"/>
    <w:rsid w:val="00C20C2E"/>
    <w:rsid w:val="00C215FE"/>
    <w:rsid w:val="00C21799"/>
    <w:rsid w:val="00C21A68"/>
    <w:rsid w:val="00C21B06"/>
    <w:rsid w:val="00C21CB1"/>
    <w:rsid w:val="00C21CE4"/>
    <w:rsid w:val="00C22617"/>
    <w:rsid w:val="00C22A9D"/>
    <w:rsid w:val="00C22B72"/>
    <w:rsid w:val="00C22B85"/>
    <w:rsid w:val="00C2337B"/>
    <w:rsid w:val="00C233B0"/>
    <w:rsid w:val="00C235C6"/>
    <w:rsid w:val="00C237AB"/>
    <w:rsid w:val="00C23E46"/>
    <w:rsid w:val="00C23E58"/>
    <w:rsid w:val="00C23E85"/>
    <w:rsid w:val="00C24445"/>
    <w:rsid w:val="00C244AD"/>
    <w:rsid w:val="00C25035"/>
    <w:rsid w:val="00C2548A"/>
    <w:rsid w:val="00C2554B"/>
    <w:rsid w:val="00C2576A"/>
    <w:rsid w:val="00C259BA"/>
    <w:rsid w:val="00C26254"/>
    <w:rsid w:val="00C2679C"/>
    <w:rsid w:val="00C268C0"/>
    <w:rsid w:val="00C26FD5"/>
    <w:rsid w:val="00C27270"/>
    <w:rsid w:val="00C2783F"/>
    <w:rsid w:val="00C27A25"/>
    <w:rsid w:val="00C27F08"/>
    <w:rsid w:val="00C27F52"/>
    <w:rsid w:val="00C30743"/>
    <w:rsid w:val="00C30838"/>
    <w:rsid w:val="00C308C2"/>
    <w:rsid w:val="00C309FB"/>
    <w:rsid w:val="00C30F40"/>
    <w:rsid w:val="00C311E3"/>
    <w:rsid w:val="00C31837"/>
    <w:rsid w:val="00C31ECF"/>
    <w:rsid w:val="00C32181"/>
    <w:rsid w:val="00C323B3"/>
    <w:rsid w:val="00C32ABD"/>
    <w:rsid w:val="00C32BDD"/>
    <w:rsid w:val="00C32CCC"/>
    <w:rsid w:val="00C32ED0"/>
    <w:rsid w:val="00C32FDF"/>
    <w:rsid w:val="00C330FB"/>
    <w:rsid w:val="00C3336D"/>
    <w:rsid w:val="00C334AC"/>
    <w:rsid w:val="00C33667"/>
    <w:rsid w:val="00C33845"/>
    <w:rsid w:val="00C33A87"/>
    <w:rsid w:val="00C33C83"/>
    <w:rsid w:val="00C34053"/>
    <w:rsid w:val="00C34268"/>
    <w:rsid w:val="00C345F5"/>
    <w:rsid w:val="00C34A2B"/>
    <w:rsid w:val="00C34A5B"/>
    <w:rsid w:val="00C35584"/>
    <w:rsid w:val="00C3598F"/>
    <w:rsid w:val="00C35A8B"/>
    <w:rsid w:val="00C3621A"/>
    <w:rsid w:val="00C362D4"/>
    <w:rsid w:val="00C36A3D"/>
    <w:rsid w:val="00C36AEC"/>
    <w:rsid w:val="00C36F51"/>
    <w:rsid w:val="00C3737F"/>
    <w:rsid w:val="00C40347"/>
    <w:rsid w:val="00C4089A"/>
    <w:rsid w:val="00C40F20"/>
    <w:rsid w:val="00C41227"/>
    <w:rsid w:val="00C414B7"/>
    <w:rsid w:val="00C4153B"/>
    <w:rsid w:val="00C41654"/>
    <w:rsid w:val="00C41995"/>
    <w:rsid w:val="00C41FE8"/>
    <w:rsid w:val="00C42255"/>
    <w:rsid w:val="00C42257"/>
    <w:rsid w:val="00C426D0"/>
    <w:rsid w:val="00C42C8B"/>
    <w:rsid w:val="00C42DEA"/>
    <w:rsid w:val="00C42E0F"/>
    <w:rsid w:val="00C42E17"/>
    <w:rsid w:val="00C43A93"/>
    <w:rsid w:val="00C43AD5"/>
    <w:rsid w:val="00C43B10"/>
    <w:rsid w:val="00C43D94"/>
    <w:rsid w:val="00C443B8"/>
    <w:rsid w:val="00C445BA"/>
    <w:rsid w:val="00C44A9B"/>
    <w:rsid w:val="00C44D44"/>
    <w:rsid w:val="00C4504E"/>
    <w:rsid w:val="00C4592B"/>
    <w:rsid w:val="00C45A2D"/>
    <w:rsid w:val="00C45D4B"/>
    <w:rsid w:val="00C45DF8"/>
    <w:rsid w:val="00C463B1"/>
    <w:rsid w:val="00C46480"/>
    <w:rsid w:val="00C464C0"/>
    <w:rsid w:val="00C465BB"/>
    <w:rsid w:val="00C467A3"/>
    <w:rsid w:val="00C46B85"/>
    <w:rsid w:val="00C46C69"/>
    <w:rsid w:val="00C47152"/>
    <w:rsid w:val="00C47B5E"/>
    <w:rsid w:val="00C5032A"/>
    <w:rsid w:val="00C50B28"/>
    <w:rsid w:val="00C51195"/>
    <w:rsid w:val="00C5140A"/>
    <w:rsid w:val="00C519A1"/>
    <w:rsid w:val="00C51B0E"/>
    <w:rsid w:val="00C52329"/>
    <w:rsid w:val="00C52535"/>
    <w:rsid w:val="00C53208"/>
    <w:rsid w:val="00C53246"/>
    <w:rsid w:val="00C53476"/>
    <w:rsid w:val="00C53817"/>
    <w:rsid w:val="00C53950"/>
    <w:rsid w:val="00C53AB8"/>
    <w:rsid w:val="00C53B04"/>
    <w:rsid w:val="00C53CE3"/>
    <w:rsid w:val="00C53CFD"/>
    <w:rsid w:val="00C53FFF"/>
    <w:rsid w:val="00C542D9"/>
    <w:rsid w:val="00C54B02"/>
    <w:rsid w:val="00C55283"/>
    <w:rsid w:val="00C553C4"/>
    <w:rsid w:val="00C554BF"/>
    <w:rsid w:val="00C55820"/>
    <w:rsid w:val="00C55D60"/>
    <w:rsid w:val="00C55EC0"/>
    <w:rsid w:val="00C55EF0"/>
    <w:rsid w:val="00C560B1"/>
    <w:rsid w:val="00C5681F"/>
    <w:rsid w:val="00C56AD0"/>
    <w:rsid w:val="00C57F90"/>
    <w:rsid w:val="00C6048C"/>
    <w:rsid w:val="00C60D16"/>
    <w:rsid w:val="00C61188"/>
    <w:rsid w:val="00C6140D"/>
    <w:rsid w:val="00C61962"/>
    <w:rsid w:val="00C61D43"/>
    <w:rsid w:val="00C62076"/>
    <w:rsid w:val="00C622F1"/>
    <w:rsid w:val="00C623F1"/>
    <w:rsid w:val="00C62662"/>
    <w:rsid w:val="00C627A9"/>
    <w:rsid w:val="00C62894"/>
    <w:rsid w:val="00C629AC"/>
    <w:rsid w:val="00C62C1A"/>
    <w:rsid w:val="00C6318F"/>
    <w:rsid w:val="00C63250"/>
    <w:rsid w:val="00C640A6"/>
    <w:rsid w:val="00C6452B"/>
    <w:rsid w:val="00C6459E"/>
    <w:rsid w:val="00C646CB"/>
    <w:rsid w:val="00C64859"/>
    <w:rsid w:val="00C64986"/>
    <w:rsid w:val="00C64DF9"/>
    <w:rsid w:val="00C6520E"/>
    <w:rsid w:val="00C655D9"/>
    <w:rsid w:val="00C65B6E"/>
    <w:rsid w:val="00C65B8D"/>
    <w:rsid w:val="00C65F8A"/>
    <w:rsid w:val="00C65FB8"/>
    <w:rsid w:val="00C6612F"/>
    <w:rsid w:val="00C6679C"/>
    <w:rsid w:val="00C66EEF"/>
    <w:rsid w:val="00C6702F"/>
    <w:rsid w:val="00C6703B"/>
    <w:rsid w:val="00C67752"/>
    <w:rsid w:val="00C67915"/>
    <w:rsid w:val="00C67ADE"/>
    <w:rsid w:val="00C67C38"/>
    <w:rsid w:val="00C67E89"/>
    <w:rsid w:val="00C67ECE"/>
    <w:rsid w:val="00C705A4"/>
    <w:rsid w:val="00C707B5"/>
    <w:rsid w:val="00C708D6"/>
    <w:rsid w:val="00C70BC3"/>
    <w:rsid w:val="00C70C24"/>
    <w:rsid w:val="00C70D9D"/>
    <w:rsid w:val="00C71065"/>
    <w:rsid w:val="00C7176E"/>
    <w:rsid w:val="00C71873"/>
    <w:rsid w:val="00C718A5"/>
    <w:rsid w:val="00C729D1"/>
    <w:rsid w:val="00C72F38"/>
    <w:rsid w:val="00C730E7"/>
    <w:rsid w:val="00C73582"/>
    <w:rsid w:val="00C7359D"/>
    <w:rsid w:val="00C73632"/>
    <w:rsid w:val="00C73A29"/>
    <w:rsid w:val="00C7400E"/>
    <w:rsid w:val="00C74164"/>
    <w:rsid w:val="00C7417F"/>
    <w:rsid w:val="00C74342"/>
    <w:rsid w:val="00C743DC"/>
    <w:rsid w:val="00C74A45"/>
    <w:rsid w:val="00C74E50"/>
    <w:rsid w:val="00C754BB"/>
    <w:rsid w:val="00C757C3"/>
    <w:rsid w:val="00C75824"/>
    <w:rsid w:val="00C761F1"/>
    <w:rsid w:val="00C7654E"/>
    <w:rsid w:val="00C76602"/>
    <w:rsid w:val="00C76770"/>
    <w:rsid w:val="00C76CBD"/>
    <w:rsid w:val="00C76DD8"/>
    <w:rsid w:val="00C77866"/>
    <w:rsid w:val="00C77D79"/>
    <w:rsid w:val="00C77E0E"/>
    <w:rsid w:val="00C77F49"/>
    <w:rsid w:val="00C80031"/>
    <w:rsid w:val="00C8008E"/>
    <w:rsid w:val="00C80503"/>
    <w:rsid w:val="00C80816"/>
    <w:rsid w:val="00C8096A"/>
    <w:rsid w:val="00C80CD6"/>
    <w:rsid w:val="00C80DC9"/>
    <w:rsid w:val="00C813A2"/>
    <w:rsid w:val="00C813B6"/>
    <w:rsid w:val="00C8159D"/>
    <w:rsid w:val="00C81E95"/>
    <w:rsid w:val="00C820FF"/>
    <w:rsid w:val="00C8217E"/>
    <w:rsid w:val="00C8218D"/>
    <w:rsid w:val="00C825A7"/>
    <w:rsid w:val="00C82984"/>
    <w:rsid w:val="00C82996"/>
    <w:rsid w:val="00C82BEE"/>
    <w:rsid w:val="00C82C33"/>
    <w:rsid w:val="00C82F3B"/>
    <w:rsid w:val="00C830FF"/>
    <w:rsid w:val="00C83665"/>
    <w:rsid w:val="00C83A6C"/>
    <w:rsid w:val="00C83D83"/>
    <w:rsid w:val="00C83E70"/>
    <w:rsid w:val="00C84660"/>
    <w:rsid w:val="00C84841"/>
    <w:rsid w:val="00C8485F"/>
    <w:rsid w:val="00C852D9"/>
    <w:rsid w:val="00C85428"/>
    <w:rsid w:val="00C85926"/>
    <w:rsid w:val="00C85BD9"/>
    <w:rsid w:val="00C85C26"/>
    <w:rsid w:val="00C85C6C"/>
    <w:rsid w:val="00C85F4C"/>
    <w:rsid w:val="00C8656A"/>
    <w:rsid w:val="00C86731"/>
    <w:rsid w:val="00C867D3"/>
    <w:rsid w:val="00C86B3A"/>
    <w:rsid w:val="00C86E9B"/>
    <w:rsid w:val="00C8707C"/>
    <w:rsid w:val="00C8720A"/>
    <w:rsid w:val="00C87A93"/>
    <w:rsid w:val="00C9059B"/>
    <w:rsid w:val="00C90997"/>
    <w:rsid w:val="00C90DF1"/>
    <w:rsid w:val="00C90EA5"/>
    <w:rsid w:val="00C90F0F"/>
    <w:rsid w:val="00C9106C"/>
    <w:rsid w:val="00C91217"/>
    <w:rsid w:val="00C91592"/>
    <w:rsid w:val="00C91796"/>
    <w:rsid w:val="00C923B4"/>
    <w:rsid w:val="00C92524"/>
    <w:rsid w:val="00C9271D"/>
    <w:rsid w:val="00C9308A"/>
    <w:rsid w:val="00C9312B"/>
    <w:rsid w:val="00C933DE"/>
    <w:rsid w:val="00C93BB5"/>
    <w:rsid w:val="00C93E38"/>
    <w:rsid w:val="00C9425D"/>
    <w:rsid w:val="00C94260"/>
    <w:rsid w:val="00C9460E"/>
    <w:rsid w:val="00C94A50"/>
    <w:rsid w:val="00C94A58"/>
    <w:rsid w:val="00C94C4D"/>
    <w:rsid w:val="00C94EB7"/>
    <w:rsid w:val="00C951DE"/>
    <w:rsid w:val="00C96171"/>
    <w:rsid w:val="00C9667C"/>
    <w:rsid w:val="00C96DC0"/>
    <w:rsid w:val="00C974E7"/>
    <w:rsid w:val="00C97B1D"/>
    <w:rsid w:val="00CA0A09"/>
    <w:rsid w:val="00CA0E98"/>
    <w:rsid w:val="00CA1556"/>
    <w:rsid w:val="00CA1913"/>
    <w:rsid w:val="00CA1FD6"/>
    <w:rsid w:val="00CA2362"/>
    <w:rsid w:val="00CA31EC"/>
    <w:rsid w:val="00CA3755"/>
    <w:rsid w:val="00CA378F"/>
    <w:rsid w:val="00CA3B1A"/>
    <w:rsid w:val="00CA3FC7"/>
    <w:rsid w:val="00CA45C9"/>
    <w:rsid w:val="00CA4640"/>
    <w:rsid w:val="00CA479B"/>
    <w:rsid w:val="00CA4AFD"/>
    <w:rsid w:val="00CA4B4B"/>
    <w:rsid w:val="00CA4FEF"/>
    <w:rsid w:val="00CA5019"/>
    <w:rsid w:val="00CA5050"/>
    <w:rsid w:val="00CA52BE"/>
    <w:rsid w:val="00CA5752"/>
    <w:rsid w:val="00CA5849"/>
    <w:rsid w:val="00CA59BA"/>
    <w:rsid w:val="00CA5CFD"/>
    <w:rsid w:val="00CA5D99"/>
    <w:rsid w:val="00CA5F94"/>
    <w:rsid w:val="00CA64C8"/>
    <w:rsid w:val="00CA6AEA"/>
    <w:rsid w:val="00CA6CF3"/>
    <w:rsid w:val="00CA6D61"/>
    <w:rsid w:val="00CA70BB"/>
    <w:rsid w:val="00CA71FE"/>
    <w:rsid w:val="00CA74D1"/>
    <w:rsid w:val="00CA79A6"/>
    <w:rsid w:val="00CA7BD0"/>
    <w:rsid w:val="00CA7C14"/>
    <w:rsid w:val="00CA7D20"/>
    <w:rsid w:val="00CB0007"/>
    <w:rsid w:val="00CB0392"/>
    <w:rsid w:val="00CB0494"/>
    <w:rsid w:val="00CB0518"/>
    <w:rsid w:val="00CB0524"/>
    <w:rsid w:val="00CB0987"/>
    <w:rsid w:val="00CB09F7"/>
    <w:rsid w:val="00CB0A93"/>
    <w:rsid w:val="00CB1126"/>
    <w:rsid w:val="00CB13AE"/>
    <w:rsid w:val="00CB1AAA"/>
    <w:rsid w:val="00CB21AE"/>
    <w:rsid w:val="00CB2879"/>
    <w:rsid w:val="00CB296E"/>
    <w:rsid w:val="00CB2C6D"/>
    <w:rsid w:val="00CB2EF1"/>
    <w:rsid w:val="00CB3386"/>
    <w:rsid w:val="00CB3402"/>
    <w:rsid w:val="00CB35F0"/>
    <w:rsid w:val="00CB3971"/>
    <w:rsid w:val="00CB3CC2"/>
    <w:rsid w:val="00CB3CD4"/>
    <w:rsid w:val="00CB3D18"/>
    <w:rsid w:val="00CB3D9D"/>
    <w:rsid w:val="00CB4350"/>
    <w:rsid w:val="00CB487B"/>
    <w:rsid w:val="00CB4988"/>
    <w:rsid w:val="00CB49B4"/>
    <w:rsid w:val="00CB4C3E"/>
    <w:rsid w:val="00CB56B6"/>
    <w:rsid w:val="00CB5BF3"/>
    <w:rsid w:val="00CB5D9D"/>
    <w:rsid w:val="00CB5DE2"/>
    <w:rsid w:val="00CB5FFE"/>
    <w:rsid w:val="00CB6021"/>
    <w:rsid w:val="00CB6062"/>
    <w:rsid w:val="00CB6403"/>
    <w:rsid w:val="00CB65DD"/>
    <w:rsid w:val="00CB6B44"/>
    <w:rsid w:val="00CB6EC6"/>
    <w:rsid w:val="00CB7006"/>
    <w:rsid w:val="00CB76E0"/>
    <w:rsid w:val="00CB7F7B"/>
    <w:rsid w:val="00CB7F86"/>
    <w:rsid w:val="00CC015C"/>
    <w:rsid w:val="00CC09AF"/>
    <w:rsid w:val="00CC0ACE"/>
    <w:rsid w:val="00CC110A"/>
    <w:rsid w:val="00CC156E"/>
    <w:rsid w:val="00CC1D4C"/>
    <w:rsid w:val="00CC20E5"/>
    <w:rsid w:val="00CC2205"/>
    <w:rsid w:val="00CC22C3"/>
    <w:rsid w:val="00CC280D"/>
    <w:rsid w:val="00CC290A"/>
    <w:rsid w:val="00CC2CFE"/>
    <w:rsid w:val="00CC3129"/>
    <w:rsid w:val="00CC34E9"/>
    <w:rsid w:val="00CC3BA0"/>
    <w:rsid w:val="00CC3BFA"/>
    <w:rsid w:val="00CC3EF8"/>
    <w:rsid w:val="00CC41D0"/>
    <w:rsid w:val="00CC4230"/>
    <w:rsid w:val="00CC4B62"/>
    <w:rsid w:val="00CC4BC1"/>
    <w:rsid w:val="00CC4EB2"/>
    <w:rsid w:val="00CC5081"/>
    <w:rsid w:val="00CC51E3"/>
    <w:rsid w:val="00CC54B0"/>
    <w:rsid w:val="00CC592C"/>
    <w:rsid w:val="00CC5A7D"/>
    <w:rsid w:val="00CC61C3"/>
    <w:rsid w:val="00CC6204"/>
    <w:rsid w:val="00CC642C"/>
    <w:rsid w:val="00CC6EFE"/>
    <w:rsid w:val="00CC732F"/>
    <w:rsid w:val="00CC79A0"/>
    <w:rsid w:val="00CC7C80"/>
    <w:rsid w:val="00CD08A4"/>
    <w:rsid w:val="00CD0922"/>
    <w:rsid w:val="00CD0C04"/>
    <w:rsid w:val="00CD0D6A"/>
    <w:rsid w:val="00CD0DA8"/>
    <w:rsid w:val="00CD0E9A"/>
    <w:rsid w:val="00CD1375"/>
    <w:rsid w:val="00CD15EC"/>
    <w:rsid w:val="00CD1A55"/>
    <w:rsid w:val="00CD1C2A"/>
    <w:rsid w:val="00CD257D"/>
    <w:rsid w:val="00CD271F"/>
    <w:rsid w:val="00CD2DC3"/>
    <w:rsid w:val="00CD3648"/>
    <w:rsid w:val="00CD365D"/>
    <w:rsid w:val="00CD36B6"/>
    <w:rsid w:val="00CD3997"/>
    <w:rsid w:val="00CD3A81"/>
    <w:rsid w:val="00CD3CCE"/>
    <w:rsid w:val="00CD3EB1"/>
    <w:rsid w:val="00CD4791"/>
    <w:rsid w:val="00CD507A"/>
    <w:rsid w:val="00CD5445"/>
    <w:rsid w:val="00CD56EA"/>
    <w:rsid w:val="00CD589F"/>
    <w:rsid w:val="00CD5C80"/>
    <w:rsid w:val="00CD636E"/>
    <w:rsid w:val="00CD6639"/>
    <w:rsid w:val="00CD6685"/>
    <w:rsid w:val="00CD6B3B"/>
    <w:rsid w:val="00CD6CAD"/>
    <w:rsid w:val="00CD6CDB"/>
    <w:rsid w:val="00CD6FA9"/>
    <w:rsid w:val="00CD70FE"/>
    <w:rsid w:val="00CD7C02"/>
    <w:rsid w:val="00CD7CA6"/>
    <w:rsid w:val="00CE00D0"/>
    <w:rsid w:val="00CE0775"/>
    <w:rsid w:val="00CE0D63"/>
    <w:rsid w:val="00CE0F21"/>
    <w:rsid w:val="00CE172F"/>
    <w:rsid w:val="00CE1B6B"/>
    <w:rsid w:val="00CE1E9E"/>
    <w:rsid w:val="00CE2899"/>
    <w:rsid w:val="00CE2F8C"/>
    <w:rsid w:val="00CE3013"/>
    <w:rsid w:val="00CE3016"/>
    <w:rsid w:val="00CE3103"/>
    <w:rsid w:val="00CE3230"/>
    <w:rsid w:val="00CE327E"/>
    <w:rsid w:val="00CE35A8"/>
    <w:rsid w:val="00CE380C"/>
    <w:rsid w:val="00CE39EE"/>
    <w:rsid w:val="00CE3B93"/>
    <w:rsid w:val="00CE3CE4"/>
    <w:rsid w:val="00CE4213"/>
    <w:rsid w:val="00CE463C"/>
    <w:rsid w:val="00CE4715"/>
    <w:rsid w:val="00CE4752"/>
    <w:rsid w:val="00CE4B0F"/>
    <w:rsid w:val="00CE4E95"/>
    <w:rsid w:val="00CE5637"/>
    <w:rsid w:val="00CE599E"/>
    <w:rsid w:val="00CE5AD2"/>
    <w:rsid w:val="00CE5B75"/>
    <w:rsid w:val="00CE5DF8"/>
    <w:rsid w:val="00CE645C"/>
    <w:rsid w:val="00CE7215"/>
    <w:rsid w:val="00CE7844"/>
    <w:rsid w:val="00CE790A"/>
    <w:rsid w:val="00CE7B8B"/>
    <w:rsid w:val="00CE7E12"/>
    <w:rsid w:val="00CE7FBF"/>
    <w:rsid w:val="00CF011D"/>
    <w:rsid w:val="00CF07CB"/>
    <w:rsid w:val="00CF0C90"/>
    <w:rsid w:val="00CF0EB2"/>
    <w:rsid w:val="00CF0EB4"/>
    <w:rsid w:val="00CF1248"/>
    <w:rsid w:val="00CF179B"/>
    <w:rsid w:val="00CF17F2"/>
    <w:rsid w:val="00CF192C"/>
    <w:rsid w:val="00CF2768"/>
    <w:rsid w:val="00CF2BD3"/>
    <w:rsid w:val="00CF2C5A"/>
    <w:rsid w:val="00CF31A2"/>
    <w:rsid w:val="00CF31C1"/>
    <w:rsid w:val="00CF31D5"/>
    <w:rsid w:val="00CF3391"/>
    <w:rsid w:val="00CF33E3"/>
    <w:rsid w:val="00CF394E"/>
    <w:rsid w:val="00CF3A02"/>
    <w:rsid w:val="00CF3C8B"/>
    <w:rsid w:val="00CF3F87"/>
    <w:rsid w:val="00CF4AD6"/>
    <w:rsid w:val="00CF4E24"/>
    <w:rsid w:val="00CF5068"/>
    <w:rsid w:val="00CF55AB"/>
    <w:rsid w:val="00CF6586"/>
    <w:rsid w:val="00CF6A8C"/>
    <w:rsid w:val="00CF7546"/>
    <w:rsid w:val="00CF7796"/>
    <w:rsid w:val="00CF78C1"/>
    <w:rsid w:val="00CF79BD"/>
    <w:rsid w:val="00CF7AE8"/>
    <w:rsid w:val="00CF7B69"/>
    <w:rsid w:val="00CF7B88"/>
    <w:rsid w:val="00CF7BD7"/>
    <w:rsid w:val="00D001D3"/>
    <w:rsid w:val="00D0023A"/>
    <w:rsid w:val="00D00D70"/>
    <w:rsid w:val="00D01558"/>
    <w:rsid w:val="00D0161E"/>
    <w:rsid w:val="00D01795"/>
    <w:rsid w:val="00D01C69"/>
    <w:rsid w:val="00D01DA2"/>
    <w:rsid w:val="00D02072"/>
    <w:rsid w:val="00D0268B"/>
    <w:rsid w:val="00D03236"/>
    <w:rsid w:val="00D03334"/>
    <w:rsid w:val="00D03563"/>
    <w:rsid w:val="00D035DD"/>
    <w:rsid w:val="00D03BFD"/>
    <w:rsid w:val="00D03F06"/>
    <w:rsid w:val="00D040E7"/>
    <w:rsid w:val="00D0417F"/>
    <w:rsid w:val="00D04386"/>
    <w:rsid w:val="00D043E9"/>
    <w:rsid w:val="00D04430"/>
    <w:rsid w:val="00D049FF"/>
    <w:rsid w:val="00D04A65"/>
    <w:rsid w:val="00D04D5C"/>
    <w:rsid w:val="00D04E81"/>
    <w:rsid w:val="00D0515D"/>
    <w:rsid w:val="00D052F0"/>
    <w:rsid w:val="00D05529"/>
    <w:rsid w:val="00D05585"/>
    <w:rsid w:val="00D05845"/>
    <w:rsid w:val="00D05D79"/>
    <w:rsid w:val="00D06154"/>
    <w:rsid w:val="00D0616F"/>
    <w:rsid w:val="00D06572"/>
    <w:rsid w:val="00D06926"/>
    <w:rsid w:val="00D06A94"/>
    <w:rsid w:val="00D06B79"/>
    <w:rsid w:val="00D06EE5"/>
    <w:rsid w:val="00D06FD0"/>
    <w:rsid w:val="00D0705D"/>
    <w:rsid w:val="00D070B5"/>
    <w:rsid w:val="00D07A4F"/>
    <w:rsid w:val="00D07B43"/>
    <w:rsid w:val="00D07E16"/>
    <w:rsid w:val="00D07F50"/>
    <w:rsid w:val="00D10681"/>
    <w:rsid w:val="00D106D3"/>
    <w:rsid w:val="00D11544"/>
    <w:rsid w:val="00D116DD"/>
    <w:rsid w:val="00D11A07"/>
    <w:rsid w:val="00D11CA5"/>
    <w:rsid w:val="00D123D0"/>
    <w:rsid w:val="00D12942"/>
    <w:rsid w:val="00D12BB1"/>
    <w:rsid w:val="00D131DA"/>
    <w:rsid w:val="00D13339"/>
    <w:rsid w:val="00D1381A"/>
    <w:rsid w:val="00D139A7"/>
    <w:rsid w:val="00D13BD1"/>
    <w:rsid w:val="00D13C95"/>
    <w:rsid w:val="00D14270"/>
    <w:rsid w:val="00D145A6"/>
    <w:rsid w:val="00D14970"/>
    <w:rsid w:val="00D14DF2"/>
    <w:rsid w:val="00D15797"/>
    <w:rsid w:val="00D16062"/>
    <w:rsid w:val="00D16395"/>
    <w:rsid w:val="00D16631"/>
    <w:rsid w:val="00D16C5F"/>
    <w:rsid w:val="00D16CC9"/>
    <w:rsid w:val="00D16CF9"/>
    <w:rsid w:val="00D16F71"/>
    <w:rsid w:val="00D17374"/>
    <w:rsid w:val="00D17C60"/>
    <w:rsid w:val="00D20302"/>
    <w:rsid w:val="00D2142E"/>
    <w:rsid w:val="00D21C5E"/>
    <w:rsid w:val="00D223DC"/>
    <w:rsid w:val="00D227AD"/>
    <w:rsid w:val="00D228ED"/>
    <w:rsid w:val="00D2295E"/>
    <w:rsid w:val="00D22CCF"/>
    <w:rsid w:val="00D22E97"/>
    <w:rsid w:val="00D23430"/>
    <w:rsid w:val="00D235B6"/>
    <w:rsid w:val="00D239F9"/>
    <w:rsid w:val="00D23D77"/>
    <w:rsid w:val="00D23E8C"/>
    <w:rsid w:val="00D24163"/>
    <w:rsid w:val="00D2481B"/>
    <w:rsid w:val="00D24A03"/>
    <w:rsid w:val="00D24B16"/>
    <w:rsid w:val="00D25267"/>
    <w:rsid w:val="00D25688"/>
    <w:rsid w:val="00D256FD"/>
    <w:rsid w:val="00D25897"/>
    <w:rsid w:val="00D259E6"/>
    <w:rsid w:val="00D25D4D"/>
    <w:rsid w:val="00D25D72"/>
    <w:rsid w:val="00D25F69"/>
    <w:rsid w:val="00D25FEE"/>
    <w:rsid w:val="00D26217"/>
    <w:rsid w:val="00D2653A"/>
    <w:rsid w:val="00D26B7F"/>
    <w:rsid w:val="00D26CF2"/>
    <w:rsid w:val="00D273AA"/>
    <w:rsid w:val="00D27DCD"/>
    <w:rsid w:val="00D30B7A"/>
    <w:rsid w:val="00D315E2"/>
    <w:rsid w:val="00D3230B"/>
    <w:rsid w:val="00D3233F"/>
    <w:rsid w:val="00D326A7"/>
    <w:rsid w:val="00D3279B"/>
    <w:rsid w:val="00D32CFA"/>
    <w:rsid w:val="00D32D22"/>
    <w:rsid w:val="00D32E1E"/>
    <w:rsid w:val="00D32E65"/>
    <w:rsid w:val="00D333B7"/>
    <w:rsid w:val="00D335B1"/>
    <w:rsid w:val="00D33710"/>
    <w:rsid w:val="00D33973"/>
    <w:rsid w:val="00D33A90"/>
    <w:rsid w:val="00D33FCC"/>
    <w:rsid w:val="00D33FE5"/>
    <w:rsid w:val="00D34A42"/>
    <w:rsid w:val="00D34C76"/>
    <w:rsid w:val="00D35364"/>
    <w:rsid w:val="00D3546C"/>
    <w:rsid w:val="00D35515"/>
    <w:rsid w:val="00D3565D"/>
    <w:rsid w:val="00D35EB9"/>
    <w:rsid w:val="00D3658F"/>
    <w:rsid w:val="00D368C6"/>
    <w:rsid w:val="00D36BC9"/>
    <w:rsid w:val="00D37571"/>
    <w:rsid w:val="00D376F9"/>
    <w:rsid w:val="00D400BD"/>
    <w:rsid w:val="00D401DF"/>
    <w:rsid w:val="00D405A4"/>
    <w:rsid w:val="00D40B47"/>
    <w:rsid w:val="00D40CED"/>
    <w:rsid w:val="00D40D54"/>
    <w:rsid w:val="00D40DD4"/>
    <w:rsid w:val="00D40F0A"/>
    <w:rsid w:val="00D40F42"/>
    <w:rsid w:val="00D413FE"/>
    <w:rsid w:val="00D41487"/>
    <w:rsid w:val="00D41531"/>
    <w:rsid w:val="00D416D5"/>
    <w:rsid w:val="00D418B2"/>
    <w:rsid w:val="00D41D8D"/>
    <w:rsid w:val="00D420AF"/>
    <w:rsid w:val="00D4251C"/>
    <w:rsid w:val="00D42554"/>
    <w:rsid w:val="00D42AFD"/>
    <w:rsid w:val="00D438CD"/>
    <w:rsid w:val="00D43927"/>
    <w:rsid w:val="00D4397E"/>
    <w:rsid w:val="00D43BAA"/>
    <w:rsid w:val="00D43E83"/>
    <w:rsid w:val="00D43F64"/>
    <w:rsid w:val="00D446BC"/>
    <w:rsid w:val="00D44883"/>
    <w:rsid w:val="00D44E15"/>
    <w:rsid w:val="00D45366"/>
    <w:rsid w:val="00D454D5"/>
    <w:rsid w:val="00D459CD"/>
    <w:rsid w:val="00D459D1"/>
    <w:rsid w:val="00D45B48"/>
    <w:rsid w:val="00D45FAE"/>
    <w:rsid w:val="00D46489"/>
    <w:rsid w:val="00D46C3B"/>
    <w:rsid w:val="00D46FB6"/>
    <w:rsid w:val="00D47C1A"/>
    <w:rsid w:val="00D47CB0"/>
    <w:rsid w:val="00D47DAB"/>
    <w:rsid w:val="00D47DE4"/>
    <w:rsid w:val="00D50051"/>
    <w:rsid w:val="00D50773"/>
    <w:rsid w:val="00D50927"/>
    <w:rsid w:val="00D50A08"/>
    <w:rsid w:val="00D50E06"/>
    <w:rsid w:val="00D513B4"/>
    <w:rsid w:val="00D513B5"/>
    <w:rsid w:val="00D515C5"/>
    <w:rsid w:val="00D5173C"/>
    <w:rsid w:val="00D51C7B"/>
    <w:rsid w:val="00D51E8F"/>
    <w:rsid w:val="00D52123"/>
    <w:rsid w:val="00D521AA"/>
    <w:rsid w:val="00D52A5A"/>
    <w:rsid w:val="00D52CE5"/>
    <w:rsid w:val="00D52DE0"/>
    <w:rsid w:val="00D534E2"/>
    <w:rsid w:val="00D5364D"/>
    <w:rsid w:val="00D54244"/>
    <w:rsid w:val="00D54478"/>
    <w:rsid w:val="00D5487C"/>
    <w:rsid w:val="00D54BF5"/>
    <w:rsid w:val="00D54C35"/>
    <w:rsid w:val="00D55B27"/>
    <w:rsid w:val="00D55D43"/>
    <w:rsid w:val="00D55F11"/>
    <w:rsid w:val="00D5617C"/>
    <w:rsid w:val="00D563D5"/>
    <w:rsid w:val="00D56915"/>
    <w:rsid w:val="00D56F11"/>
    <w:rsid w:val="00D572F5"/>
    <w:rsid w:val="00D5743C"/>
    <w:rsid w:val="00D57954"/>
    <w:rsid w:val="00D57B40"/>
    <w:rsid w:val="00D57C3F"/>
    <w:rsid w:val="00D57CFE"/>
    <w:rsid w:val="00D57D6D"/>
    <w:rsid w:val="00D57EAB"/>
    <w:rsid w:val="00D60169"/>
    <w:rsid w:val="00D60208"/>
    <w:rsid w:val="00D60281"/>
    <w:rsid w:val="00D614CB"/>
    <w:rsid w:val="00D61670"/>
    <w:rsid w:val="00D61FE6"/>
    <w:rsid w:val="00D62064"/>
    <w:rsid w:val="00D62160"/>
    <w:rsid w:val="00D6217D"/>
    <w:rsid w:val="00D62396"/>
    <w:rsid w:val="00D623EF"/>
    <w:rsid w:val="00D62B70"/>
    <w:rsid w:val="00D62C6E"/>
    <w:rsid w:val="00D62E3F"/>
    <w:rsid w:val="00D63103"/>
    <w:rsid w:val="00D63793"/>
    <w:rsid w:val="00D63DEF"/>
    <w:rsid w:val="00D6403D"/>
    <w:rsid w:val="00D6427D"/>
    <w:rsid w:val="00D642F5"/>
    <w:rsid w:val="00D643F3"/>
    <w:rsid w:val="00D64810"/>
    <w:rsid w:val="00D64854"/>
    <w:rsid w:val="00D649A3"/>
    <w:rsid w:val="00D64B6F"/>
    <w:rsid w:val="00D64EDB"/>
    <w:rsid w:val="00D6527D"/>
    <w:rsid w:val="00D65429"/>
    <w:rsid w:val="00D658EA"/>
    <w:rsid w:val="00D65E35"/>
    <w:rsid w:val="00D6654E"/>
    <w:rsid w:val="00D6702C"/>
    <w:rsid w:val="00D6742F"/>
    <w:rsid w:val="00D676CF"/>
    <w:rsid w:val="00D6779F"/>
    <w:rsid w:val="00D701D0"/>
    <w:rsid w:val="00D70400"/>
    <w:rsid w:val="00D704FF"/>
    <w:rsid w:val="00D70C63"/>
    <w:rsid w:val="00D7116D"/>
    <w:rsid w:val="00D71251"/>
    <w:rsid w:val="00D718AB"/>
    <w:rsid w:val="00D720D6"/>
    <w:rsid w:val="00D72131"/>
    <w:rsid w:val="00D7291A"/>
    <w:rsid w:val="00D72E0F"/>
    <w:rsid w:val="00D73084"/>
    <w:rsid w:val="00D730A1"/>
    <w:rsid w:val="00D7313D"/>
    <w:rsid w:val="00D732FD"/>
    <w:rsid w:val="00D7398B"/>
    <w:rsid w:val="00D74231"/>
    <w:rsid w:val="00D7445A"/>
    <w:rsid w:val="00D745AB"/>
    <w:rsid w:val="00D7470A"/>
    <w:rsid w:val="00D74744"/>
    <w:rsid w:val="00D74C4B"/>
    <w:rsid w:val="00D74D67"/>
    <w:rsid w:val="00D74D8B"/>
    <w:rsid w:val="00D74D95"/>
    <w:rsid w:val="00D74E71"/>
    <w:rsid w:val="00D74FFE"/>
    <w:rsid w:val="00D75054"/>
    <w:rsid w:val="00D75085"/>
    <w:rsid w:val="00D7510B"/>
    <w:rsid w:val="00D7520D"/>
    <w:rsid w:val="00D75390"/>
    <w:rsid w:val="00D755BF"/>
    <w:rsid w:val="00D7571A"/>
    <w:rsid w:val="00D75967"/>
    <w:rsid w:val="00D75ADF"/>
    <w:rsid w:val="00D75DC7"/>
    <w:rsid w:val="00D760C5"/>
    <w:rsid w:val="00D760DE"/>
    <w:rsid w:val="00D763C7"/>
    <w:rsid w:val="00D763EE"/>
    <w:rsid w:val="00D7649C"/>
    <w:rsid w:val="00D76522"/>
    <w:rsid w:val="00D7697E"/>
    <w:rsid w:val="00D7760E"/>
    <w:rsid w:val="00D77668"/>
    <w:rsid w:val="00D77B18"/>
    <w:rsid w:val="00D77C1B"/>
    <w:rsid w:val="00D77CF9"/>
    <w:rsid w:val="00D80348"/>
    <w:rsid w:val="00D80C40"/>
    <w:rsid w:val="00D8139D"/>
    <w:rsid w:val="00D8142C"/>
    <w:rsid w:val="00D81821"/>
    <w:rsid w:val="00D81E55"/>
    <w:rsid w:val="00D81F84"/>
    <w:rsid w:val="00D82176"/>
    <w:rsid w:val="00D82359"/>
    <w:rsid w:val="00D82765"/>
    <w:rsid w:val="00D82C98"/>
    <w:rsid w:val="00D83563"/>
    <w:rsid w:val="00D83E25"/>
    <w:rsid w:val="00D8418A"/>
    <w:rsid w:val="00D8430C"/>
    <w:rsid w:val="00D84645"/>
    <w:rsid w:val="00D847F5"/>
    <w:rsid w:val="00D84830"/>
    <w:rsid w:val="00D84DD5"/>
    <w:rsid w:val="00D85312"/>
    <w:rsid w:val="00D85717"/>
    <w:rsid w:val="00D859E7"/>
    <w:rsid w:val="00D8614B"/>
    <w:rsid w:val="00D8618D"/>
    <w:rsid w:val="00D86606"/>
    <w:rsid w:val="00D86A73"/>
    <w:rsid w:val="00D86B58"/>
    <w:rsid w:val="00D86B96"/>
    <w:rsid w:val="00D8707C"/>
    <w:rsid w:val="00D874BF"/>
    <w:rsid w:val="00D87D1B"/>
    <w:rsid w:val="00D87E5E"/>
    <w:rsid w:val="00D90042"/>
    <w:rsid w:val="00D90E61"/>
    <w:rsid w:val="00D91152"/>
    <w:rsid w:val="00D9128B"/>
    <w:rsid w:val="00D914ED"/>
    <w:rsid w:val="00D917B0"/>
    <w:rsid w:val="00D91A1F"/>
    <w:rsid w:val="00D91D97"/>
    <w:rsid w:val="00D91F57"/>
    <w:rsid w:val="00D9221C"/>
    <w:rsid w:val="00D926C9"/>
    <w:rsid w:val="00D9272C"/>
    <w:rsid w:val="00D92940"/>
    <w:rsid w:val="00D92FCA"/>
    <w:rsid w:val="00D92FE4"/>
    <w:rsid w:val="00D931F9"/>
    <w:rsid w:val="00D932B9"/>
    <w:rsid w:val="00D93367"/>
    <w:rsid w:val="00D9348D"/>
    <w:rsid w:val="00D93761"/>
    <w:rsid w:val="00D937C5"/>
    <w:rsid w:val="00D938D9"/>
    <w:rsid w:val="00D938E7"/>
    <w:rsid w:val="00D93D53"/>
    <w:rsid w:val="00D9400A"/>
    <w:rsid w:val="00D940C6"/>
    <w:rsid w:val="00D943D4"/>
    <w:rsid w:val="00D94F95"/>
    <w:rsid w:val="00D96113"/>
    <w:rsid w:val="00D96134"/>
    <w:rsid w:val="00D96356"/>
    <w:rsid w:val="00D96787"/>
    <w:rsid w:val="00D96A9F"/>
    <w:rsid w:val="00D97065"/>
    <w:rsid w:val="00D9714B"/>
    <w:rsid w:val="00D97613"/>
    <w:rsid w:val="00D97F4F"/>
    <w:rsid w:val="00DA06AE"/>
    <w:rsid w:val="00DA0A32"/>
    <w:rsid w:val="00DA0C1C"/>
    <w:rsid w:val="00DA0EC7"/>
    <w:rsid w:val="00DA10BD"/>
    <w:rsid w:val="00DA120D"/>
    <w:rsid w:val="00DA13D6"/>
    <w:rsid w:val="00DA1415"/>
    <w:rsid w:val="00DA179B"/>
    <w:rsid w:val="00DA1809"/>
    <w:rsid w:val="00DA1895"/>
    <w:rsid w:val="00DA1D11"/>
    <w:rsid w:val="00DA1DB5"/>
    <w:rsid w:val="00DA20A0"/>
    <w:rsid w:val="00DA21E1"/>
    <w:rsid w:val="00DA2322"/>
    <w:rsid w:val="00DA25B9"/>
    <w:rsid w:val="00DA26F8"/>
    <w:rsid w:val="00DA306A"/>
    <w:rsid w:val="00DA3202"/>
    <w:rsid w:val="00DA3253"/>
    <w:rsid w:val="00DA3366"/>
    <w:rsid w:val="00DA33AC"/>
    <w:rsid w:val="00DA3439"/>
    <w:rsid w:val="00DA36B3"/>
    <w:rsid w:val="00DA3A2D"/>
    <w:rsid w:val="00DA3A62"/>
    <w:rsid w:val="00DA3D56"/>
    <w:rsid w:val="00DA43BE"/>
    <w:rsid w:val="00DA4FB3"/>
    <w:rsid w:val="00DA50BE"/>
    <w:rsid w:val="00DA520B"/>
    <w:rsid w:val="00DA534E"/>
    <w:rsid w:val="00DA58E3"/>
    <w:rsid w:val="00DA5AA5"/>
    <w:rsid w:val="00DA62C5"/>
    <w:rsid w:val="00DA67AF"/>
    <w:rsid w:val="00DA6A46"/>
    <w:rsid w:val="00DA6BEC"/>
    <w:rsid w:val="00DA6F14"/>
    <w:rsid w:val="00DA7026"/>
    <w:rsid w:val="00DA771E"/>
    <w:rsid w:val="00DA7ABF"/>
    <w:rsid w:val="00DA7B75"/>
    <w:rsid w:val="00DB0190"/>
    <w:rsid w:val="00DB03ED"/>
    <w:rsid w:val="00DB0C10"/>
    <w:rsid w:val="00DB0D5E"/>
    <w:rsid w:val="00DB0FDA"/>
    <w:rsid w:val="00DB10AE"/>
    <w:rsid w:val="00DB1206"/>
    <w:rsid w:val="00DB14E7"/>
    <w:rsid w:val="00DB19E2"/>
    <w:rsid w:val="00DB1DDE"/>
    <w:rsid w:val="00DB2882"/>
    <w:rsid w:val="00DB35BA"/>
    <w:rsid w:val="00DB35BC"/>
    <w:rsid w:val="00DB39A9"/>
    <w:rsid w:val="00DB3FF2"/>
    <w:rsid w:val="00DB3FF7"/>
    <w:rsid w:val="00DB4236"/>
    <w:rsid w:val="00DB4325"/>
    <w:rsid w:val="00DB4361"/>
    <w:rsid w:val="00DB51DA"/>
    <w:rsid w:val="00DB52B0"/>
    <w:rsid w:val="00DB5A7F"/>
    <w:rsid w:val="00DB5BFA"/>
    <w:rsid w:val="00DB5CC8"/>
    <w:rsid w:val="00DB5F23"/>
    <w:rsid w:val="00DB643B"/>
    <w:rsid w:val="00DB65AF"/>
    <w:rsid w:val="00DB65FB"/>
    <w:rsid w:val="00DB68DC"/>
    <w:rsid w:val="00DB6C44"/>
    <w:rsid w:val="00DB6C89"/>
    <w:rsid w:val="00DB76A7"/>
    <w:rsid w:val="00DB7B82"/>
    <w:rsid w:val="00DB7E97"/>
    <w:rsid w:val="00DC02A6"/>
    <w:rsid w:val="00DC058A"/>
    <w:rsid w:val="00DC06FE"/>
    <w:rsid w:val="00DC0A2C"/>
    <w:rsid w:val="00DC1350"/>
    <w:rsid w:val="00DC143C"/>
    <w:rsid w:val="00DC1496"/>
    <w:rsid w:val="00DC1EBB"/>
    <w:rsid w:val="00DC1FA1"/>
    <w:rsid w:val="00DC2126"/>
    <w:rsid w:val="00DC26C6"/>
    <w:rsid w:val="00DC2D8C"/>
    <w:rsid w:val="00DC34D7"/>
    <w:rsid w:val="00DC393A"/>
    <w:rsid w:val="00DC394E"/>
    <w:rsid w:val="00DC3C65"/>
    <w:rsid w:val="00DC3D2F"/>
    <w:rsid w:val="00DC3D7E"/>
    <w:rsid w:val="00DC3DE2"/>
    <w:rsid w:val="00DC419C"/>
    <w:rsid w:val="00DC46EC"/>
    <w:rsid w:val="00DC4783"/>
    <w:rsid w:val="00DC4819"/>
    <w:rsid w:val="00DC4B8D"/>
    <w:rsid w:val="00DC4DE1"/>
    <w:rsid w:val="00DC4F1D"/>
    <w:rsid w:val="00DC52DD"/>
    <w:rsid w:val="00DC543B"/>
    <w:rsid w:val="00DC54E9"/>
    <w:rsid w:val="00DC5829"/>
    <w:rsid w:val="00DC5ADD"/>
    <w:rsid w:val="00DC5C0A"/>
    <w:rsid w:val="00DC676E"/>
    <w:rsid w:val="00DC67E1"/>
    <w:rsid w:val="00DC6814"/>
    <w:rsid w:val="00DC6887"/>
    <w:rsid w:val="00DC68FC"/>
    <w:rsid w:val="00DC6B8D"/>
    <w:rsid w:val="00DC6D3B"/>
    <w:rsid w:val="00DC6DFC"/>
    <w:rsid w:val="00DC7074"/>
    <w:rsid w:val="00DC7177"/>
    <w:rsid w:val="00DC7578"/>
    <w:rsid w:val="00DC7B82"/>
    <w:rsid w:val="00DC7C83"/>
    <w:rsid w:val="00DC7F87"/>
    <w:rsid w:val="00DD002B"/>
    <w:rsid w:val="00DD059E"/>
    <w:rsid w:val="00DD0CDA"/>
    <w:rsid w:val="00DD0EB8"/>
    <w:rsid w:val="00DD0FE8"/>
    <w:rsid w:val="00DD1881"/>
    <w:rsid w:val="00DD1BEC"/>
    <w:rsid w:val="00DD2019"/>
    <w:rsid w:val="00DD21A2"/>
    <w:rsid w:val="00DD254D"/>
    <w:rsid w:val="00DD261B"/>
    <w:rsid w:val="00DD2796"/>
    <w:rsid w:val="00DD2A14"/>
    <w:rsid w:val="00DD2B53"/>
    <w:rsid w:val="00DD2DFA"/>
    <w:rsid w:val="00DD2EAA"/>
    <w:rsid w:val="00DD3011"/>
    <w:rsid w:val="00DD3846"/>
    <w:rsid w:val="00DD397D"/>
    <w:rsid w:val="00DD4275"/>
    <w:rsid w:val="00DD441D"/>
    <w:rsid w:val="00DD4888"/>
    <w:rsid w:val="00DD4893"/>
    <w:rsid w:val="00DD4FF6"/>
    <w:rsid w:val="00DD50F6"/>
    <w:rsid w:val="00DD5323"/>
    <w:rsid w:val="00DD537C"/>
    <w:rsid w:val="00DD56E2"/>
    <w:rsid w:val="00DD588A"/>
    <w:rsid w:val="00DD59D0"/>
    <w:rsid w:val="00DD5F5A"/>
    <w:rsid w:val="00DD64E4"/>
    <w:rsid w:val="00DD6C5F"/>
    <w:rsid w:val="00DD6CBB"/>
    <w:rsid w:val="00DD6D24"/>
    <w:rsid w:val="00DD747E"/>
    <w:rsid w:val="00DD758F"/>
    <w:rsid w:val="00DD7690"/>
    <w:rsid w:val="00DD7702"/>
    <w:rsid w:val="00DD7AA8"/>
    <w:rsid w:val="00DD7E76"/>
    <w:rsid w:val="00DD7EFD"/>
    <w:rsid w:val="00DE07B8"/>
    <w:rsid w:val="00DE0901"/>
    <w:rsid w:val="00DE09D1"/>
    <w:rsid w:val="00DE0C33"/>
    <w:rsid w:val="00DE0D93"/>
    <w:rsid w:val="00DE0DA5"/>
    <w:rsid w:val="00DE1289"/>
    <w:rsid w:val="00DE1BAD"/>
    <w:rsid w:val="00DE1EF3"/>
    <w:rsid w:val="00DE2284"/>
    <w:rsid w:val="00DE23DA"/>
    <w:rsid w:val="00DE24D2"/>
    <w:rsid w:val="00DE266E"/>
    <w:rsid w:val="00DE2807"/>
    <w:rsid w:val="00DE2D01"/>
    <w:rsid w:val="00DE3625"/>
    <w:rsid w:val="00DE3690"/>
    <w:rsid w:val="00DE370E"/>
    <w:rsid w:val="00DE3A0F"/>
    <w:rsid w:val="00DE3C03"/>
    <w:rsid w:val="00DE3CDB"/>
    <w:rsid w:val="00DE3E96"/>
    <w:rsid w:val="00DE3FDA"/>
    <w:rsid w:val="00DE4362"/>
    <w:rsid w:val="00DE46D2"/>
    <w:rsid w:val="00DE4C5B"/>
    <w:rsid w:val="00DE4DE9"/>
    <w:rsid w:val="00DE5BCD"/>
    <w:rsid w:val="00DE5D94"/>
    <w:rsid w:val="00DE5FA4"/>
    <w:rsid w:val="00DE605B"/>
    <w:rsid w:val="00DE63B9"/>
    <w:rsid w:val="00DE64B9"/>
    <w:rsid w:val="00DE6741"/>
    <w:rsid w:val="00DE692F"/>
    <w:rsid w:val="00DE725E"/>
    <w:rsid w:val="00DE72C3"/>
    <w:rsid w:val="00DE7364"/>
    <w:rsid w:val="00DE7465"/>
    <w:rsid w:val="00DE79D1"/>
    <w:rsid w:val="00DE7DA6"/>
    <w:rsid w:val="00DE7DC1"/>
    <w:rsid w:val="00DE7E63"/>
    <w:rsid w:val="00DF0275"/>
    <w:rsid w:val="00DF05F1"/>
    <w:rsid w:val="00DF0E50"/>
    <w:rsid w:val="00DF0FFB"/>
    <w:rsid w:val="00DF1058"/>
    <w:rsid w:val="00DF17DA"/>
    <w:rsid w:val="00DF1B68"/>
    <w:rsid w:val="00DF2252"/>
    <w:rsid w:val="00DF2613"/>
    <w:rsid w:val="00DF3121"/>
    <w:rsid w:val="00DF3197"/>
    <w:rsid w:val="00DF3C99"/>
    <w:rsid w:val="00DF3F6E"/>
    <w:rsid w:val="00DF4A24"/>
    <w:rsid w:val="00DF4DB3"/>
    <w:rsid w:val="00DF508B"/>
    <w:rsid w:val="00DF5E17"/>
    <w:rsid w:val="00DF5E4F"/>
    <w:rsid w:val="00DF5F77"/>
    <w:rsid w:val="00DF61D7"/>
    <w:rsid w:val="00DF6968"/>
    <w:rsid w:val="00DF6AC7"/>
    <w:rsid w:val="00DF7114"/>
    <w:rsid w:val="00DF735C"/>
    <w:rsid w:val="00DF73A6"/>
    <w:rsid w:val="00DF746C"/>
    <w:rsid w:val="00DF7785"/>
    <w:rsid w:val="00DF7932"/>
    <w:rsid w:val="00DF7A96"/>
    <w:rsid w:val="00DF7BF0"/>
    <w:rsid w:val="00DF7FE2"/>
    <w:rsid w:val="00E002BC"/>
    <w:rsid w:val="00E006EB"/>
    <w:rsid w:val="00E00C91"/>
    <w:rsid w:val="00E00D4B"/>
    <w:rsid w:val="00E00F39"/>
    <w:rsid w:val="00E01759"/>
    <w:rsid w:val="00E017A7"/>
    <w:rsid w:val="00E01AF8"/>
    <w:rsid w:val="00E01B99"/>
    <w:rsid w:val="00E0216B"/>
    <w:rsid w:val="00E022CC"/>
    <w:rsid w:val="00E025CB"/>
    <w:rsid w:val="00E02E03"/>
    <w:rsid w:val="00E03478"/>
    <w:rsid w:val="00E03499"/>
    <w:rsid w:val="00E035C1"/>
    <w:rsid w:val="00E038CC"/>
    <w:rsid w:val="00E03B40"/>
    <w:rsid w:val="00E0469A"/>
    <w:rsid w:val="00E0487B"/>
    <w:rsid w:val="00E057B3"/>
    <w:rsid w:val="00E057C4"/>
    <w:rsid w:val="00E058FD"/>
    <w:rsid w:val="00E06166"/>
    <w:rsid w:val="00E0695D"/>
    <w:rsid w:val="00E06C60"/>
    <w:rsid w:val="00E06F33"/>
    <w:rsid w:val="00E07021"/>
    <w:rsid w:val="00E071E7"/>
    <w:rsid w:val="00E07583"/>
    <w:rsid w:val="00E07BFF"/>
    <w:rsid w:val="00E100E5"/>
    <w:rsid w:val="00E104C9"/>
    <w:rsid w:val="00E10837"/>
    <w:rsid w:val="00E108D8"/>
    <w:rsid w:val="00E10999"/>
    <w:rsid w:val="00E10A5F"/>
    <w:rsid w:val="00E10B4F"/>
    <w:rsid w:val="00E11203"/>
    <w:rsid w:val="00E1274E"/>
    <w:rsid w:val="00E12D0F"/>
    <w:rsid w:val="00E12E4A"/>
    <w:rsid w:val="00E130FC"/>
    <w:rsid w:val="00E1341E"/>
    <w:rsid w:val="00E13BFD"/>
    <w:rsid w:val="00E13CAA"/>
    <w:rsid w:val="00E13DBF"/>
    <w:rsid w:val="00E14715"/>
    <w:rsid w:val="00E148F7"/>
    <w:rsid w:val="00E1522A"/>
    <w:rsid w:val="00E154DB"/>
    <w:rsid w:val="00E15A65"/>
    <w:rsid w:val="00E1613F"/>
    <w:rsid w:val="00E169BD"/>
    <w:rsid w:val="00E17066"/>
    <w:rsid w:val="00E170E2"/>
    <w:rsid w:val="00E170FA"/>
    <w:rsid w:val="00E173B1"/>
    <w:rsid w:val="00E173F6"/>
    <w:rsid w:val="00E17FBE"/>
    <w:rsid w:val="00E20208"/>
    <w:rsid w:val="00E20C07"/>
    <w:rsid w:val="00E21161"/>
    <w:rsid w:val="00E211FF"/>
    <w:rsid w:val="00E21261"/>
    <w:rsid w:val="00E21674"/>
    <w:rsid w:val="00E21B55"/>
    <w:rsid w:val="00E21E00"/>
    <w:rsid w:val="00E21FB3"/>
    <w:rsid w:val="00E223E9"/>
    <w:rsid w:val="00E22834"/>
    <w:rsid w:val="00E22EA8"/>
    <w:rsid w:val="00E22EEB"/>
    <w:rsid w:val="00E22F71"/>
    <w:rsid w:val="00E22FD2"/>
    <w:rsid w:val="00E23147"/>
    <w:rsid w:val="00E23158"/>
    <w:rsid w:val="00E232DA"/>
    <w:rsid w:val="00E23827"/>
    <w:rsid w:val="00E23CA1"/>
    <w:rsid w:val="00E23D8B"/>
    <w:rsid w:val="00E244EB"/>
    <w:rsid w:val="00E252A5"/>
    <w:rsid w:val="00E252E2"/>
    <w:rsid w:val="00E2550C"/>
    <w:rsid w:val="00E259E0"/>
    <w:rsid w:val="00E26010"/>
    <w:rsid w:val="00E260F0"/>
    <w:rsid w:val="00E26444"/>
    <w:rsid w:val="00E268B2"/>
    <w:rsid w:val="00E26BC7"/>
    <w:rsid w:val="00E26C92"/>
    <w:rsid w:val="00E26E4B"/>
    <w:rsid w:val="00E27124"/>
    <w:rsid w:val="00E275BB"/>
    <w:rsid w:val="00E275DF"/>
    <w:rsid w:val="00E27959"/>
    <w:rsid w:val="00E27E85"/>
    <w:rsid w:val="00E27ED0"/>
    <w:rsid w:val="00E303E8"/>
    <w:rsid w:val="00E303E9"/>
    <w:rsid w:val="00E3079A"/>
    <w:rsid w:val="00E308EC"/>
    <w:rsid w:val="00E30B8C"/>
    <w:rsid w:val="00E314B5"/>
    <w:rsid w:val="00E314CC"/>
    <w:rsid w:val="00E31549"/>
    <w:rsid w:val="00E31A97"/>
    <w:rsid w:val="00E32079"/>
    <w:rsid w:val="00E321F9"/>
    <w:rsid w:val="00E323B1"/>
    <w:rsid w:val="00E323EC"/>
    <w:rsid w:val="00E3251C"/>
    <w:rsid w:val="00E328D5"/>
    <w:rsid w:val="00E32FE9"/>
    <w:rsid w:val="00E3312A"/>
    <w:rsid w:val="00E334EB"/>
    <w:rsid w:val="00E34359"/>
    <w:rsid w:val="00E34824"/>
    <w:rsid w:val="00E34959"/>
    <w:rsid w:val="00E3546E"/>
    <w:rsid w:val="00E361EA"/>
    <w:rsid w:val="00E363AC"/>
    <w:rsid w:val="00E3648A"/>
    <w:rsid w:val="00E367AF"/>
    <w:rsid w:val="00E36AA6"/>
    <w:rsid w:val="00E36D33"/>
    <w:rsid w:val="00E3711D"/>
    <w:rsid w:val="00E371AC"/>
    <w:rsid w:val="00E3730F"/>
    <w:rsid w:val="00E37698"/>
    <w:rsid w:val="00E379E5"/>
    <w:rsid w:val="00E40122"/>
    <w:rsid w:val="00E40231"/>
    <w:rsid w:val="00E407C1"/>
    <w:rsid w:val="00E409D1"/>
    <w:rsid w:val="00E41228"/>
    <w:rsid w:val="00E4136F"/>
    <w:rsid w:val="00E416F5"/>
    <w:rsid w:val="00E42680"/>
    <w:rsid w:val="00E42A0B"/>
    <w:rsid w:val="00E42CEE"/>
    <w:rsid w:val="00E42E48"/>
    <w:rsid w:val="00E4368B"/>
    <w:rsid w:val="00E43B8E"/>
    <w:rsid w:val="00E43CF1"/>
    <w:rsid w:val="00E44243"/>
    <w:rsid w:val="00E44797"/>
    <w:rsid w:val="00E447BA"/>
    <w:rsid w:val="00E448D7"/>
    <w:rsid w:val="00E44A74"/>
    <w:rsid w:val="00E44B33"/>
    <w:rsid w:val="00E44C81"/>
    <w:rsid w:val="00E44CF4"/>
    <w:rsid w:val="00E44DC9"/>
    <w:rsid w:val="00E4532D"/>
    <w:rsid w:val="00E453F6"/>
    <w:rsid w:val="00E45550"/>
    <w:rsid w:val="00E458CB"/>
    <w:rsid w:val="00E4597E"/>
    <w:rsid w:val="00E45D80"/>
    <w:rsid w:val="00E46280"/>
    <w:rsid w:val="00E46B98"/>
    <w:rsid w:val="00E47156"/>
    <w:rsid w:val="00E47606"/>
    <w:rsid w:val="00E47778"/>
    <w:rsid w:val="00E47D1C"/>
    <w:rsid w:val="00E5059B"/>
    <w:rsid w:val="00E50BD8"/>
    <w:rsid w:val="00E50CC5"/>
    <w:rsid w:val="00E50D9C"/>
    <w:rsid w:val="00E50F6B"/>
    <w:rsid w:val="00E513AC"/>
    <w:rsid w:val="00E513D2"/>
    <w:rsid w:val="00E51902"/>
    <w:rsid w:val="00E522AE"/>
    <w:rsid w:val="00E5242F"/>
    <w:rsid w:val="00E52680"/>
    <w:rsid w:val="00E52821"/>
    <w:rsid w:val="00E5283C"/>
    <w:rsid w:val="00E52F17"/>
    <w:rsid w:val="00E53167"/>
    <w:rsid w:val="00E5317D"/>
    <w:rsid w:val="00E535D9"/>
    <w:rsid w:val="00E53AE6"/>
    <w:rsid w:val="00E5417D"/>
    <w:rsid w:val="00E541E3"/>
    <w:rsid w:val="00E542DE"/>
    <w:rsid w:val="00E54353"/>
    <w:rsid w:val="00E54460"/>
    <w:rsid w:val="00E547D7"/>
    <w:rsid w:val="00E5484E"/>
    <w:rsid w:val="00E54B68"/>
    <w:rsid w:val="00E54BD6"/>
    <w:rsid w:val="00E54C0D"/>
    <w:rsid w:val="00E54C5F"/>
    <w:rsid w:val="00E55AF1"/>
    <w:rsid w:val="00E5661C"/>
    <w:rsid w:val="00E56B91"/>
    <w:rsid w:val="00E573FB"/>
    <w:rsid w:val="00E5756D"/>
    <w:rsid w:val="00E5768A"/>
    <w:rsid w:val="00E577EC"/>
    <w:rsid w:val="00E578A8"/>
    <w:rsid w:val="00E57DC2"/>
    <w:rsid w:val="00E604DF"/>
    <w:rsid w:val="00E604E1"/>
    <w:rsid w:val="00E60896"/>
    <w:rsid w:val="00E60F4A"/>
    <w:rsid w:val="00E61695"/>
    <w:rsid w:val="00E61ADA"/>
    <w:rsid w:val="00E61BB2"/>
    <w:rsid w:val="00E61C28"/>
    <w:rsid w:val="00E61F80"/>
    <w:rsid w:val="00E62392"/>
    <w:rsid w:val="00E62698"/>
    <w:rsid w:val="00E627AE"/>
    <w:rsid w:val="00E62963"/>
    <w:rsid w:val="00E62F8E"/>
    <w:rsid w:val="00E63848"/>
    <w:rsid w:val="00E63D02"/>
    <w:rsid w:val="00E63E24"/>
    <w:rsid w:val="00E63E57"/>
    <w:rsid w:val="00E64375"/>
    <w:rsid w:val="00E64422"/>
    <w:rsid w:val="00E644D5"/>
    <w:rsid w:val="00E64828"/>
    <w:rsid w:val="00E64E2E"/>
    <w:rsid w:val="00E6590D"/>
    <w:rsid w:val="00E65A8F"/>
    <w:rsid w:val="00E65E6F"/>
    <w:rsid w:val="00E6611D"/>
    <w:rsid w:val="00E667C8"/>
    <w:rsid w:val="00E66875"/>
    <w:rsid w:val="00E66983"/>
    <w:rsid w:val="00E66DE5"/>
    <w:rsid w:val="00E67692"/>
    <w:rsid w:val="00E67760"/>
    <w:rsid w:val="00E67A23"/>
    <w:rsid w:val="00E67C73"/>
    <w:rsid w:val="00E67F35"/>
    <w:rsid w:val="00E7019C"/>
    <w:rsid w:val="00E70A1D"/>
    <w:rsid w:val="00E70FCF"/>
    <w:rsid w:val="00E710A1"/>
    <w:rsid w:val="00E710A2"/>
    <w:rsid w:val="00E717DA"/>
    <w:rsid w:val="00E720C2"/>
    <w:rsid w:val="00E723E7"/>
    <w:rsid w:val="00E72404"/>
    <w:rsid w:val="00E7261C"/>
    <w:rsid w:val="00E727DF"/>
    <w:rsid w:val="00E72D52"/>
    <w:rsid w:val="00E732CB"/>
    <w:rsid w:val="00E73BE9"/>
    <w:rsid w:val="00E73E52"/>
    <w:rsid w:val="00E7418B"/>
    <w:rsid w:val="00E746E9"/>
    <w:rsid w:val="00E74F6A"/>
    <w:rsid w:val="00E75432"/>
    <w:rsid w:val="00E7549A"/>
    <w:rsid w:val="00E75DB2"/>
    <w:rsid w:val="00E761CD"/>
    <w:rsid w:val="00E7623E"/>
    <w:rsid w:val="00E7645B"/>
    <w:rsid w:val="00E76ECA"/>
    <w:rsid w:val="00E7749A"/>
    <w:rsid w:val="00E779B7"/>
    <w:rsid w:val="00E77B5C"/>
    <w:rsid w:val="00E77CEB"/>
    <w:rsid w:val="00E8007A"/>
    <w:rsid w:val="00E80B9C"/>
    <w:rsid w:val="00E80BB6"/>
    <w:rsid w:val="00E80F29"/>
    <w:rsid w:val="00E8159F"/>
    <w:rsid w:val="00E817CA"/>
    <w:rsid w:val="00E81AAA"/>
    <w:rsid w:val="00E82377"/>
    <w:rsid w:val="00E82643"/>
    <w:rsid w:val="00E827CA"/>
    <w:rsid w:val="00E8299D"/>
    <w:rsid w:val="00E82D15"/>
    <w:rsid w:val="00E82D77"/>
    <w:rsid w:val="00E82ECF"/>
    <w:rsid w:val="00E832B8"/>
    <w:rsid w:val="00E834F3"/>
    <w:rsid w:val="00E8396D"/>
    <w:rsid w:val="00E83D27"/>
    <w:rsid w:val="00E83D7D"/>
    <w:rsid w:val="00E84146"/>
    <w:rsid w:val="00E84164"/>
    <w:rsid w:val="00E849B5"/>
    <w:rsid w:val="00E84CDF"/>
    <w:rsid w:val="00E84FAA"/>
    <w:rsid w:val="00E85332"/>
    <w:rsid w:val="00E8547E"/>
    <w:rsid w:val="00E8576C"/>
    <w:rsid w:val="00E85A42"/>
    <w:rsid w:val="00E85B14"/>
    <w:rsid w:val="00E85D88"/>
    <w:rsid w:val="00E85D96"/>
    <w:rsid w:val="00E86185"/>
    <w:rsid w:val="00E861A0"/>
    <w:rsid w:val="00E864F3"/>
    <w:rsid w:val="00E86886"/>
    <w:rsid w:val="00E86B2B"/>
    <w:rsid w:val="00E86CF7"/>
    <w:rsid w:val="00E86D12"/>
    <w:rsid w:val="00E86E21"/>
    <w:rsid w:val="00E870AE"/>
    <w:rsid w:val="00E871C8"/>
    <w:rsid w:val="00E879AE"/>
    <w:rsid w:val="00E87BEF"/>
    <w:rsid w:val="00E87D5D"/>
    <w:rsid w:val="00E90479"/>
    <w:rsid w:val="00E904FE"/>
    <w:rsid w:val="00E90531"/>
    <w:rsid w:val="00E908F4"/>
    <w:rsid w:val="00E91286"/>
    <w:rsid w:val="00E913C2"/>
    <w:rsid w:val="00E91EFA"/>
    <w:rsid w:val="00E92469"/>
    <w:rsid w:val="00E928C1"/>
    <w:rsid w:val="00E928D7"/>
    <w:rsid w:val="00E92D98"/>
    <w:rsid w:val="00E9322F"/>
    <w:rsid w:val="00E93D5D"/>
    <w:rsid w:val="00E93E3B"/>
    <w:rsid w:val="00E93F70"/>
    <w:rsid w:val="00E9406A"/>
    <w:rsid w:val="00E949C2"/>
    <w:rsid w:val="00E94BE1"/>
    <w:rsid w:val="00E94CE6"/>
    <w:rsid w:val="00E94E84"/>
    <w:rsid w:val="00E950A2"/>
    <w:rsid w:val="00E950E4"/>
    <w:rsid w:val="00E95117"/>
    <w:rsid w:val="00E95C92"/>
    <w:rsid w:val="00E95D73"/>
    <w:rsid w:val="00E95E4C"/>
    <w:rsid w:val="00E965D6"/>
    <w:rsid w:val="00E968D8"/>
    <w:rsid w:val="00E96DEF"/>
    <w:rsid w:val="00E975C4"/>
    <w:rsid w:val="00E97633"/>
    <w:rsid w:val="00E97C63"/>
    <w:rsid w:val="00E97FE4"/>
    <w:rsid w:val="00EA0420"/>
    <w:rsid w:val="00EA0940"/>
    <w:rsid w:val="00EA11AE"/>
    <w:rsid w:val="00EA15D3"/>
    <w:rsid w:val="00EA1C42"/>
    <w:rsid w:val="00EA20A8"/>
    <w:rsid w:val="00EA2964"/>
    <w:rsid w:val="00EA2A12"/>
    <w:rsid w:val="00EA2FB5"/>
    <w:rsid w:val="00EA334A"/>
    <w:rsid w:val="00EA3493"/>
    <w:rsid w:val="00EA3811"/>
    <w:rsid w:val="00EA38CB"/>
    <w:rsid w:val="00EA3B01"/>
    <w:rsid w:val="00EA3D2F"/>
    <w:rsid w:val="00EA415E"/>
    <w:rsid w:val="00EA4497"/>
    <w:rsid w:val="00EA46F8"/>
    <w:rsid w:val="00EA47E2"/>
    <w:rsid w:val="00EA4A48"/>
    <w:rsid w:val="00EA4AA1"/>
    <w:rsid w:val="00EA601D"/>
    <w:rsid w:val="00EA60FB"/>
    <w:rsid w:val="00EA6756"/>
    <w:rsid w:val="00EA67D6"/>
    <w:rsid w:val="00EA6DB4"/>
    <w:rsid w:val="00EA6E13"/>
    <w:rsid w:val="00EA6ED3"/>
    <w:rsid w:val="00EA6EF2"/>
    <w:rsid w:val="00EA713B"/>
    <w:rsid w:val="00EA7226"/>
    <w:rsid w:val="00EA7427"/>
    <w:rsid w:val="00EA744E"/>
    <w:rsid w:val="00EA7AA1"/>
    <w:rsid w:val="00EA7D32"/>
    <w:rsid w:val="00EB0477"/>
    <w:rsid w:val="00EB1012"/>
    <w:rsid w:val="00EB15E2"/>
    <w:rsid w:val="00EB19D5"/>
    <w:rsid w:val="00EB1A59"/>
    <w:rsid w:val="00EB1DF2"/>
    <w:rsid w:val="00EB1EAC"/>
    <w:rsid w:val="00EB278D"/>
    <w:rsid w:val="00EB2B06"/>
    <w:rsid w:val="00EB2BF2"/>
    <w:rsid w:val="00EB303A"/>
    <w:rsid w:val="00EB326D"/>
    <w:rsid w:val="00EB3E52"/>
    <w:rsid w:val="00EB43F2"/>
    <w:rsid w:val="00EB475D"/>
    <w:rsid w:val="00EB4771"/>
    <w:rsid w:val="00EB4C09"/>
    <w:rsid w:val="00EB4D0D"/>
    <w:rsid w:val="00EB4DF8"/>
    <w:rsid w:val="00EB4E4B"/>
    <w:rsid w:val="00EB5050"/>
    <w:rsid w:val="00EB5057"/>
    <w:rsid w:val="00EB52E6"/>
    <w:rsid w:val="00EB54AF"/>
    <w:rsid w:val="00EB562B"/>
    <w:rsid w:val="00EB5B0B"/>
    <w:rsid w:val="00EB5B9B"/>
    <w:rsid w:val="00EB5C27"/>
    <w:rsid w:val="00EB5D11"/>
    <w:rsid w:val="00EB63D8"/>
    <w:rsid w:val="00EB68F2"/>
    <w:rsid w:val="00EB6D06"/>
    <w:rsid w:val="00EB6ED4"/>
    <w:rsid w:val="00EB70F7"/>
    <w:rsid w:val="00EB73C9"/>
    <w:rsid w:val="00EB7449"/>
    <w:rsid w:val="00EB77E4"/>
    <w:rsid w:val="00EC008B"/>
    <w:rsid w:val="00EC011F"/>
    <w:rsid w:val="00EC0836"/>
    <w:rsid w:val="00EC144A"/>
    <w:rsid w:val="00EC1A3D"/>
    <w:rsid w:val="00EC26A0"/>
    <w:rsid w:val="00EC285D"/>
    <w:rsid w:val="00EC2C2B"/>
    <w:rsid w:val="00EC324C"/>
    <w:rsid w:val="00EC35D4"/>
    <w:rsid w:val="00EC367F"/>
    <w:rsid w:val="00EC3723"/>
    <w:rsid w:val="00EC3AEA"/>
    <w:rsid w:val="00EC3FA0"/>
    <w:rsid w:val="00EC4035"/>
    <w:rsid w:val="00EC46B3"/>
    <w:rsid w:val="00EC47B2"/>
    <w:rsid w:val="00EC5A3B"/>
    <w:rsid w:val="00EC60F1"/>
    <w:rsid w:val="00EC6315"/>
    <w:rsid w:val="00EC684F"/>
    <w:rsid w:val="00EC69EC"/>
    <w:rsid w:val="00EC6FBA"/>
    <w:rsid w:val="00EC729D"/>
    <w:rsid w:val="00EC7365"/>
    <w:rsid w:val="00EC743F"/>
    <w:rsid w:val="00EC75F5"/>
    <w:rsid w:val="00EC7BCD"/>
    <w:rsid w:val="00EC7CCD"/>
    <w:rsid w:val="00ED00D9"/>
    <w:rsid w:val="00ED07F5"/>
    <w:rsid w:val="00ED08EC"/>
    <w:rsid w:val="00ED0AAB"/>
    <w:rsid w:val="00ED0BAD"/>
    <w:rsid w:val="00ED0D85"/>
    <w:rsid w:val="00ED0F82"/>
    <w:rsid w:val="00ED10FB"/>
    <w:rsid w:val="00ED135D"/>
    <w:rsid w:val="00ED13DE"/>
    <w:rsid w:val="00ED1455"/>
    <w:rsid w:val="00ED1ED0"/>
    <w:rsid w:val="00ED23DB"/>
    <w:rsid w:val="00ED2963"/>
    <w:rsid w:val="00ED29F4"/>
    <w:rsid w:val="00ED2AC7"/>
    <w:rsid w:val="00ED2B58"/>
    <w:rsid w:val="00ED2FF8"/>
    <w:rsid w:val="00ED313B"/>
    <w:rsid w:val="00ED32FF"/>
    <w:rsid w:val="00ED395E"/>
    <w:rsid w:val="00ED3AA8"/>
    <w:rsid w:val="00ED3CD7"/>
    <w:rsid w:val="00ED408E"/>
    <w:rsid w:val="00ED4199"/>
    <w:rsid w:val="00ED52DD"/>
    <w:rsid w:val="00ED5318"/>
    <w:rsid w:val="00ED5454"/>
    <w:rsid w:val="00ED5500"/>
    <w:rsid w:val="00ED55DF"/>
    <w:rsid w:val="00ED587B"/>
    <w:rsid w:val="00ED5DFC"/>
    <w:rsid w:val="00ED6DBD"/>
    <w:rsid w:val="00ED6ED1"/>
    <w:rsid w:val="00ED6EEA"/>
    <w:rsid w:val="00ED6F30"/>
    <w:rsid w:val="00ED700B"/>
    <w:rsid w:val="00ED73A8"/>
    <w:rsid w:val="00ED7556"/>
    <w:rsid w:val="00ED7627"/>
    <w:rsid w:val="00ED78F2"/>
    <w:rsid w:val="00ED7CF1"/>
    <w:rsid w:val="00EE003C"/>
    <w:rsid w:val="00EE00E0"/>
    <w:rsid w:val="00EE0128"/>
    <w:rsid w:val="00EE0654"/>
    <w:rsid w:val="00EE07A9"/>
    <w:rsid w:val="00EE0DB0"/>
    <w:rsid w:val="00EE0F0A"/>
    <w:rsid w:val="00EE1678"/>
    <w:rsid w:val="00EE1C98"/>
    <w:rsid w:val="00EE1D1A"/>
    <w:rsid w:val="00EE1DF3"/>
    <w:rsid w:val="00EE20D3"/>
    <w:rsid w:val="00EE212E"/>
    <w:rsid w:val="00EE2848"/>
    <w:rsid w:val="00EE2D1D"/>
    <w:rsid w:val="00EE38CD"/>
    <w:rsid w:val="00EE3B0B"/>
    <w:rsid w:val="00EE3C74"/>
    <w:rsid w:val="00EE3C94"/>
    <w:rsid w:val="00EE4561"/>
    <w:rsid w:val="00EE54EE"/>
    <w:rsid w:val="00EE5A6A"/>
    <w:rsid w:val="00EE7980"/>
    <w:rsid w:val="00EF001C"/>
    <w:rsid w:val="00EF01BE"/>
    <w:rsid w:val="00EF077D"/>
    <w:rsid w:val="00EF10C5"/>
    <w:rsid w:val="00EF1A8B"/>
    <w:rsid w:val="00EF1E22"/>
    <w:rsid w:val="00EF1EBA"/>
    <w:rsid w:val="00EF205B"/>
    <w:rsid w:val="00EF23B8"/>
    <w:rsid w:val="00EF24D8"/>
    <w:rsid w:val="00EF264C"/>
    <w:rsid w:val="00EF2701"/>
    <w:rsid w:val="00EF297B"/>
    <w:rsid w:val="00EF3190"/>
    <w:rsid w:val="00EF32EB"/>
    <w:rsid w:val="00EF3462"/>
    <w:rsid w:val="00EF3CC9"/>
    <w:rsid w:val="00EF4E3E"/>
    <w:rsid w:val="00EF53E6"/>
    <w:rsid w:val="00EF550D"/>
    <w:rsid w:val="00EF59B2"/>
    <w:rsid w:val="00EF59CB"/>
    <w:rsid w:val="00EF5AFF"/>
    <w:rsid w:val="00EF5E32"/>
    <w:rsid w:val="00EF5F12"/>
    <w:rsid w:val="00EF63C3"/>
    <w:rsid w:val="00EF648E"/>
    <w:rsid w:val="00EF6509"/>
    <w:rsid w:val="00EF6579"/>
    <w:rsid w:val="00EF6752"/>
    <w:rsid w:val="00EF6C0B"/>
    <w:rsid w:val="00EF739A"/>
    <w:rsid w:val="00EF7A63"/>
    <w:rsid w:val="00EF7BE1"/>
    <w:rsid w:val="00EF7EE1"/>
    <w:rsid w:val="00F0006F"/>
    <w:rsid w:val="00F00DE0"/>
    <w:rsid w:val="00F017BD"/>
    <w:rsid w:val="00F019C4"/>
    <w:rsid w:val="00F026A0"/>
    <w:rsid w:val="00F026DB"/>
    <w:rsid w:val="00F02796"/>
    <w:rsid w:val="00F02F2E"/>
    <w:rsid w:val="00F039B8"/>
    <w:rsid w:val="00F03BC2"/>
    <w:rsid w:val="00F04CED"/>
    <w:rsid w:val="00F04EAC"/>
    <w:rsid w:val="00F04FF8"/>
    <w:rsid w:val="00F0505A"/>
    <w:rsid w:val="00F0518C"/>
    <w:rsid w:val="00F051D6"/>
    <w:rsid w:val="00F05297"/>
    <w:rsid w:val="00F05442"/>
    <w:rsid w:val="00F05902"/>
    <w:rsid w:val="00F05D7C"/>
    <w:rsid w:val="00F060F9"/>
    <w:rsid w:val="00F063A6"/>
    <w:rsid w:val="00F0640A"/>
    <w:rsid w:val="00F0661C"/>
    <w:rsid w:val="00F06B7A"/>
    <w:rsid w:val="00F06BF0"/>
    <w:rsid w:val="00F06D15"/>
    <w:rsid w:val="00F06DEB"/>
    <w:rsid w:val="00F06FDB"/>
    <w:rsid w:val="00F07558"/>
    <w:rsid w:val="00F0758C"/>
    <w:rsid w:val="00F0762D"/>
    <w:rsid w:val="00F076B6"/>
    <w:rsid w:val="00F07771"/>
    <w:rsid w:val="00F079C8"/>
    <w:rsid w:val="00F07CF3"/>
    <w:rsid w:val="00F07F92"/>
    <w:rsid w:val="00F10391"/>
    <w:rsid w:val="00F10425"/>
    <w:rsid w:val="00F104E0"/>
    <w:rsid w:val="00F10978"/>
    <w:rsid w:val="00F10D20"/>
    <w:rsid w:val="00F10F32"/>
    <w:rsid w:val="00F10FA6"/>
    <w:rsid w:val="00F112AE"/>
    <w:rsid w:val="00F12200"/>
    <w:rsid w:val="00F1227D"/>
    <w:rsid w:val="00F1233B"/>
    <w:rsid w:val="00F12431"/>
    <w:rsid w:val="00F12EFB"/>
    <w:rsid w:val="00F12FE6"/>
    <w:rsid w:val="00F1307B"/>
    <w:rsid w:val="00F137C8"/>
    <w:rsid w:val="00F138C0"/>
    <w:rsid w:val="00F14283"/>
    <w:rsid w:val="00F142A7"/>
    <w:rsid w:val="00F144ED"/>
    <w:rsid w:val="00F14512"/>
    <w:rsid w:val="00F147BD"/>
    <w:rsid w:val="00F14800"/>
    <w:rsid w:val="00F149CD"/>
    <w:rsid w:val="00F14C41"/>
    <w:rsid w:val="00F14EB7"/>
    <w:rsid w:val="00F1502F"/>
    <w:rsid w:val="00F15095"/>
    <w:rsid w:val="00F15614"/>
    <w:rsid w:val="00F1561D"/>
    <w:rsid w:val="00F15750"/>
    <w:rsid w:val="00F15817"/>
    <w:rsid w:val="00F15D9E"/>
    <w:rsid w:val="00F1606B"/>
    <w:rsid w:val="00F162C7"/>
    <w:rsid w:val="00F16356"/>
    <w:rsid w:val="00F1645A"/>
    <w:rsid w:val="00F1675C"/>
    <w:rsid w:val="00F168DC"/>
    <w:rsid w:val="00F168E0"/>
    <w:rsid w:val="00F169B5"/>
    <w:rsid w:val="00F169E0"/>
    <w:rsid w:val="00F16E36"/>
    <w:rsid w:val="00F171C0"/>
    <w:rsid w:val="00F17715"/>
    <w:rsid w:val="00F17FC6"/>
    <w:rsid w:val="00F200F6"/>
    <w:rsid w:val="00F2081F"/>
    <w:rsid w:val="00F20A99"/>
    <w:rsid w:val="00F20C0D"/>
    <w:rsid w:val="00F216FB"/>
    <w:rsid w:val="00F2209A"/>
    <w:rsid w:val="00F22131"/>
    <w:rsid w:val="00F222BF"/>
    <w:rsid w:val="00F22390"/>
    <w:rsid w:val="00F224D8"/>
    <w:rsid w:val="00F2266D"/>
    <w:rsid w:val="00F22834"/>
    <w:rsid w:val="00F228C0"/>
    <w:rsid w:val="00F22E25"/>
    <w:rsid w:val="00F22E8B"/>
    <w:rsid w:val="00F23012"/>
    <w:rsid w:val="00F231DA"/>
    <w:rsid w:val="00F232A3"/>
    <w:rsid w:val="00F23B29"/>
    <w:rsid w:val="00F23C07"/>
    <w:rsid w:val="00F23C22"/>
    <w:rsid w:val="00F23CF9"/>
    <w:rsid w:val="00F2410A"/>
    <w:rsid w:val="00F24309"/>
    <w:rsid w:val="00F24404"/>
    <w:rsid w:val="00F24493"/>
    <w:rsid w:val="00F24637"/>
    <w:rsid w:val="00F2474C"/>
    <w:rsid w:val="00F24869"/>
    <w:rsid w:val="00F24BF8"/>
    <w:rsid w:val="00F24BFC"/>
    <w:rsid w:val="00F24EE3"/>
    <w:rsid w:val="00F25183"/>
    <w:rsid w:val="00F2536F"/>
    <w:rsid w:val="00F253B6"/>
    <w:rsid w:val="00F256F3"/>
    <w:rsid w:val="00F256F5"/>
    <w:rsid w:val="00F25794"/>
    <w:rsid w:val="00F2586F"/>
    <w:rsid w:val="00F259D1"/>
    <w:rsid w:val="00F25D83"/>
    <w:rsid w:val="00F262C6"/>
    <w:rsid w:val="00F2630E"/>
    <w:rsid w:val="00F2643E"/>
    <w:rsid w:val="00F26487"/>
    <w:rsid w:val="00F27162"/>
    <w:rsid w:val="00F27454"/>
    <w:rsid w:val="00F27A82"/>
    <w:rsid w:val="00F27CE1"/>
    <w:rsid w:val="00F302E7"/>
    <w:rsid w:val="00F303E4"/>
    <w:rsid w:val="00F30412"/>
    <w:rsid w:val="00F30D4F"/>
    <w:rsid w:val="00F30DB3"/>
    <w:rsid w:val="00F30E43"/>
    <w:rsid w:val="00F30E4A"/>
    <w:rsid w:val="00F311C1"/>
    <w:rsid w:val="00F3129A"/>
    <w:rsid w:val="00F31838"/>
    <w:rsid w:val="00F31A60"/>
    <w:rsid w:val="00F31D57"/>
    <w:rsid w:val="00F31DB5"/>
    <w:rsid w:val="00F31F5C"/>
    <w:rsid w:val="00F32672"/>
    <w:rsid w:val="00F32677"/>
    <w:rsid w:val="00F32979"/>
    <w:rsid w:val="00F32B55"/>
    <w:rsid w:val="00F32F15"/>
    <w:rsid w:val="00F33168"/>
    <w:rsid w:val="00F34156"/>
    <w:rsid w:val="00F342CA"/>
    <w:rsid w:val="00F34749"/>
    <w:rsid w:val="00F347D3"/>
    <w:rsid w:val="00F34CA6"/>
    <w:rsid w:val="00F35178"/>
    <w:rsid w:val="00F35362"/>
    <w:rsid w:val="00F358C7"/>
    <w:rsid w:val="00F35F8F"/>
    <w:rsid w:val="00F3621F"/>
    <w:rsid w:val="00F36320"/>
    <w:rsid w:val="00F36417"/>
    <w:rsid w:val="00F36C2F"/>
    <w:rsid w:val="00F37088"/>
    <w:rsid w:val="00F373DB"/>
    <w:rsid w:val="00F37573"/>
    <w:rsid w:val="00F37B5D"/>
    <w:rsid w:val="00F40389"/>
    <w:rsid w:val="00F40C43"/>
    <w:rsid w:val="00F40ECF"/>
    <w:rsid w:val="00F40F26"/>
    <w:rsid w:val="00F4198F"/>
    <w:rsid w:val="00F41A3B"/>
    <w:rsid w:val="00F41B00"/>
    <w:rsid w:val="00F41D4E"/>
    <w:rsid w:val="00F41F16"/>
    <w:rsid w:val="00F4259E"/>
    <w:rsid w:val="00F42849"/>
    <w:rsid w:val="00F4289C"/>
    <w:rsid w:val="00F42ACA"/>
    <w:rsid w:val="00F42F01"/>
    <w:rsid w:val="00F430A3"/>
    <w:rsid w:val="00F4312E"/>
    <w:rsid w:val="00F4315D"/>
    <w:rsid w:val="00F4318B"/>
    <w:rsid w:val="00F43298"/>
    <w:rsid w:val="00F4329D"/>
    <w:rsid w:val="00F43426"/>
    <w:rsid w:val="00F44020"/>
    <w:rsid w:val="00F44526"/>
    <w:rsid w:val="00F44BC7"/>
    <w:rsid w:val="00F44C5C"/>
    <w:rsid w:val="00F44E12"/>
    <w:rsid w:val="00F4506A"/>
    <w:rsid w:val="00F4557A"/>
    <w:rsid w:val="00F45D07"/>
    <w:rsid w:val="00F46EAF"/>
    <w:rsid w:val="00F4746C"/>
    <w:rsid w:val="00F474FA"/>
    <w:rsid w:val="00F503F2"/>
    <w:rsid w:val="00F50791"/>
    <w:rsid w:val="00F50931"/>
    <w:rsid w:val="00F50B1D"/>
    <w:rsid w:val="00F50D4E"/>
    <w:rsid w:val="00F5131B"/>
    <w:rsid w:val="00F51A69"/>
    <w:rsid w:val="00F52197"/>
    <w:rsid w:val="00F52747"/>
    <w:rsid w:val="00F52D15"/>
    <w:rsid w:val="00F53199"/>
    <w:rsid w:val="00F5346D"/>
    <w:rsid w:val="00F539AD"/>
    <w:rsid w:val="00F539FD"/>
    <w:rsid w:val="00F53CD6"/>
    <w:rsid w:val="00F5408F"/>
    <w:rsid w:val="00F54497"/>
    <w:rsid w:val="00F54568"/>
    <w:rsid w:val="00F54860"/>
    <w:rsid w:val="00F54A69"/>
    <w:rsid w:val="00F54DB3"/>
    <w:rsid w:val="00F54DFC"/>
    <w:rsid w:val="00F54F26"/>
    <w:rsid w:val="00F54FAD"/>
    <w:rsid w:val="00F5591D"/>
    <w:rsid w:val="00F559AD"/>
    <w:rsid w:val="00F55C4A"/>
    <w:rsid w:val="00F55CC8"/>
    <w:rsid w:val="00F55F9F"/>
    <w:rsid w:val="00F55FDF"/>
    <w:rsid w:val="00F5605D"/>
    <w:rsid w:val="00F56428"/>
    <w:rsid w:val="00F5651A"/>
    <w:rsid w:val="00F56BCD"/>
    <w:rsid w:val="00F56C2E"/>
    <w:rsid w:val="00F57577"/>
    <w:rsid w:val="00F579AB"/>
    <w:rsid w:val="00F579F7"/>
    <w:rsid w:val="00F601D6"/>
    <w:rsid w:val="00F60A83"/>
    <w:rsid w:val="00F60A97"/>
    <w:rsid w:val="00F60AFB"/>
    <w:rsid w:val="00F60C3D"/>
    <w:rsid w:val="00F60D9C"/>
    <w:rsid w:val="00F60E73"/>
    <w:rsid w:val="00F61296"/>
    <w:rsid w:val="00F61472"/>
    <w:rsid w:val="00F6153F"/>
    <w:rsid w:val="00F61556"/>
    <w:rsid w:val="00F616F4"/>
    <w:rsid w:val="00F619BD"/>
    <w:rsid w:val="00F61D10"/>
    <w:rsid w:val="00F61E40"/>
    <w:rsid w:val="00F62216"/>
    <w:rsid w:val="00F622C5"/>
    <w:rsid w:val="00F62CE1"/>
    <w:rsid w:val="00F63155"/>
    <w:rsid w:val="00F63C0D"/>
    <w:rsid w:val="00F64198"/>
    <w:rsid w:val="00F6444A"/>
    <w:rsid w:val="00F64492"/>
    <w:rsid w:val="00F645B6"/>
    <w:rsid w:val="00F6497E"/>
    <w:rsid w:val="00F64EA7"/>
    <w:rsid w:val="00F64F46"/>
    <w:rsid w:val="00F661C6"/>
    <w:rsid w:val="00F6628A"/>
    <w:rsid w:val="00F66535"/>
    <w:rsid w:val="00F6666B"/>
    <w:rsid w:val="00F66E64"/>
    <w:rsid w:val="00F6716C"/>
    <w:rsid w:val="00F67352"/>
    <w:rsid w:val="00F700BC"/>
    <w:rsid w:val="00F701B5"/>
    <w:rsid w:val="00F708CB"/>
    <w:rsid w:val="00F70A4C"/>
    <w:rsid w:val="00F70A78"/>
    <w:rsid w:val="00F70D56"/>
    <w:rsid w:val="00F713C4"/>
    <w:rsid w:val="00F714CF"/>
    <w:rsid w:val="00F716F2"/>
    <w:rsid w:val="00F71785"/>
    <w:rsid w:val="00F71931"/>
    <w:rsid w:val="00F71B83"/>
    <w:rsid w:val="00F72246"/>
    <w:rsid w:val="00F7236B"/>
    <w:rsid w:val="00F72625"/>
    <w:rsid w:val="00F7269C"/>
    <w:rsid w:val="00F72DBB"/>
    <w:rsid w:val="00F72F28"/>
    <w:rsid w:val="00F731A3"/>
    <w:rsid w:val="00F731D1"/>
    <w:rsid w:val="00F7332F"/>
    <w:rsid w:val="00F736D9"/>
    <w:rsid w:val="00F73D95"/>
    <w:rsid w:val="00F73E65"/>
    <w:rsid w:val="00F73F71"/>
    <w:rsid w:val="00F74C54"/>
    <w:rsid w:val="00F74D64"/>
    <w:rsid w:val="00F7524E"/>
    <w:rsid w:val="00F75373"/>
    <w:rsid w:val="00F7572C"/>
    <w:rsid w:val="00F75794"/>
    <w:rsid w:val="00F75883"/>
    <w:rsid w:val="00F7686A"/>
    <w:rsid w:val="00F77089"/>
    <w:rsid w:val="00F774F8"/>
    <w:rsid w:val="00F77637"/>
    <w:rsid w:val="00F77669"/>
    <w:rsid w:val="00F80394"/>
    <w:rsid w:val="00F8074D"/>
    <w:rsid w:val="00F81077"/>
    <w:rsid w:val="00F811C4"/>
    <w:rsid w:val="00F81505"/>
    <w:rsid w:val="00F8162C"/>
    <w:rsid w:val="00F823F7"/>
    <w:rsid w:val="00F826E8"/>
    <w:rsid w:val="00F82924"/>
    <w:rsid w:val="00F829BA"/>
    <w:rsid w:val="00F82DF3"/>
    <w:rsid w:val="00F82E76"/>
    <w:rsid w:val="00F8302E"/>
    <w:rsid w:val="00F83080"/>
    <w:rsid w:val="00F83204"/>
    <w:rsid w:val="00F83668"/>
    <w:rsid w:val="00F8392A"/>
    <w:rsid w:val="00F841D1"/>
    <w:rsid w:val="00F843BF"/>
    <w:rsid w:val="00F84683"/>
    <w:rsid w:val="00F84795"/>
    <w:rsid w:val="00F84C62"/>
    <w:rsid w:val="00F84DC9"/>
    <w:rsid w:val="00F84FBC"/>
    <w:rsid w:val="00F853CD"/>
    <w:rsid w:val="00F85737"/>
    <w:rsid w:val="00F8574F"/>
    <w:rsid w:val="00F8588C"/>
    <w:rsid w:val="00F85981"/>
    <w:rsid w:val="00F85C41"/>
    <w:rsid w:val="00F8613A"/>
    <w:rsid w:val="00F866C4"/>
    <w:rsid w:val="00F86704"/>
    <w:rsid w:val="00F86A08"/>
    <w:rsid w:val="00F86F05"/>
    <w:rsid w:val="00F8787B"/>
    <w:rsid w:val="00F87B2E"/>
    <w:rsid w:val="00F87BB5"/>
    <w:rsid w:val="00F87BF4"/>
    <w:rsid w:val="00F87D14"/>
    <w:rsid w:val="00F87ED1"/>
    <w:rsid w:val="00F901EB"/>
    <w:rsid w:val="00F90856"/>
    <w:rsid w:val="00F90A04"/>
    <w:rsid w:val="00F90B3C"/>
    <w:rsid w:val="00F913AA"/>
    <w:rsid w:val="00F91A45"/>
    <w:rsid w:val="00F91A55"/>
    <w:rsid w:val="00F92738"/>
    <w:rsid w:val="00F92EF3"/>
    <w:rsid w:val="00F930B3"/>
    <w:rsid w:val="00F934D8"/>
    <w:rsid w:val="00F93515"/>
    <w:rsid w:val="00F93664"/>
    <w:rsid w:val="00F9368E"/>
    <w:rsid w:val="00F939B5"/>
    <w:rsid w:val="00F93B1A"/>
    <w:rsid w:val="00F942BD"/>
    <w:rsid w:val="00F94381"/>
    <w:rsid w:val="00F954B8"/>
    <w:rsid w:val="00F95539"/>
    <w:rsid w:val="00F95770"/>
    <w:rsid w:val="00F95A03"/>
    <w:rsid w:val="00F95FF9"/>
    <w:rsid w:val="00F9610D"/>
    <w:rsid w:val="00F965EB"/>
    <w:rsid w:val="00F966E8"/>
    <w:rsid w:val="00F96B34"/>
    <w:rsid w:val="00F96B67"/>
    <w:rsid w:val="00F97581"/>
    <w:rsid w:val="00F9769C"/>
    <w:rsid w:val="00F978FC"/>
    <w:rsid w:val="00F9798C"/>
    <w:rsid w:val="00F97FC5"/>
    <w:rsid w:val="00FA04EF"/>
    <w:rsid w:val="00FA0566"/>
    <w:rsid w:val="00FA0911"/>
    <w:rsid w:val="00FA0B02"/>
    <w:rsid w:val="00FA0DD3"/>
    <w:rsid w:val="00FA118A"/>
    <w:rsid w:val="00FA12E7"/>
    <w:rsid w:val="00FA1956"/>
    <w:rsid w:val="00FA1CF2"/>
    <w:rsid w:val="00FA242D"/>
    <w:rsid w:val="00FA258F"/>
    <w:rsid w:val="00FA289A"/>
    <w:rsid w:val="00FA2CB5"/>
    <w:rsid w:val="00FA302F"/>
    <w:rsid w:val="00FA3136"/>
    <w:rsid w:val="00FA327D"/>
    <w:rsid w:val="00FA36C6"/>
    <w:rsid w:val="00FA3B02"/>
    <w:rsid w:val="00FA4301"/>
    <w:rsid w:val="00FA4EA9"/>
    <w:rsid w:val="00FA5418"/>
    <w:rsid w:val="00FA55F1"/>
    <w:rsid w:val="00FA588B"/>
    <w:rsid w:val="00FA5C4D"/>
    <w:rsid w:val="00FA5CFE"/>
    <w:rsid w:val="00FA6071"/>
    <w:rsid w:val="00FA626E"/>
    <w:rsid w:val="00FA639A"/>
    <w:rsid w:val="00FA6AA3"/>
    <w:rsid w:val="00FA6ACD"/>
    <w:rsid w:val="00FA705D"/>
    <w:rsid w:val="00FA736A"/>
    <w:rsid w:val="00FA77CE"/>
    <w:rsid w:val="00FA7A79"/>
    <w:rsid w:val="00FB00B5"/>
    <w:rsid w:val="00FB0130"/>
    <w:rsid w:val="00FB056D"/>
    <w:rsid w:val="00FB067C"/>
    <w:rsid w:val="00FB06E8"/>
    <w:rsid w:val="00FB085D"/>
    <w:rsid w:val="00FB0D05"/>
    <w:rsid w:val="00FB0D20"/>
    <w:rsid w:val="00FB1090"/>
    <w:rsid w:val="00FB13E2"/>
    <w:rsid w:val="00FB1652"/>
    <w:rsid w:val="00FB17DF"/>
    <w:rsid w:val="00FB198D"/>
    <w:rsid w:val="00FB1BDD"/>
    <w:rsid w:val="00FB2146"/>
    <w:rsid w:val="00FB2A85"/>
    <w:rsid w:val="00FB2AFD"/>
    <w:rsid w:val="00FB2C27"/>
    <w:rsid w:val="00FB2D23"/>
    <w:rsid w:val="00FB3154"/>
    <w:rsid w:val="00FB31AF"/>
    <w:rsid w:val="00FB31B1"/>
    <w:rsid w:val="00FB3737"/>
    <w:rsid w:val="00FB37B4"/>
    <w:rsid w:val="00FB380A"/>
    <w:rsid w:val="00FB3CB9"/>
    <w:rsid w:val="00FB3EC0"/>
    <w:rsid w:val="00FB4900"/>
    <w:rsid w:val="00FB4AA1"/>
    <w:rsid w:val="00FB4C89"/>
    <w:rsid w:val="00FB4D9D"/>
    <w:rsid w:val="00FB4DED"/>
    <w:rsid w:val="00FB4FA6"/>
    <w:rsid w:val="00FB5373"/>
    <w:rsid w:val="00FB56C6"/>
    <w:rsid w:val="00FB5B43"/>
    <w:rsid w:val="00FB5C69"/>
    <w:rsid w:val="00FB5CDC"/>
    <w:rsid w:val="00FB610C"/>
    <w:rsid w:val="00FB6233"/>
    <w:rsid w:val="00FB67E2"/>
    <w:rsid w:val="00FB75DE"/>
    <w:rsid w:val="00FB7BFC"/>
    <w:rsid w:val="00FB7D56"/>
    <w:rsid w:val="00FB7F82"/>
    <w:rsid w:val="00FC00F0"/>
    <w:rsid w:val="00FC01B8"/>
    <w:rsid w:val="00FC0271"/>
    <w:rsid w:val="00FC0338"/>
    <w:rsid w:val="00FC097C"/>
    <w:rsid w:val="00FC09F4"/>
    <w:rsid w:val="00FC0B30"/>
    <w:rsid w:val="00FC0B99"/>
    <w:rsid w:val="00FC0BC9"/>
    <w:rsid w:val="00FC0D49"/>
    <w:rsid w:val="00FC186B"/>
    <w:rsid w:val="00FC203A"/>
    <w:rsid w:val="00FC2652"/>
    <w:rsid w:val="00FC28CC"/>
    <w:rsid w:val="00FC2B2F"/>
    <w:rsid w:val="00FC2CC6"/>
    <w:rsid w:val="00FC2FFE"/>
    <w:rsid w:val="00FC357B"/>
    <w:rsid w:val="00FC3C2A"/>
    <w:rsid w:val="00FC3E3F"/>
    <w:rsid w:val="00FC437E"/>
    <w:rsid w:val="00FC44EE"/>
    <w:rsid w:val="00FC44FA"/>
    <w:rsid w:val="00FC4646"/>
    <w:rsid w:val="00FC4B02"/>
    <w:rsid w:val="00FC4B4B"/>
    <w:rsid w:val="00FC4F8A"/>
    <w:rsid w:val="00FC50D4"/>
    <w:rsid w:val="00FC59AC"/>
    <w:rsid w:val="00FC630E"/>
    <w:rsid w:val="00FC64AA"/>
    <w:rsid w:val="00FC69DB"/>
    <w:rsid w:val="00FC6E5C"/>
    <w:rsid w:val="00FC70B9"/>
    <w:rsid w:val="00FC7C59"/>
    <w:rsid w:val="00FD0138"/>
    <w:rsid w:val="00FD020E"/>
    <w:rsid w:val="00FD04CA"/>
    <w:rsid w:val="00FD0561"/>
    <w:rsid w:val="00FD05D8"/>
    <w:rsid w:val="00FD0656"/>
    <w:rsid w:val="00FD0BA7"/>
    <w:rsid w:val="00FD0F32"/>
    <w:rsid w:val="00FD10C8"/>
    <w:rsid w:val="00FD1202"/>
    <w:rsid w:val="00FD1596"/>
    <w:rsid w:val="00FD1968"/>
    <w:rsid w:val="00FD1C58"/>
    <w:rsid w:val="00FD218E"/>
    <w:rsid w:val="00FD219F"/>
    <w:rsid w:val="00FD2287"/>
    <w:rsid w:val="00FD22D2"/>
    <w:rsid w:val="00FD2639"/>
    <w:rsid w:val="00FD27FE"/>
    <w:rsid w:val="00FD2F58"/>
    <w:rsid w:val="00FD2FCB"/>
    <w:rsid w:val="00FD34C1"/>
    <w:rsid w:val="00FD3604"/>
    <w:rsid w:val="00FD3656"/>
    <w:rsid w:val="00FD365A"/>
    <w:rsid w:val="00FD36A5"/>
    <w:rsid w:val="00FD3AE0"/>
    <w:rsid w:val="00FD3B28"/>
    <w:rsid w:val="00FD3F9B"/>
    <w:rsid w:val="00FD4024"/>
    <w:rsid w:val="00FD4028"/>
    <w:rsid w:val="00FD4565"/>
    <w:rsid w:val="00FD47C1"/>
    <w:rsid w:val="00FD4AD6"/>
    <w:rsid w:val="00FD4E2B"/>
    <w:rsid w:val="00FD4F59"/>
    <w:rsid w:val="00FD50F8"/>
    <w:rsid w:val="00FD5369"/>
    <w:rsid w:val="00FD5B6C"/>
    <w:rsid w:val="00FD5EFE"/>
    <w:rsid w:val="00FD60BD"/>
    <w:rsid w:val="00FD6499"/>
    <w:rsid w:val="00FD65B6"/>
    <w:rsid w:val="00FD67DA"/>
    <w:rsid w:val="00FD6B85"/>
    <w:rsid w:val="00FD6BC2"/>
    <w:rsid w:val="00FD6CA0"/>
    <w:rsid w:val="00FD7595"/>
    <w:rsid w:val="00FD7628"/>
    <w:rsid w:val="00FD78EE"/>
    <w:rsid w:val="00FD79D3"/>
    <w:rsid w:val="00FD7A31"/>
    <w:rsid w:val="00FE0870"/>
    <w:rsid w:val="00FE0E14"/>
    <w:rsid w:val="00FE199D"/>
    <w:rsid w:val="00FE1D83"/>
    <w:rsid w:val="00FE2067"/>
    <w:rsid w:val="00FE2806"/>
    <w:rsid w:val="00FE2848"/>
    <w:rsid w:val="00FE2B40"/>
    <w:rsid w:val="00FE2D1A"/>
    <w:rsid w:val="00FE314D"/>
    <w:rsid w:val="00FE33AB"/>
    <w:rsid w:val="00FE3811"/>
    <w:rsid w:val="00FE3837"/>
    <w:rsid w:val="00FE38E1"/>
    <w:rsid w:val="00FE3916"/>
    <w:rsid w:val="00FE4322"/>
    <w:rsid w:val="00FE4D25"/>
    <w:rsid w:val="00FE57E3"/>
    <w:rsid w:val="00FE5A2C"/>
    <w:rsid w:val="00FE5AFD"/>
    <w:rsid w:val="00FE5D2D"/>
    <w:rsid w:val="00FE6633"/>
    <w:rsid w:val="00FE6B5B"/>
    <w:rsid w:val="00FE6B94"/>
    <w:rsid w:val="00FE7414"/>
    <w:rsid w:val="00FE741D"/>
    <w:rsid w:val="00FE7455"/>
    <w:rsid w:val="00FE7A9B"/>
    <w:rsid w:val="00FE7FF0"/>
    <w:rsid w:val="00FF03AB"/>
    <w:rsid w:val="00FF0524"/>
    <w:rsid w:val="00FF0AAA"/>
    <w:rsid w:val="00FF0AE5"/>
    <w:rsid w:val="00FF0E00"/>
    <w:rsid w:val="00FF1714"/>
    <w:rsid w:val="00FF1878"/>
    <w:rsid w:val="00FF18F2"/>
    <w:rsid w:val="00FF1C4F"/>
    <w:rsid w:val="00FF2B9D"/>
    <w:rsid w:val="00FF2D44"/>
    <w:rsid w:val="00FF2F06"/>
    <w:rsid w:val="00FF2F79"/>
    <w:rsid w:val="00FF315C"/>
    <w:rsid w:val="00FF3245"/>
    <w:rsid w:val="00FF3993"/>
    <w:rsid w:val="00FF3A39"/>
    <w:rsid w:val="00FF3B54"/>
    <w:rsid w:val="00FF3B77"/>
    <w:rsid w:val="00FF3DF8"/>
    <w:rsid w:val="00FF3F10"/>
    <w:rsid w:val="00FF41F5"/>
    <w:rsid w:val="00FF45DE"/>
    <w:rsid w:val="00FF4D63"/>
    <w:rsid w:val="00FF4FA1"/>
    <w:rsid w:val="00FF5306"/>
    <w:rsid w:val="00FF5CD1"/>
    <w:rsid w:val="00FF5F0C"/>
    <w:rsid w:val="00FF6080"/>
    <w:rsid w:val="00FF6123"/>
    <w:rsid w:val="00FF64D7"/>
    <w:rsid w:val="00FF6565"/>
    <w:rsid w:val="00FF6591"/>
    <w:rsid w:val="00FF6861"/>
    <w:rsid w:val="00FF6CF9"/>
    <w:rsid w:val="00FF7A53"/>
    <w:rsid w:val="00FF7A7D"/>
    <w:rsid w:val="00FF7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1777"/>
    <o:shapelayout v:ext="edit">
      <o:idmap v:ext="edit" data="1"/>
    </o:shapelayout>
  </w:shapeDefaults>
  <w:decimalSymbol w:val="."/>
  <w:listSeparator w:val=","/>
  <w14:docId w14:val="4BE6D623"/>
  <w14:defaultImageDpi w14:val="32767"/>
  <w15:chartTrackingRefBased/>
  <w15:docId w15:val="{BF7DF555-3420-48C5-9938-CDD69311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69"/>
    <w:pPr>
      <w:spacing w:before="120" w:after="120" w:line="264" w:lineRule="auto"/>
    </w:pPr>
  </w:style>
  <w:style w:type="paragraph" w:styleId="Heading1">
    <w:name w:val="heading 1"/>
    <w:basedOn w:val="Normal"/>
    <w:next w:val="Normal"/>
    <w:link w:val="Heading1Char"/>
    <w:uiPriority w:val="9"/>
    <w:qFormat/>
    <w:rsid w:val="00DD7702"/>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A6E13"/>
    <w:pPr>
      <w:keepNext/>
      <w:keepLines/>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902B08"/>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974DED"/>
    <w:pPr>
      <w:keepNext/>
      <w:keepLines/>
      <w:outlineLvl w:val="3"/>
    </w:pPr>
    <w:rPr>
      <w:rFonts w:cs="Arial"/>
      <w:b/>
      <w:szCs w:val="22"/>
    </w:rPr>
  </w:style>
  <w:style w:type="paragraph" w:styleId="Heading5">
    <w:name w:val="heading 5"/>
    <w:basedOn w:val="Normal"/>
    <w:next w:val="Normal"/>
    <w:link w:val="Heading5Char"/>
    <w:uiPriority w:val="9"/>
    <w:unhideWhenUsed/>
    <w:qFormat/>
    <w:rsid w:val="00953564"/>
    <w:pPr>
      <w:keepNext/>
      <w:keepLines/>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702"/>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A6E13"/>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902B08"/>
    <w:rPr>
      <w:rFonts w:eastAsiaTheme="majorEastAsia" w:cstheme="majorBidi"/>
      <w:b/>
      <w:sz w:val="28"/>
    </w:rPr>
  </w:style>
  <w:style w:type="character" w:customStyle="1" w:styleId="Heading4Char">
    <w:name w:val="Heading 4 Char"/>
    <w:basedOn w:val="DefaultParagraphFont"/>
    <w:link w:val="Heading4"/>
    <w:uiPriority w:val="9"/>
    <w:rsid w:val="00974DED"/>
    <w:rPr>
      <w:rFonts w:cs="Arial"/>
      <w:b/>
      <w:szCs w:val="22"/>
    </w:rPr>
  </w:style>
  <w:style w:type="paragraph" w:styleId="Header">
    <w:name w:val="header"/>
    <w:basedOn w:val="Normal"/>
    <w:link w:val="HeaderChar"/>
    <w:uiPriority w:val="99"/>
    <w:unhideWhenUsed/>
    <w:rsid w:val="00773069"/>
    <w:pPr>
      <w:tabs>
        <w:tab w:val="center" w:pos="4513"/>
        <w:tab w:val="right" w:pos="9026"/>
      </w:tabs>
      <w:spacing w:line="240" w:lineRule="auto"/>
    </w:pPr>
  </w:style>
  <w:style w:type="character" w:customStyle="1" w:styleId="HeaderChar">
    <w:name w:val="Header Char"/>
    <w:basedOn w:val="DefaultParagraphFont"/>
    <w:link w:val="Header"/>
    <w:uiPriority w:val="99"/>
    <w:rsid w:val="00773069"/>
  </w:style>
  <w:style w:type="paragraph" w:styleId="Footer">
    <w:name w:val="footer"/>
    <w:basedOn w:val="Normal"/>
    <w:link w:val="FooterChar"/>
    <w:uiPriority w:val="99"/>
    <w:unhideWhenUsed/>
    <w:rsid w:val="00773069"/>
    <w:pPr>
      <w:tabs>
        <w:tab w:val="center" w:pos="4513"/>
        <w:tab w:val="right" w:pos="9026"/>
      </w:tabs>
      <w:spacing w:line="240" w:lineRule="auto"/>
    </w:pPr>
  </w:style>
  <w:style w:type="character" w:customStyle="1" w:styleId="FooterChar">
    <w:name w:val="Footer Char"/>
    <w:basedOn w:val="DefaultParagraphFont"/>
    <w:link w:val="Footer"/>
    <w:uiPriority w:val="99"/>
    <w:rsid w:val="00773069"/>
  </w:style>
  <w:style w:type="paragraph" w:styleId="NormalWeb">
    <w:name w:val="Normal (Web)"/>
    <w:basedOn w:val="Normal"/>
    <w:uiPriority w:val="99"/>
    <w:unhideWhenUsed/>
    <w:rsid w:val="00ED0D85"/>
    <w:pPr>
      <w:spacing w:before="100" w:beforeAutospacing="1" w:after="100" w:afterAutospacing="1" w:line="240" w:lineRule="auto"/>
    </w:pPr>
    <w:rPr>
      <w:rFonts w:ascii="Times New Roman" w:eastAsia="Times New Roman" w:hAnsi="Times New Roman" w:cs="Times New Roman"/>
      <w:sz w:val="34"/>
      <w:szCs w:val="34"/>
      <w:lang w:eastAsia="en-GB"/>
    </w:rPr>
  </w:style>
  <w:style w:type="character" w:styleId="Hyperlink">
    <w:name w:val="Hyperlink"/>
    <w:basedOn w:val="DefaultParagraphFont"/>
    <w:uiPriority w:val="99"/>
    <w:unhideWhenUsed/>
    <w:rsid w:val="00D74E71"/>
    <w:rPr>
      <w:color w:val="0563C1" w:themeColor="hyperlink"/>
      <w:u w:val="single"/>
    </w:rPr>
  </w:style>
  <w:style w:type="table" w:styleId="TableGrid">
    <w:name w:val="Table Grid"/>
    <w:basedOn w:val="TableNormal"/>
    <w:uiPriority w:val="39"/>
    <w:rsid w:val="00837A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Normal + indent,Dot pt,Recommendatio,F5 List Paragraph,List Paragraph2,MAIN CONTENT,List Paragraph12,List Paragraph1,Colorful List - Accent 11,No Spacing1,List Paragraph Char Char Char,Indicator Text,Numbered Para 1,Bullet 1"/>
    <w:basedOn w:val="Normal"/>
    <w:link w:val="ListParagraphChar"/>
    <w:uiPriority w:val="34"/>
    <w:qFormat/>
    <w:rsid w:val="00AD70AB"/>
    <w:pPr>
      <w:ind w:left="720"/>
      <w:contextualSpacing/>
    </w:pPr>
    <w:rPr>
      <w:rFonts w:asciiTheme="minorHAnsi" w:hAnsiTheme="minorHAnsi"/>
      <w:sz w:val="22"/>
    </w:rPr>
  </w:style>
  <w:style w:type="character" w:styleId="HTMLCode">
    <w:name w:val="HTML Code"/>
    <w:basedOn w:val="DefaultParagraphFont"/>
    <w:uiPriority w:val="99"/>
    <w:semiHidden/>
    <w:unhideWhenUsed/>
    <w:rsid w:val="00D7445A"/>
    <w:rPr>
      <w:rFonts w:ascii="Courier New" w:eastAsia="Times New Roman" w:hAnsi="Courier New" w:cs="Courier New"/>
      <w:sz w:val="20"/>
      <w:szCs w:val="20"/>
    </w:rPr>
  </w:style>
  <w:style w:type="paragraph" w:styleId="Revision">
    <w:name w:val="Revision"/>
    <w:hidden/>
    <w:uiPriority w:val="99"/>
    <w:semiHidden/>
    <w:rsid w:val="00CC34E9"/>
    <w:pPr>
      <w:spacing w:line="240" w:lineRule="auto"/>
    </w:pPr>
  </w:style>
  <w:style w:type="character" w:styleId="CommentReference">
    <w:name w:val="annotation reference"/>
    <w:basedOn w:val="DefaultParagraphFont"/>
    <w:uiPriority w:val="99"/>
    <w:semiHidden/>
    <w:unhideWhenUsed/>
    <w:rsid w:val="00CC34E9"/>
    <w:rPr>
      <w:sz w:val="16"/>
      <w:szCs w:val="16"/>
    </w:rPr>
  </w:style>
  <w:style w:type="paragraph" w:styleId="CommentText">
    <w:name w:val="annotation text"/>
    <w:basedOn w:val="Normal"/>
    <w:link w:val="CommentTextChar"/>
    <w:uiPriority w:val="99"/>
    <w:unhideWhenUsed/>
    <w:rsid w:val="00CC34E9"/>
    <w:pPr>
      <w:spacing w:line="240" w:lineRule="auto"/>
    </w:pPr>
    <w:rPr>
      <w:sz w:val="20"/>
      <w:szCs w:val="20"/>
    </w:rPr>
  </w:style>
  <w:style w:type="character" w:customStyle="1" w:styleId="CommentTextChar">
    <w:name w:val="Comment Text Char"/>
    <w:basedOn w:val="DefaultParagraphFont"/>
    <w:link w:val="CommentText"/>
    <w:uiPriority w:val="99"/>
    <w:rsid w:val="00CC34E9"/>
    <w:rPr>
      <w:sz w:val="20"/>
      <w:szCs w:val="20"/>
    </w:rPr>
  </w:style>
  <w:style w:type="paragraph" w:styleId="CommentSubject">
    <w:name w:val="annotation subject"/>
    <w:basedOn w:val="CommentText"/>
    <w:next w:val="CommentText"/>
    <w:link w:val="CommentSubjectChar"/>
    <w:uiPriority w:val="99"/>
    <w:semiHidden/>
    <w:unhideWhenUsed/>
    <w:rsid w:val="00CC34E9"/>
    <w:rPr>
      <w:b/>
      <w:bCs/>
    </w:rPr>
  </w:style>
  <w:style w:type="character" w:customStyle="1" w:styleId="CommentSubjectChar">
    <w:name w:val="Comment Subject Char"/>
    <w:basedOn w:val="CommentTextChar"/>
    <w:link w:val="CommentSubject"/>
    <w:uiPriority w:val="99"/>
    <w:semiHidden/>
    <w:rsid w:val="00CC34E9"/>
    <w:rPr>
      <w:b/>
      <w:bCs/>
      <w:sz w:val="20"/>
      <w:szCs w:val="20"/>
    </w:rPr>
  </w:style>
  <w:style w:type="paragraph" w:styleId="BalloonText">
    <w:name w:val="Balloon Text"/>
    <w:basedOn w:val="Normal"/>
    <w:link w:val="BalloonTextChar"/>
    <w:uiPriority w:val="99"/>
    <w:semiHidden/>
    <w:unhideWhenUsed/>
    <w:rsid w:val="00CC34E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4E9"/>
    <w:rPr>
      <w:rFonts w:ascii="Segoe UI" w:hAnsi="Segoe UI" w:cs="Segoe UI"/>
      <w:sz w:val="18"/>
      <w:szCs w:val="18"/>
    </w:rPr>
  </w:style>
  <w:style w:type="paragraph" w:customStyle="1" w:styleId="Bullets">
    <w:name w:val="Bullets"/>
    <w:basedOn w:val="ListBullet"/>
    <w:next w:val="ListBullet"/>
    <w:link w:val="BulletsChar"/>
    <w:rsid w:val="002A5271"/>
    <w:pPr>
      <w:contextualSpacing w:val="0"/>
    </w:pPr>
    <w:rPr>
      <w:noProof/>
      <w:lang w:eastAsia="en-GB"/>
    </w:rPr>
  </w:style>
  <w:style w:type="paragraph" w:styleId="ListBullet">
    <w:name w:val="List Bullet"/>
    <w:basedOn w:val="Normal"/>
    <w:link w:val="ListBulletChar"/>
    <w:uiPriority w:val="99"/>
    <w:unhideWhenUsed/>
    <w:rsid w:val="007C3B39"/>
    <w:pPr>
      <w:numPr>
        <w:numId w:val="1"/>
      </w:numPr>
      <w:contextualSpacing/>
    </w:pPr>
  </w:style>
  <w:style w:type="character" w:customStyle="1" w:styleId="ListBulletChar">
    <w:name w:val="List Bullet Char"/>
    <w:basedOn w:val="DefaultParagraphFont"/>
    <w:link w:val="ListBullet"/>
    <w:uiPriority w:val="99"/>
    <w:rsid w:val="007C3B39"/>
  </w:style>
  <w:style w:type="character" w:customStyle="1" w:styleId="BulletsChar">
    <w:name w:val="Bullets Char"/>
    <w:basedOn w:val="ListBulletChar"/>
    <w:link w:val="Bullets"/>
    <w:rsid w:val="002A5271"/>
    <w:rPr>
      <w:noProof/>
      <w:lang w:eastAsia="en-GB"/>
    </w:rPr>
  </w:style>
  <w:style w:type="paragraph" w:customStyle="1" w:styleId="Bullet">
    <w:name w:val="Bullet"/>
    <w:basedOn w:val="Bullets"/>
    <w:next w:val="Bullets"/>
    <w:link w:val="BulletChar"/>
    <w:autoRedefine/>
    <w:rsid w:val="00635EE5"/>
    <w:pPr>
      <w:framePr w:hSpace="180" w:wrap="around" w:vAnchor="text" w:hAnchor="margin" w:y="15"/>
      <w:numPr>
        <w:numId w:val="0"/>
      </w:numPr>
    </w:pPr>
  </w:style>
  <w:style w:type="character" w:customStyle="1" w:styleId="BulletChar">
    <w:name w:val="Bullet Char"/>
    <w:basedOn w:val="BulletsChar"/>
    <w:link w:val="Bullet"/>
    <w:rsid w:val="00635EE5"/>
    <w:rPr>
      <w:noProof/>
      <w:lang w:eastAsia="en-GB"/>
    </w:rPr>
  </w:style>
  <w:style w:type="paragraph" w:styleId="TOCHeading">
    <w:name w:val="TOC Heading"/>
    <w:basedOn w:val="Heading1"/>
    <w:next w:val="Normal"/>
    <w:uiPriority w:val="39"/>
    <w:unhideWhenUsed/>
    <w:qFormat/>
    <w:rsid w:val="00556FD1"/>
    <w:p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556FD1"/>
    <w:pPr>
      <w:spacing w:after="100"/>
    </w:pPr>
  </w:style>
  <w:style w:type="paragraph" w:styleId="TOC2">
    <w:name w:val="toc 2"/>
    <w:basedOn w:val="Normal"/>
    <w:next w:val="Normal"/>
    <w:autoRedefine/>
    <w:uiPriority w:val="39"/>
    <w:unhideWhenUsed/>
    <w:rsid w:val="006E68E7"/>
    <w:pPr>
      <w:tabs>
        <w:tab w:val="right" w:leader="dot" w:pos="9736"/>
      </w:tabs>
      <w:spacing w:after="100"/>
      <w:ind w:left="240"/>
    </w:pPr>
  </w:style>
  <w:style w:type="paragraph" w:styleId="TOC3">
    <w:name w:val="toc 3"/>
    <w:basedOn w:val="Normal"/>
    <w:next w:val="Normal"/>
    <w:autoRedefine/>
    <w:uiPriority w:val="39"/>
    <w:unhideWhenUsed/>
    <w:rsid w:val="00D87E5E"/>
    <w:pPr>
      <w:tabs>
        <w:tab w:val="right" w:leader="dot" w:pos="9736"/>
      </w:tabs>
      <w:spacing w:after="100"/>
      <w:ind w:left="480"/>
    </w:pPr>
  </w:style>
  <w:style w:type="paragraph" w:styleId="ListBullet2">
    <w:name w:val="List Bullet 2"/>
    <w:basedOn w:val="Normal"/>
    <w:uiPriority w:val="99"/>
    <w:semiHidden/>
    <w:unhideWhenUsed/>
    <w:rsid w:val="00556FD1"/>
    <w:pPr>
      <w:numPr>
        <w:numId w:val="2"/>
      </w:numPr>
      <w:contextualSpacing/>
    </w:pPr>
  </w:style>
  <w:style w:type="character" w:styleId="Strong">
    <w:name w:val="Strong"/>
    <w:basedOn w:val="DefaultParagraphFont"/>
    <w:uiPriority w:val="22"/>
    <w:qFormat/>
    <w:rsid w:val="00953564"/>
    <w:rPr>
      <w:rFonts w:ascii="Arial" w:hAnsi="Arial"/>
      <w:b/>
      <w:bCs/>
      <w:color w:val="auto"/>
      <w:sz w:val="24"/>
    </w:rPr>
  </w:style>
  <w:style w:type="table" w:customStyle="1" w:styleId="TableGrid1">
    <w:name w:val="Table Grid1"/>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0BC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E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B6AD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1">
    <w:name w:val="Table Normal1"/>
    <w:basedOn w:val="Normal"/>
    <w:qFormat/>
    <w:rsid w:val="00834FF6"/>
    <w:rPr>
      <w:color w:val="FFFFFF" w:themeColor="background1"/>
      <w:szCs w:val="22"/>
    </w:rPr>
  </w:style>
  <w:style w:type="paragraph" w:customStyle="1" w:styleId="BulletTable">
    <w:name w:val="Bullet Table"/>
    <w:basedOn w:val="Bullets"/>
    <w:qFormat/>
    <w:rsid w:val="005564A9"/>
    <w:rPr>
      <w:szCs w:val="22"/>
    </w:rPr>
  </w:style>
  <w:style w:type="paragraph" w:customStyle="1" w:styleId="Bullet2">
    <w:name w:val="Bullet.2"/>
    <w:basedOn w:val="Bullet"/>
    <w:qFormat/>
    <w:rsid w:val="0087741A"/>
    <w:pPr>
      <w:framePr w:wrap="around"/>
    </w:pPr>
  </w:style>
  <w:style w:type="table" w:customStyle="1" w:styleId="TableGrid5">
    <w:name w:val="Table Grid5"/>
    <w:basedOn w:val="TableNormal"/>
    <w:next w:val="TableGrid"/>
    <w:uiPriority w:val="39"/>
    <w:rsid w:val="004F14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Heading2"/>
    <w:next w:val="Normal"/>
    <w:link w:val="ListNumber2Char"/>
    <w:autoRedefine/>
    <w:uiPriority w:val="99"/>
    <w:unhideWhenUsed/>
    <w:rsid w:val="00080C94"/>
    <w:pPr>
      <w:numPr>
        <w:ilvl w:val="1"/>
        <w:numId w:val="3"/>
      </w:numPr>
      <w:tabs>
        <w:tab w:val="clear" w:pos="1440"/>
        <w:tab w:val="num" w:pos="720"/>
      </w:tabs>
      <w:ind w:left="360" w:hanging="360"/>
      <w:contextualSpacing/>
    </w:pPr>
    <w:rPr>
      <w:rFonts w:eastAsia="Times New Roman" w:cs="Times New Roman"/>
      <w:color w:val="000000"/>
      <w:sz w:val="24"/>
    </w:rPr>
  </w:style>
  <w:style w:type="character" w:customStyle="1" w:styleId="ListNumber2Char">
    <w:name w:val="List Number 2 Char"/>
    <w:link w:val="ListNumber2"/>
    <w:uiPriority w:val="99"/>
    <w:rsid w:val="00080C94"/>
    <w:rPr>
      <w:rFonts w:eastAsia="Times New Roman" w:cs="Times New Roman"/>
      <w:b/>
      <w:color w:val="000000"/>
      <w:szCs w:val="26"/>
    </w:rPr>
  </w:style>
  <w:style w:type="character" w:styleId="FollowedHyperlink">
    <w:name w:val="FollowedHyperlink"/>
    <w:basedOn w:val="DefaultParagraphFont"/>
    <w:uiPriority w:val="99"/>
    <w:semiHidden/>
    <w:unhideWhenUsed/>
    <w:rsid w:val="00EF5E32"/>
    <w:rPr>
      <w:color w:val="954F72" w:themeColor="followedHyperlink"/>
      <w:u w:val="single"/>
    </w:rPr>
  </w:style>
  <w:style w:type="paragraph" w:customStyle="1" w:styleId="Heading4a">
    <w:name w:val="Heading 4a"/>
    <w:basedOn w:val="Heading4"/>
    <w:autoRedefine/>
    <w:uiPriority w:val="99"/>
    <w:qFormat/>
    <w:rsid w:val="00D24A03"/>
    <w:pPr>
      <w:shd w:val="clear" w:color="auto" w:fill="FFF2CC" w:themeFill="accent4" w:themeFillTint="33"/>
      <w:spacing w:before="40" w:after="40" w:line="240" w:lineRule="auto"/>
    </w:pPr>
    <w:rPr>
      <w:b w:val="0"/>
      <w:i/>
      <w:lang w:eastAsia="en-GB"/>
    </w:rPr>
  </w:style>
  <w:style w:type="paragraph" w:customStyle="1" w:styleId="Heading4e">
    <w:name w:val="Heading 4e"/>
    <w:basedOn w:val="Heading4a"/>
    <w:qFormat/>
    <w:rsid w:val="008067A1"/>
    <w:rPr>
      <w:b/>
      <w:color w:val="FFFFFF"/>
    </w:rPr>
  </w:style>
  <w:style w:type="paragraph" w:customStyle="1" w:styleId="Heading4f">
    <w:name w:val="Heading 4f"/>
    <w:basedOn w:val="Heading4e"/>
    <w:qFormat/>
    <w:rsid w:val="008067A1"/>
    <w:pPr>
      <w:jc w:val="center"/>
    </w:pPr>
    <w:rPr>
      <w:bCs/>
    </w:rPr>
  </w:style>
  <w:style w:type="paragraph" w:customStyle="1" w:styleId="Heading4ai">
    <w:name w:val="Heading 4ai"/>
    <w:basedOn w:val="Heading4a"/>
    <w:qFormat/>
    <w:rsid w:val="008067A1"/>
    <w:rPr>
      <w:i w:val="0"/>
      <w:sz w:val="22"/>
    </w:rPr>
  </w:style>
  <w:style w:type="character" w:customStyle="1" w:styleId="ListParagraphChar">
    <w:name w:val="List Paragraph Char"/>
    <w:aliases w:val="List Bullets Char,Normal + indent Char,Dot pt Char,Recommendatio Char,F5 List Paragraph Char,List Paragraph2 Char,MAIN CONTENT Char,List Paragraph12 Char,List Paragraph1 Char,Colorful List - Accent 11 Char,No Spacing1 Char"/>
    <w:link w:val="ListParagraph"/>
    <w:uiPriority w:val="34"/>
    <w:qFormat/>
    <w:locked/>
    <w:rsid w:val="009367B0"/>
    <w:rPr>
      <w:rFonts w:asciiTheme="minorHAnsi" w:hAnsiTheme="minorHAnsi"/>
      <w:sz w:val="22"/>
    </w:rPr>
  </w:style>
  <w:style w:type="paragraph" w:styleId="NoSpacing">
    <w:name w:val="No Spacing"/>
    <w:basedOn w:val="Normal"/>
    <w:uiPriority w:val="1"/>
    <w:qFormat/>
    <w:rsid w:val="003C77EC"/>
    <w:pPr>
      <w:spacing w:before="0" w:after="0" w:line="240" w:lineRule="auto"/>
    </w:pPr>
    <w:rPr>
      <w:rFonts w:ascii="Calibri" w:hAnsi="Calibri" w:cs="Calibri"/>
      <w:sz w:val="22"/>
      <w:szCs w:val="22"/>
    </w:rPr>
  </w:style>
  <w:style w:type="character" w:customStyle="1" w:styleId="ui-provider">
    <w:name w:val="ui-provider"/>
    <w:basedOn w:val="DefaultParagraphFont"/>
    <w:rsid w:val="003A66B3"/>
  </w:style>
  <w:style w:type="table" w:customStyle="1" w:styleId="TableGrid180">
    <w:name w:val="Table Grid180"/>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E03B4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0708C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A453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A04EF"/>
    <w:rPr>
      <w:color w:val="605E5C"/>
      <w:shd w:val="clear" w:color="auto" w:fill="E1DFDD"/>
    </w:rPr>
  </w:style>
  <w:style w:type="character" w:customStyle="1" w:styleId="fui-primitive">
    <w:name w:val="fui-primitive"/>
    <w:basedOn w:val="DefaultParagraphFont"/>
    <w:rsid w:val="00CA6CF3"/>
  </w:style>
  <w:style w:type="table" w:customStyle="1" w:styleId="TableGrid156">
    <w:name w:val="Table Grid156"/>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46314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2679C"/>
    <w:rPr>
      <w:color w:val="605E5C"/>
      <w:shd w:val="clear" w:color="auto" w:fill="E1DFDD"/>
    </w:rPr>
  </w:style>
  <w:style w:type="table" w:customStyle="1" w:styleId="TableGrid8">
    <w:name w:val="Table Grid8"/>
    <w:basedOn w:val="TableNormal"/>
    <w:next w:val="TableGrid"/>
    <w:uiPriority w:val="39"/>
    <w:rsid w:val="00D24A0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E367AF"/>
    <w:pPr>
      <w:autoSpaceDE w:val="0"/>
      <w:autoSpaceDN w:val="0"/>
      <w:adjustRightInd w:val="0"/>
      <w:spacing w:before="0" w:after="0" w:line="240" w:lineRule="auto"/>
    </w:pPr>
    <w:rPr>
      <w:rFonts w:asciiTheme="minorHAnsi" w:hAnsiTheme="minorHAnsi" w:cstheme="minorHAnsi"/>
      <w:color w:val="FF0000"/>
    </w:rPr>
  </w:style>
  <w:style w:type="character" w:customStyle="1" w:styleId="BodyTextChar">
    <w:name w:val="Body Text Char"/>
    <w:basedOn w:val="DefaultParagraphFont"/>
    <w:link w:val="BodyText"/>
    <w:uiPriority w:val="99"/>
    <w:rsid w:val="00E367AF"/>
    <w:rPr>
      <w:rFonts w:asciiTheme="minorHAnsi" w:hAnsiTheme="minorHAnsi" w:cstheme="minorHAnsi"/>
      <w:color w:val="FF0000"/>
    </w:rPr>
  </w:style>
  <w:style w:type="table" w:customStyle="1" w:styleId="TableGrid9">
    <w:name w:val="Table Grid9"/>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620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E543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532A2"/>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972D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07558"/>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HeaderLeft">
    <w:name w:val="Case Header Left"/>
    <w:basedOn w:val="TableNormal1"/>
    <w:qFormat/>
    <w:rsid w:val="00FC2CC6"/>
    <w:rPr>
      <w:b/>
      <w:color w:val="auto"/>
    </w:rPr>
  </w:style>
  <w:style w:type="paragraph" w:customStyle="1" w:styleId="TableHeaderCentre">
    <w:name w:val="Table Header Centre"/>
    <w:basedOn w:val="TableNormal1"/>
    <w:qFormat/>
    <w:rsid w:val="005C7704"/>
    <w:pPr>
      <w:jc w:val="center"/>
    </w:pPr>
    <w:rPr>
      <w:b/>
      <w:sz w:val="22"/>
    </w:rPr>
  </w:style>
  <w:style w:type="paragraph" w:customStyle="1" w:styleId="CaseBodyLeft">
    <w:name w:val="Case Body Left"/>
    <w:basedOn w:val="Normal"/>
    <w:qFormat/>
    <w:rsid w:val="00DF4DB3"/>
  </w:style>
  <w:style w:type="paragraph" w:customStyle="1" w:styleId="TableBodyCentre">
    <w:name w:val="Table Body Centre"/>
    <w:basedOn w:val="Normal"/>
    <w:qFormat/>
    <w:rsid w:val="000A23B6"/>
    <w:pPr>
      <w:jc w:val="center"/>
    </w:pPr>
    <w:rPr>
      <w:sz w:val="22"/>
    </w:rPr>
  </w:style>
  <w:style w:type="table" w:customStyle="1" w:styleId="TableGrid22">
    <w:name w:val="Table Grid22"/>
    <w:basedOn w:val="TableNormal"/>
    <w:next w:val="TableGrid"/>
    <w:uiPriority w:val="39"/>
    <w:rsid w:val="00700BC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5032A"/>
    <w:rPr>
      <w:color w:val="605E5C"/>
      <w:shd w:val="clear" w:color="auto" w:fill="E1DFDD"/>
    </w:rPr>
  </w:style>
  <w:style w:type="character" w:customStyle="1" w:styleId="Heading5Char">
    <w:name w:val="Heading 5 Char"/>
    <w:basedOn w:val="DefaultParagraphFont"/>
    <w:link w:val="Heading5"/>
    <w:uiPriority w:val="9"/>
    <w:rsid w:val="00953564"/>
    <w:rPr>
      <w:rFonts w:eastAsiaTheme="majorEastAsia" w:cstheme="majorBidi"/>
      <w:b/>
    </w:rPr>
  </w:style>
  <w:style w:type="table" w:customStyle="1" w:styleId="TableGrid23">
    <w:name w:val="Table Grid23"/>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454B"/>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F1BD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F0E6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B14E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5212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0021"/>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368DD"/>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29AC"/>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D4656"/>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C20D4"/>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B5B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E87BE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02720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CA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0AE5"/>
    <w:pPr>
      <w:spacing w:line="480" w:lineRule="auto"/>
    </w:pPr>
  </w:style>
  <w:style w:type="character" w:customStyle="1" w:styleId="BodyText2Char">
    <w:name w:val="Body Text 2 Char"/>
    <w:basedOn w:val="DefaultParagraphFont"/>
    <w:link w:val="BodyText2"/>
    <w:uiPriority w:val="99"/>
    <w:semiHidden/>
    <w:rsid w:val="00FF0AE5"/>
  </w:style>
  <w:style w:type="table" w:customStyle="1" w:styleId="TableGrid39">
    <w:name w:val="Table Grid39"/>
    <w:basedOn w:val="TableNormal"/>
    <w:next w:val="TableGrid"/>
    <w:uiPriority w:val="39"/>
    <w:rsid w:val="00D2343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68672B"/>
    <w:rPr>
      <w:color w:val="605E5C"/>
      <w:shd w:val="clear" w:color="auto" w:fill="E1DFDD"/>
    </w:rPr>
  </w:style>
  <w:style w:type="paragraph" w:styleId="FootnoteText">
    <w:name w:val="footnote text"/>
    <w:basedOn w:val="Normal"/>
    <w:link w:val="FootnoteTextChar"/>
    <w:uiPriority w:val="99"/>
    <w:semiHidden/>
    <w:unhideWhenUsed/>
    <w:rsid w:val="00AC03DE"/>
    <w:pPr>
      <w:spacing w:before="0"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AC03DE"/>
    <w:rPr>
      <w:rFonts w:asciiTheme="minorHAnsi" w:hAnsiTheme="minorHAnsi"/>
      <w:kern w:val="2"/>
      <w:sz w:val="20"/>
      <w:szCs w:val="20"/>
      <w14:ligatures w14:val="standardContextual"/>
    </w:rPr>
  </w:style>
  <w:style w:type="character" w:styleId="FootnoteReference">
    <w:name w:val="footnote reference"/>
    <w:basedOn w:val="DefaultParagraphFont"/>
    <w:uiPriority w:val="99"/>
    <w:semiHidden/>
    <w:unhideWhenUsed/>
    <w:rsid w:val="00AC03DE"/>
    <w:rPr>
      <w:vertAlign w:val="superscript"/>
    </w:rPr>
  </w:style>
  <w:style w:type="character" w:customStyle="1" w:styleId="UnresolvedMention5">
    <w:name w:val="Unresolved Mention5"/>
    <w:basedOn w:val="DefaultParagraphFont"/>
    <w:uiPriority w:val="99"/>
    <w:semiHidden/>
    <w:unhideWhenUsed/>
    <w:rsid w:val="00734754"/>
    <w:rPr>
      <w:color w:val="605E5C"/>
      <w:shd w:val="clear" w:color="auto" w:fill="E1DFDD"/>
    </w:rPr>
  </w:style>
  <w:style w:type="character" w:customStyle="1" w:styleId="UnresolvedMention6">
    <w:name w:val="Unresolved Mention6"/>
    <w:basedOn w:val="DefaultParagraphFont"/>
    <w:uiPriority w:val="99"/>
    <w:semiHidden/>
    <w:unhideWhenUsed/>
    <w:rsid w:val="0004519E"/>
    <w:rPr>
      <w:color w:val="605E5C"/>
      <w:shd w:val="clear" w:color="auto" w:fill="E1DFDD"/>
    </w:rPr>
  </w:style>
  <w:style w:type="character" w:customStyle="1" w:styleId="cf01">
    <w:name w:val="cf01"/>
    <w:basedOn w:val="DefaultParagraphFont"/>
    <w:rsid w:val="002717BD"/>
    <w:rPr>
      <w:rFonts w:ascii="Segoe UI" w:hAnsi="Segoe UI" w:cs="Segoe UI" w:hint="default"/>
      <w:sz w:val="18"/>
      <w:szCs w:val="18"/>
    </w:rPr>
  </w:style>
  <w:style w:type="character" w:styleId="UnresolvedMention">
    <w:name w:val="Unresolved Mention"/>
    <w:basedOn w:val="DefaultParagraphFont"/>
    <w:uiPriority w:val="99"/>
    <w:semiHidden/>
    <w:unhideWhenUsed/>
    <w:rsid w:val="00AD2423"/>
    <w:rPr>
      <w:color w:val="605E5C"/>
      <w:shd w:val="clear" w:color="auto" w:fill="E1DFDD"/>
    </w:rPr>
  </w:style>
  <w:style w:type="paragraph" w:customStyle="1" w:styleId="pf0">
    <w:name w:val="pf0"/>
    <w:basedOn w:val="Normal"/>
    <w:rsid w:val="0097596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11">
    <w:name w:val="cf11"/>
    <w:basedOn w:val="DefaultParagraphFont"/>
    <w:rsid w:val="0097596C"/>
    <w:rPr>
      <w:rFonts w:ascii="Segoe UI" w:hAnsi="Segoe UI" w:cs="Segoe UI" w:hint="default"/>
      <w:sz w:val="18"/>
      <w:szCs w:val="18"/>
      <w:vertAlign w:val="superscript"/>
    </w:rPr>
  </w:style>
  <w:style w:type="character" w:customStyle="1" w:styleId="cf21">
    <w:name w:val="cf21"/>
    <w:basedOn w:val="DefaultParagraphFont"/>
    <w:rsid w:val="0097596C"/>
    <w:rPr>
      <w:rFonts w:ascii="Segoe UI" w:hAnsi="Segoe UI" w:cs="Segoe UI" w:hint="default"/>
      <w:sz w:val="18"/>
      <w:szCs w:val="18"/>
      <w:vertAlign w:val="superscript"/>
    </w:rPr>
  </w:style>
  <w:style w:type="character" w:customStyle="1" w:styleId="ck-blurred">
    <w:name w:val="ck-blurred"/>
    <w:basedOn w:val="DefaultParagraphFont"/>
    <w:rsid w:val="00E60896"/>
  </w:style>
  <w:style w:type="paragraph" w:customStyle="1" w:styleId="ck-placeholder">
    <w:name w:val="ck-placeholder"/>
    <w:basedOn w:val="Normal"/>
    <w:rsid w:val="00E60896"/>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KPIPullOutSC">
    <w:name w:val="KPI Pull Out SC"/>
    <w:basedOn w:val="Heading4"/>
    <w:qFormat/>
    <w:rsid w:val="00974DED"/>
    <w:pPr>
      <w:shd w:val="clear" w:color="auto" w:fill="FFFFFF" w:themeFill="background1"/>
    </w:pPr>
    <w:rPr>
      <w:color w:val="196B24"/>
    </w:rPr>
  </w:style>
  <w:style w:type="paragraph" w:customStyle="1" w:styleId="KPIPullOutLC">
    <w:name w:val="KPI Pull Out LC"/>
    <w:basedOn w:val="Heading4"/>
    <w:qFormat/>
    <w:rsid w:val="00D400BD"/>
    <w:pPr>
      <w:spacing w:line="259" w:lineRule="auto"/>
    </w:pPr>
    <w:rPr>
      <w:color w:val="1F3864" w:themeColor="accent5" w:themeShade="80"/>
    </w:rPr>
  </w:style>
  <w:style w:type="paragraph" w:customStyle="1" w:styleId="KPIHeading3SC">
    <w:name w:val="KPI Heading 3 SC"/>
    <w:basedOn w:val="Normal"/>
    <w:qFormat/>
    <w:rsid w:val="00790B4E"/>
    <w:pPr>
      <w:pBdr>
        <w:top w:val="single" w:sz="18" w:space="1" w:color="2E74B5" w:themeColor="accent1" w:themeShade="BF"/>
        <w:bottom w:val="single" w:sz="18" w:space="1" w:color="2E74B5" w:themeColor="accent1" w:themeShade="BF"/>
      </w:pBdr>
    </w:pPr>
    <w:rPr>
      <w:b/>
      <w:bCs/>
      <w:color w:val="196B24"/>
      <w:sz w:val="28"/>
      <w:szCs w:val="28"/>
    </w:rPr>
  </w:style>
  <w:style w:type="paragraph" w:customStyle="1" w:styleId="KPIHeading4SV">
    <w:name w:val="KPI Heading 4 SV"/>
    <w:basedOn w:val="KPIPullOutLC"/>
    <w:qFormat/>
    <w:rsid w:val="00A62698"/>
    <w:rPr>
      <w:color w:val="7030A0"/>
    </w:rPr>
  </w:style>
  <w:style w:type="paragraph" w:customStyle="1" w:styleId="Heading4TW">
    <w:name w:val="Heading 4 TW"/>
    <w:basedOn w:val="KPIHeading4SV"/>
    <w:rsid w:val="00A62698"/>
    <w:rPr>
      <w:color w:val="C74D00"/>
    </w:rPr>
  </w:style>
  <w:style w:type="paragraph" w:customStyle="1" w:styleId="KeyInsightHeading">
    <w:name w:val="Key Insight Heading"/>
    <w:basedOn w:val="Normal"/>
    <w:qFormat/>
    <w:rsid w:val="008409B3"/>
    <w:pPr>
      <w:pBdr>
        <w:top w:val="single" w:sz="18" w:space="1" w:color="2E74B5" w:themeColor="accent1" w:themeShade="BF"/>
        <w:bottom w:val="single" w:sz="18" w:space="1" w:color="2E74B5" w:themeColor="accent1" w:themeShade="BF"/>
      </w:pBdr>
    </w:pPr>
    <w:rPr>
      <w:color w:val="2E74B5" w:themeColor="accent1" w:themeShade="BF"/>
      <w:sz w:val="28"/>
      <w:szCs w:val="28"/>
    </w:rPr>
  </w:style>
  <w:style w:type="paragraph" w:customStyle="1" w:styleId="KPIHeading3LC">
    <w:name w:val="KPI Heading 3 LC"/>
    <w:basedOn w:val="KPIHeading3SC"/>
    <w:qFormat/>
    <w:rsid w:val="008409B3"/>
    <w:rPr>
      <w:color w:val="1F3864" w:themeColor="accent5" w:themeShade="80"/>
    </w:rPr>
  </w:style>
  <w:style w:type="paragraph" w:customStyle="1" w:styleId="KPIHeading4SC">
    <w:name w:val="KPI Heading 4 SC"/>
    <w:basedOn w:val="Heading4"/>
    <w:qFormat/>
    <w:rsid w:val="00C754BB"/>
    <w:rPr>
      <w:color w:val="196B24"/>
    </w:rPr>
  </w:style>
  <w:style w:type="paragraph" w:customStyle="1" w:styleId="KPIHeading4LC">
    <w:name w:val="KPI Heading 4 LC"/>
    <w:basedOn w:val="KPIHeading4SC"/>
    <w:qFormat/>
    <w:rsid w:val="00C36AEC"/>
    <w:rPr>
      <w:color w:val="1F3864" w:themeColor="accent5" w:themeShade="80"/>
    </w:rPr>
  </w:style>
  <w:style w:type="paragraph" w:customStyle="1" w:styleId="KPIHeading3SV">
    <w:name w:val="KPI Heading 3 SV"/>
    <w:basedOn w:val="KPIHeading3LC"/>
    <w:qFormat/>
    <w:rsid w:val="00C36AEC"/>
    <w:rPr>
      <w:color w:val="7030A0"/>
    </w:rPr>
  </w:style>
  <w:style w:type="paragraph" w:customStyle="1" w:styleId="KPIPullOutSV">
    <w:name w:val="KPI Pull Out SV"/>
    <w:basedOn w:val="KPIHeading4SV"/>
    <w:qFormat/>
    <w:rsid w:val="00B61582"/>
  </w:style>
  <w:style w:type="paragraph" w:customStyle="1" w:styleId="KeyInsightPullOut">
    <w:name w:val="Key Insight Pull Out"/>
    <w:basedOn w:val="Heading4"/>
    <w:qFormat/>
    <w:rsid w:val="00524C01"/>
  </w:style>
  <w:style w:type="paragraph" w:customStyle="1" w:styleId="KPIHeading3TW">
    <w:name w:val="KPI Heading 3 TW"/>
    <w:basedOn w:val="KPIHeading3SV"/>
    <w:qFormat/>
    <w:rsid w:val="00794D39"/>
    <w:rPr>
      <w:color w:val="C74D00"/>
    </w:rPr>
  </w:style>
  <w:style w:type="paragraph" w:customStyle="1" w:styleId="KPIHeading4TW">
    <w:name w:val="KPI Heading 4 TW"/>
    <w:basedOn w:val="KPIHeading4SV"/>
    <w:qFormat/>
    <w:rsid w:val="00794D39"/>
    <w:rPr>
      <w:color w:val="C74D00"/>
      <w:lang w:eastAsia="en-GB"/>
    </w:rPr>
  </w:style>
  <w:style w:type="paragraph" w:customStyle="1" w:styleId="KPIPullOutTW">
    <w:name w:val="KPI Pull Out TW"/>
    <w:basedOn w:val="KPIPullOutSV"/>
    <w:qFormat/>
    <w:rsid w:val="008A609B"/>
    <w:rPr>
      <w:color w:val="C74D00"/>
    </w:rPr>
  </w:style>
  <w:style w:type="paragraph" w:customStyle="1" w:styleId="ExecSummaryHeading">
    <w:name w:val="Exec Summary Heading"/>
    <w:basedOn w:val="Heading4"/>
    <w:qFormat/>
    <w:rsid w:val="003B6AE6"/>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241">
      <w:bodyDiv w:val="1"/>
      <w:marLeft w:val="0"/>
      <w:marRight w:val="0"/>
      <w:marTop w:val="0"/>
      <w:marBottom w:val="0"/>
      <w:divBdr>
        <w:top w:val="none" w:sz="0" w:space="0" w:color="auto"/>
        <w:left w:val="none" w:sz="0" w:space="0" w:color="auto"/>
        <w:bottom w:val="none" w:sz="0" w:space="0" w:color="auto"/>
        <w:right w:val="none" w:sz="0" w:space="0" w:color="auto"/>
      </w:divBdr>
    </w:div>
    <w:div w:id="28456058">
      <w:bodyDiv w:val="1"/>
      <w:marLeft w:val="0"/>
      <w:marRight w:val="0"/>
      <w:marTop w:val="0"/>
      <w:marBottom w:val="0"/>
      <w:divBdr>
        <w:top w:val="none" w:sz="0" w:space="0" w:color="auto"/>
        <w:left w:val="none" w:sz="0" w:space="0" w:color="auto"/>
        <w:bottom w:val="none" w:sz="0" w:space="0" w:color="auto"/>
        <w:right w:val="none" w:sz="0" w:space="0" w:color="auto"/>
      </w:divBdr>
    </w:div>
    <w:div w:id="33965398">
      <w:bodyDiv w:val="1"/>
      <w:marLeft w:val="0"/>
      <w:marRight w:val="0"/>
      <w:marTop w:val="0"/>
      <w:marBottom w:val="0"/>
      <w:divBdr>
        <w:top w:val="none" w:sz="0" w:space="0" w:color="auto"/>
        <w:left w:val="none" w:sz="0" w:space="0" w:color="auto"/>
        <w:bottom w:val="none" w:sz="0" w:space="0" w:color="auto"/>
        <w:right w:val="none" w:sz="0" w:space="0" w:color="auto"/>
      </w:divBdr>
    </w:div>
    <w:div w:id="40911475">
      <w:bodyDiv w:val="1"/>
      <w:marLeft w:val="0"/>
      <w:marRight w:val="0"/>
      <w:marTop w:val="0"/>
      <w:marBottom w:val="0"/>
      <w:divBdr>
        <w:top w:val="none" w:sz="0" w:space="0" w:color="auto"/>
        <w:left w:val="none" w:sz="0" w:space="0" w:color="auto"/>
        <w:bottom w:val="none" w:sz="0" w:space="0" w:color="auto"/>
        <w:right w:val="none" w:sz="0" w:space="0" w:color="auto"/>
      </w:divBdr>
    </w:div>
    <w:div w:id="47732969">
      <w:bodyDiv w:val="1"/>
      <w:marLeft w:val="0"/>
      <w:marRight w:val="0"/>
      <w:marTop w:val="0"/>
      <w:marBottom w:val="0"/>
      <w:divBdr>
        <w:top w:val="none" w:sz="0" w:space="0" w:color="auto"/>
        <w:left w:val="none" w:sz="0" w:space="0" w:color="auto"/>
        <w:bottom w:val="none" w:sz="0" w:space="0" w:color="auto"/>
        <w:right w:val="none" w:sz="0" w:space="0" w:color="auto"/>
      </w:divBdr>
    </w:div>
    <w:div w:id="51462477">
      <w:bodyDiv w:val="1"/>
      <w:marLeft w:val="0"/>
      <w:marRight w:val="0"/>
      <w:marTop w:val="0"/>
      <w:marBottom w:val="0"/>
      <w:divBdr>
        <w:top w:val="none" w:sz="0" w:space="0" w:color="auto"/>
        <w:left w:val="none" w:sz="0" w:space="0" w:color="auto"/>
        <w:bottom w:val="none" w:sz="0" w:space="0" w:color="auto"/>
        <w:right w:val="none" w:sz="0" w:space="0" w:color="auto"/>
      </w:divBdr>
    </w:div>
    <w:div w:id="60450931">
      <w:bodyDiv w:val="1"/>
      <w:marLeft w:val="0"/>
      <w:marRight w:val="0"/>
      <w:marTop w:val="0"/>
      <w:marBottom w:val="0"/>
      <w:divBdr>
        <w:top w:val="none" w:sz="0" w:space="0" w:color="auto"/>
        <w:left w:val="none" w:sz="0" w:space="0" w:color="auto"/>
        <w:bottom w:val="none" w:sz="0" w:space="0" w:color="auto"/>
        <w:right w:val="none" w:sz="0" w:space="0" w:color="auto"/>
      </w:divBdr>
    </w:div>
    <w:div w:id="61100467">
      <w:bodyDiv w:val="1"/>
      <w:marLeft w:val="0"/>
      <w:marRight w:val="0"/>
      <w:marTop w:val="0"/>
      <w:marBottom w:val="0"/>
      <w:divBdr>
        <w:top w:val="none" w:sz="0" w:space="0" w:color="auto"/>
        <w:left w:val="none" w:sz="0" w:space="0" w:color="auto"/>
        <w:bottom w:val="none" w:sz="0" w:space="0" w:color="auto"/>
        <w:right w:val="none" w:sz="0" w:space="0" w:color="auto"/>
      </w:divBdr>
    </w:div>
    <w:div w:id="62022889">
      <w:bodyDiv w:val="1"/>
      <w:marLeft w:val="0"/>
      <w:marRight w:val="0"/>
      <w:marTop w:val="0"/>
      <w:marBottom w:val="0"/>
      <w:divBdr>
        <w:top w:val="none" w:sz="0" w:space="0" w:color="auto"/>
        <w:left w:val="none" w:sz="0" w:space="0" w:color="auto"/>
        <w:bottom w:val="none" w:sz="0" w:space="0" w:color="auto"/>
        <w:right w:val="none" w:sz="0" w:space="0" w:color="auto"/>
      </w:divBdr>
    </w:div>
    <w:div w:id="71202098">
      <w:bodyDiv w:val="1"/>
      <w:marLeft w:val="0"/>
      <w:marRight w:val="0"/>
      <w:marTop w:val="0"/>
      <w:marBottom w:val="0"/>
      <w:divBdr>
        <w:top w:val="none" w:sz="0" w:space="0" w:color="auto"/>
        <w:left w:val="none" w:sz="0" w:space="0" w:color="auto"/>
        <w:bottom w:val="none" w:sz="0" w:space="0" w:color="auto"/>
        <w:right w:val="none" w:sz="0" w:space="0" w:color="auto"/>
      </w:divBdr>
    </w:div>
    <w:div w:id="76026333">
      <w:bodyDiv w:val="1"/>
      <w:marLeft w:val="0"/>
      <w:marRight w:val="0"/>
      <w:marTop w:val="0"/>
      <w:marBottom w:val="0"/>
      <w:divBdr>
        <w:top w:val="none" w:sz="0" w:space="0" w:color="auto"/>
        <w:left w:val="none" w:sz="0" w:space="0" w:color="auto"/>
        <w:bottom w:val="none" w:sz="0" w:space="0" w:color="auto"/>
        <w:right w:val="none" w:sz="0" w:space="0" w:color="auto"/>
      </w:divBdr>
    </w:div>
    <w:div w:id="92021231">
      <w:bodyDiv w:val="1"/>
      <w:marLeft w:val="0"/>
      <w:marRight w:val="0"/>
      <w:marTop w:val="0"/>
      <w:marBottom w:val="0"/>
      <w:divBdr>
        <w:top w:val="none" w:sz="0" w:space="0" w:color="auto"/>
        <w:left w:val="none" w:sz="0" w:space="0" w:color="auto"/>
        <w:bottom w:val="none" w:sz="0" w:space="0" w:color="auto"/>
        <w:right w:val="none" w:sz="0" w:space="0" w:color="auto"/>
      </w:divBdr>
    </w:div>
    <w:div w:id="93866593">
      <w:bodyDiv w:val="1"/>
      <w:marLeft w:val="0"/>
      <w:marRight w:val="0"/>
      <w:marTop w:val="0"/>
      <w:marBottom w:val="0"/>
      <w:divBdr>
        <w:top w:val="none" w:sz="0" w:space="0" w:color="auto"/>
        <w:left w:val="none" w:sz="0" w:space="0" w:color="auto"/>
        <w:bottom w:val="none" w:sz="0" w:space="0" w:color="auto"/>
        <w:right w:val="none" w:sz="0" w:space="0" w:color="auto"/>
      </w:divBdr>
    </w:div>
    <w:div w:id="95029288">
      <w:bodyDiv w:val="1"/>
      <w:marLeft w:val="0"/>
      <w:marRight w:val="0"/>
      <w:marTop w:val="0"/>
      <w:marBottom w:val="0"/>
      <w:divBdr>
        <w:top w:val="none" w:sz="0" w:space="0" w:color="auto"/>
        <w:left w:val="none" w:sz="0" w:space="0" w:color="auto"/>
        <w:bottom w:val="none" w:sz="0" w:space="0" w:color="auto"/>
        <w:right w:val="none" w:sz="0" w:space="0" w:color="auto"/>
      </w:divBdr>
    </w:div>
    <w:div w:id="97339783">
      <w:bodyDiv w:val="1"/>
      <w:marLeft w:val="0"/>
      <w:marRight w:val="0"/>
      <w:marTop w:val="0"/>
      <w:marBottom w:val="0"/>
      <w:divBdr>
        <w:top w:val="none" w:sz="0" w:space="0" w:color="auto"/>
        <w:left w:val="none" w:sz="0" w:space="0" w:color="auto"/>
        <w:bottom w:val="none" w:sz="0" w:space="0" w:color="auto"/>
        <w:right w:val="none" w:sz="0" w:space="0" w:color="auto"/>
      </w:divBdr>
    </w:div>
    <w:div w:id="99494758">
      <w:bodyDiv w:val="1"/>
      <w:marLeft w:val="0"/>
      <w:marRight w:val="0"/>
      <w:marTop w:val="0"/>
      <w:marBottom w:val="0"/>
      <w:divBdr>
        <w:top w:val="none" w:sz="0" w:space="0" w:color="auto"/>
        <w:left w:val="none" w:sz="0" w:space="0" w:color="auto"/>
        <w:bottom w:val="none" w:sz="0" w:space="0" w:color="auto"/>
        <w:right w:val="none" w:sz="0" w:space="0" w:color="auto"/>
      </w:divBdr>
    </w:div>
    <w:div w:id="99644218">
      <w:bodyDiv w:val="1"/>
      <w:marLeft w:val="0"/>
      <w:marRight w:val="0"/>
      <w:marTop w:val="0"/>
      <w:marBottom w:val="0"/>
      <w:divBdr>
        <w:top w:val="none" w:sz="0" w:space="0" w:color="auto"/>
        <w:left w:val="none" w:sz="0" w:space="0" w:color="auto"/>
        <w:bottom w:val="none" w:sz="0" w:space="0" w:color="auto"/>
        <w:right w:val="none" w:sz="0" w:space="0" w:color="auto"/>
      </w:divBdr>
    </w:div>
    <w:div w:id="99836832">
      <w:bodyDiv w:val="1"/>
      <w:marLeft w:val="0"/>
      <w:marRight w:val="0"/>
      <w:marTop w:val="0"/>
      <w:marBottom w:val="0"/>
      <w:divBdr>
        <w:top w:val="none" w:sz="0" w:space="0" w:color="auto"/>
        <w:left w:val="none" w:sz="0" w:space="0" w:color="auto"/>
        <w:bottom w:val="none" w:sz="0" w:space="0" w:color="auto"/>
        <w:right w:val="none" w:sz="0" w:space="0" w:color="auto"/>
      </w:divBdr>
    </w:div>
    <w:div w:id="103623758">
      <w:bodyDiv w:val="1"/>
      <w:marLeft w:val="0"/>
      <w:marRight w:val="0"/>
      <w:marTop w:val="0"/>
      <w:marBottom w:val="0"/>
      <w:divBdr>
        <w:top w:val="none" w:sz="0" w:space="0" w:color="auto"/>
        <w:left w:val="none" w:sz="0" w:space="0" w:color="auto"/>
        <w:bottom w:val="none" w:sz="0" w:space="0" w:color="auto"/>
        <w:right w:val="none" w:sz="0" w:space="0" w:color="auto"/>
      </w:divBdr>
    </w:div>
    <w:div w:id="113332841">
      <w:bodyDiv w:val="1"/>
      <w:marLeft w:val="0"/>
      <w:marRight w:val="0"/>
      <w:marTop w:val="0"/>
      <w:marBottom w:val="0"/>
      <w:divBdr>
        <w:top w:val="none" w:sz="0" w:space="0" w:color="auto"/>
        <w:left w:val="none" w:sz="0" w:space="0" w:color="auto"/>
        <w:bottom w:val="none" w:sz="0" w:space="0" w:color="auto"/>
        <w:right w:val="none" w:sz="0" w:space="0" w:color="auto"/>
      </w:divBdr>
    </w:div>
    <w:div w:id="113404941">
      <w:bodyDiv w:val="1"/>
      <w:marLeft w:val="0"/>
      <w:marRight w:val="0"/>
      <w:marTop w:val="0"/>
      <w:marBottom w:val="0"/>
      <w:divBdr>
        <w:top w:val="none" w:sz="0" w:space="0" w:color="auto"/>
        <w:left w:val="none" w:sz="0" w:space="0" w:color="auto"/>
        <w:bottom w:val="none" w:sz="0" w:space="0" w:color="auto"/>
        <w:right w:val="none" w:sz="0" w:space="0" w:color="auto"/>
      </w:divBdr>
    </w:div>
    <w:div w:id="127666839">
      <w:bodyDiv w:val="1"/>
      <w:marLeft w:val="0"/>
      <w:marRight w:val="0"/>
      <w:marTop w:val="0"/>
      <w:marBottom w:val="0"/>
      <w:divBdr>
        <w:top w:val="none" w:sz="0" w:space="0" w:color="auto"/>
        <w:left w:val="none" w:sz="0" w:space="0" w:color="auto"/>
        <w:bottom w:val="none" w:sz="0" w:space="0" w:color="auto"/>
        <w:right w:val="none" w:sz="0" w:space="0" w:color="auto"/>
      </w:divBdr>
    </w:div>
    <w:div w:id="130486740">
      <w:bodyDiv w:val="1"/>
      <w:marLeft w:val="0"/>
      <w:marRight w:val="0"/>
      <w:marTop w:val="0"/>
      <w:marBottom w:val="0"/>
      <w:divBdr>
        <w:top w:val="none" w:sz="0" w:space="0" w:color="auto"/>
        <w:left w:val="none" w:sz="0" w:space="0" w:color="auto"/>
        <w:bottom w:val="none" w:sz="0" w:space="0" w:color="auto"/>
        <w:right w:val="none" w:sz="0" w:space="0" w:color="auto"/>
      </w:divBdr>
    </w:div>
    <w:div w:id="153764589">
      <w:bodyDiv w:val="1"/>
      <w:marLeft w:val="0"/>
      <w:marRight w:val="0"/>
      <w:marTop w:val="0"/>
      <w:marBottom w:val="0"/>
      <w:divBdr>
        <w:top w:val="none" w:sz="0" w:space="0" w:color="auto"/>
        <w:left w:val="none" w:sz="0" w:space="0" w:color="auto"/>
        <w:bottom w:val="none" w:sz="0" w:space="0" w:color="auto"/>
        <w:right w:val="none" w:sz="0" w:space="0" w:color="auto"/>
      </w:divBdr>
    </w:div>
    <w:div w:id="159001815">
      <w:bodyDiv w:val="1"/>
      <w:marLeft w:val="0"/>
      <w:marRight w:val="0"/>
      <w:marTop w:val="0"/>
      <w:marBottom w:val="0"/>
      <w:divBdr>
        <w:top w:val="none" w:sz="0" w:space="0" w:color="auto"/>
        <w:left w:val="none" w:sz="0" w:space="0" w:color="auto"/>
        <w:bottom w:val="none" w:sz="0" w:space="0" w:color="auto"/>
        <w:right w:val="none" w:sz="0" w:space="0" w:color="auto"/>
      </w:divBdr>
    </w:div>
    <w:div w:id="160121193">
      <w:bodyDiv w:val="1"/>
      <w:marLeft w:val="0"/>
      <w:marRight w:val="0"/>
      <w:marTop w:val="0"/>
      <w:marBottom w:val="0"/>
      <w:divBdr>
        <w:top w:val="none" w:sz="0" w:space="0" w:color="auto"/>
        <w:left w:val="none" w:sz="0" w:space="0" w:color="auto"/>
        <w:bottom w:val="none" w:sz="0" w:space="0" w:color="auto"/>
        <w:right w:val="none" w:sz="0" w:space="0" w:color="auto"/>
      </w:divBdr>
    </w:div>
    <w:div w:id="168522945">
      <w:bodyDiv w:val="1"/>
      <w:marLeft w:val="0"/>
      <w:marRight w:val="0"/>
      <w:marTop w:val="0"/>
      <w:marBottom w:val="0"/>
      <w:divBdr>
        <w:top w:val="none" w:sz="0" w:space="0" w:color="auto"/>
        <w:left w:val="none" w:sz="0" w:space="0" w:color="auto"/>
        <w:bottom w:val="none" w:sz="0" w:space="0" w:color="auto"/>
        <w:right w:val="none" w:sz="0" w:space="0" w:color="auto"/>
      </w:divBdr>
    </w:div>
    <w:div w:id="222260554">
      <w:bodyDiv w:val="1"/>
      <w:marLeft w:val="0"/>
      <w:marRight w:val="0"/>
      <w:marTop w:val="0"/>
      <w:marBottom w:val="0"/>
      <w:divBdr>
        <w:top w:val="none" w:sz="0" w:space="0" w:color="auto"/>
        <w:left w:val="none" w:sz="0" w:space="0" w:color="auto"/>
        <w:bottom w:val="none" w:sz="0" w:space="0" w:color="auto"/>
        <w:right w:val="none" w:sz="0" w:space="0" w:color="auto"/>
      </w:divBdr>
    </w:div>
    <w:div w:id="224923294">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8124318">
      <w:bodyDiv w:val="1"/>
      <w:marLeft w:val="0"/>
      <w:marRight w:val="0"/>
      <w:marTop w:val="0"/>
      <w:marBottom w:val="0"/>
      <w:divBdr>
        <w:top w:val="none" w:sz="0" w:space="0" w:color="auto"/>
        <w:left w:val="none" w:sz="0" w:space="0" w:color="auto"/>
        <w:bottom w:val="none" w:sz="0" w:space="0" w:color="auto"/>
        <w:right w:val="none" w:sz="0" w:space="0" w:color="auto"/>
      </w:divBdr>
    </w:div>
    <w:div w:id="249777093">
      <w:bodyDiv w:val="1"/>
      <w:marLeft w:val="0"/>
      <w:marRight w:val="0"/>
      <w:marTop w:val="0"/>
      <w:marBottom w:val="0"/>
      <w:divBdr>
        <w:top w:val="none" w:sz="0" w:space="0" w:color="auto"/>
        <w:left w:val="none" w:sz="0" w:space="0" w:color="auto"/>
        <w:bottom w:val="none" w:sz="0" w:space="0" w:color="auto"/>
        <w:right w:val="none" w:sz="0" w:space="0" w:color="auto"/>
      </w:divBdr>
    </w:div>
    <w:div w:id="272591982">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310794205">
      <w:bodyDiv w:val="1"/>
      <w:marLeft w:val="0"/>
      <w:marRight w:val="0"/>
      <w:marTop w:val="0"/>
      <w:marBottom w:val="0"/>
      <w:divBdr>
        <w:top w:val="none" w:sz="0" w:space="0" w:color="auto"/>
        <w:left w:val="none" w:sz="0" w:space="0" w:color="auto"/>
        <w:bottom w:val="none" w:sz="0" w:space="0" w:color="auto"/>
        <w:right w:val="none" w:sz="0" w:space="0" w:color="auto"/>
      </w:divBdr>
    </w:div>
    <w:div w:id="351154350">
      <w:bodyDiv w:val="1"/>
      <w:marLeft w:val="0"/>
      <w:marRight w:val="0"/>
      <w:marTop w:val="0"/>
      <w:marBottom w:val="0"/>
      <w:divBdr>
        <w:top w:val="none" w:sz="0" w:space="0" w:color="auto"/>
        <w:left w:val="none" w:sz="0" w:space="0" w:color="auto"/>
        <w:bottom w:val="none" w:sz="0" w:space="0" w:color="auto"/>
        <w:right w:val="none" w:sz="0" w:space="0" w:color="auto"/>
      </w:divBdr>
    </w:div>
    <w:div w:id="364185238">
      <w:bodyDiv w:val="1"/>
      <w:marLeft w:val="0"/>
      <w:marRight w:val="0"/>
      <w:marTop w:val="0"/>
      <w:marBottom w:val="0"/>
      <w:divBdr>
        <w:top w:val="none" w:sz="0" w:space="0" w:color="auto"/>
        <w:left w:val="none" w:sz="0" w:space="0" w:color="auto"/>
        <w:bottom w:val="none" w:sz="0" w:space="0" w:color="auto"/>
        <w:right w:val="none" w:sz="0" w:space="0" w:color="auto"/>
      </w:divBdr>
    </w:div>
    <w:div w:id="366636622">
      <w:bodyDiv w:val="1"/>
      <w:marLeft w:val="0"/>
      <w:marRight w:val="0"/>
      <w:marTop w:val="0"/>
      <w:marBottom w:val="0"/>
      <w:divBdr>
        <w:top w:val="none" w:sz="0" w:space="0" w:color="auto"/>
        <w:left w:val="none" w:sz="0" w:space="0" w:color="auto"/>
        <w:bottom w:val="none" w:sz="0" w:space="0" w:color="auto"/>
        <w:right w:val="none" w:sz="0" w:space="0" w:color="auto"/>
      </w:divBdr>
    </w:div>
    <w:div w:id="368997384">
      <w:bodyDiv w:val="1"/>
      <w:marLeft w:val="0"/>
      <w:marRight w:val="0"/>
      <w:marTop w:val="0"/>
      <w:marBottom w:val="0"/>
      <w:divBdr>
        <w:top w:val="none" w:sz="0" w:space="0" w:color="auto"/>
        <w:left w:val="none" w:sz="0" w:space="0" w:color="auto"/>
        <w:bottom w:val="none" w:sz="0" w:space="0" w:color="auto"/>
        <w:right w:val="none" w:sz="0" w:space="0" w:color="auto"/>
      </w:divBdr>
    </w:div>
    <w:div w:id="372078694">
      <w:bodyDiv w:val="1"/>
      <w:marLeft w:val="0"/>
      <w:marRight w:val="0"/>
      <w:marTop w:val="0"/>
      <w:marBottom w:val="0"/>
      <w:divBdr>
        <w:top w:val="none" w:sz="0" w:space="0" w:color="auto"/>
        <w:left w:val="none" w:sz="0" w:space="0" w:color="auto"/>
        <w:bottom w:val="none" w:sz="0" w:space="0" w:color="auto"/>
        <w:right w:val="none" w:sz="0" w:space="0" w:color="auto"/>
      </w:divBdr>
    </w:div>
    <w:div w:id="394596285">
      <w:bodyDiv w:val="1"/>
      <w:marLeft w:val="0"/>
      <w:marRight w:val="0"/>
      <w:marTop w:val="0"/>
      <w:marBottom w:val="0"/>
      <w:divBdr>
        <w:top w:val="none" w:sz="0" w:space="0" w:color="auto"/>
        <w:left w:val="none" w:sz="0" w:space="0" w:color="auto"/>
        <w:bottom w:val="none" w:sz="0" w:space="0" w:color="auto"/>
        <w:right w:val="none" w:sz="0" w:space="0" w:color="auto"/>
      </w:divBdr>
    </w:div>
    <w:div w:id="428625770">
      <w:bodyDiv w:val="1"/>
      <w:marLeft w:val="0"/>
      <w:marRight w:val="0"/>
      <w:marTop w:val="0"/>
      <w:marBottom w:val="0"/>
      <w:divBdr>
        <w:top w:val="none" w:sz="0" w:space="0" w:color="auto"/>
        <w:left w:val="none" w:sz="0" w:space="0" w:color="auto"/>
        <w:bottom w:val="none" w:sz="0" w:space="0" w:color="auto"/>
        <w:right w:val="none" w:sz="0" w:space="0" w:color="auto"/>
      </w:divBdr>
    </w:div>
    <w:div w:id="452358982">
      <w:bodyDiv w:val="1"/>
      <w:marLeft w:val="0"/>
      <w:marRight w:val="0"/>
      <w:marTop w:val="0"/>
      <w:marBottom w:val="0"/>
      <w:divBdr>
        <w:top w:val="none" w:sz="0" w:space="0" w:color="auto"/>
        <w:left w:val="none" w:sz="0" w:space="0" w:color="auto"/>
        <w:bottom w:val="none" w:sz="0" w:space="0" w:color="auto"/>
        <w:right w:val="none" w:sz="0" w:space="0" w:color="auto"/>
      </w:divBdr>
    </w:div>
    <w:div w:id="463036996">
      <w:bodyDiv w:val="1"/>
      <w:marLeft w:val="0"/>
      <w:marRight w:val="0"/>
      <w:marTop w:val="0"/>
      <w:marBottom w:val="0"/>
      <w:divBdr>
        <w:top w:val="none" w:sz="0" w:space="0" w:color="auto"/>
        <w:left w:val="none" w:sz="0" w:space="0" w:color="auto"/>
        <w:bottom w:val="none" w:sz="0" w:space="0" w:color="auto"/>
        <w:right w:val="none" w:sz="0" w:space="0" w:color="auto"/>
      </w:divBdr>
    </w:div>
    <w:div w:id="515118259">
      <w:bodyDiv w:val="1"/>
      <w:marLeft w:val="0"/>
      <w:marRight w:val="0"/>
      <w:marTop w:val="0"/>
      <w:marBottom w:val="0"/>
      <w:divBdr>
        <w:top w:val="none" w:sz="0" w:space="0" w:color="auto"/>
        <w:left w:val="none" w:sz="0" w:space="0" w:color="auto"/>
        <w:bottom w:val="none" w:sz="0" w:space="0" w:color="auto"/>
        <w:right w:val="none" w:sz="0" w:space="0" w:color="auto"/>
      </w:divBdr>
      <w:divsChild>
        <w:div w:id="433987837">
          <w:marLeft w:val="274"/>
          <w:marRight w:val="0"/>
          <w:marTop w:val="0"/>
          <w:marBottom w:val="0"/>
          <w:divBdr>
            <w:top w:val="none" w:sz="0" w:space="0" w:color="auto"/>
            <w:left w:val="none" w:sz="0" w:space="0" w:color="auto"/>
            <w:bottom w:val="none" w:sz="0" w:space="0" w:color="auto"/>
            <w:right w:val="none" w:sz="0" w:space="0" w:color="auto"/>
          </w:divBdr>
        </w:div>
        <w:div w:id="1221869650">
          <w:marLeft w:val="274"/>
          <w:marRight w:val="0"/>
          <w:marTop w:val="0"/>
          <w:marBottom w:val="0"/>
          <w:divBdr>
            <w:top w:val="none" w:sz="0" w:space="0" w:color="auto"/>
            <w:left w:val="none" w:sz="0" w:space="0" w:color="auto"/>
            <w:bottom w:val="none" w:sz="0" w:space="0" w:color="auto"/>
            <w:right w:val="none" w:sz="0" w:space="0" w:color="auto"/>
          </w:divBdr>
        </w:div>
      </w:divsChild>
    </w:div>
    <w:div w:id="547574626">
      <w:bodyDiv w:val="1"/>
      <w:marLeft w:val="0"/>
      <w:marRight w:val="0"/>
      <w:marTop w:val="0"/>
      <w:marBottom w:val="0"/>
      <w:divBdr>
        <w:top w:val="none" w:sz="0" w:space="0" w:color="auto"/>
        <w:left w:val="none" w:sz="0" w:space="0" w:color="auto"/>
        <w:bottom w:val="none" w:sz="0" w:space="0" w:color="auto"/>
        <w:right w:val="none" w:sz="0" w:space="0" w:color="auto"/>
      </w:divBdr>
    </w:div>
    <w:div w:id="552887272">
      <w:bodyDiv w:val="1"/>
      <w:marLeft w:val="0"/>
      <w:marRight w:val="0"/>
      <w:marTop w:val="0"/>
      <w:marBottom w:val="0"/>
      <w:divBdr>
        <w:top w:val="none" w:sz="0" w:space="0" w:color="auto"/>
        <w:left w:val="none" w:sz="0" w:space="0" w:color="auto"/>
        <w:bottom w:val="none" w:sz="0" w:space="0" w:color="auto"/>
        <w:right w:val="none" w:sz="0" w:space="0" w:color="auto"/>
      </w:divBdr>
    </w:div>
    <w:div w:id="576943536">
      <w:bodyDiv w:val="1"/>
      <w:marLeft w:val="0"/>
      <w:marRight w:val="0"/>
      <w:marTop w:val="0"/>
      <w:marBottom w:val="0"/>
      <w:divBdr>
        <w:top w:val="none" w:sz="0" w:space="0" w:color="auto"/>
        <w:left w:val="none" w:sz="0" w:space="0" w:color="auto"/>
        <w:bottom w:val="none" w:sz="0" w:space="0" w:color="auto"/>
        <w:right w:val="none" w:sz="0" w:space="0" w:color="auto"/>
      </w:divBdr>
    </w:div>
    <w:div w:id="588080852">
      <w:bodyDiv w:val="1"/>
      <w:marLeft w:val="0"/>
      <w:marRight w:val="0"/>
      <w:marTop w:val="0"/>
      <w:marBottom w:val="0"/>
      <w:divBdr>
        <w:top w:val="none" w:sz="0" w:space="0" w:color="auto"/>
        <w:left w:val="none" w:sz="0" w:space="0" w:color="auto"/>
        <w:bottom w:val="none" w:sz="0" w:space="0" w:color="auto"/>
        <w:right w:val="none" w:sz="0" w:space="0" w:color="auto"/>
      </w:divBdr>
    </w:div>
    <w:div w:id="609974047">
      <w:bodyDiv w:val="1"/>
      <w:marLeft w:val="0"/>
      <w:marRight w:val="0"/>
      <w:marTop w:val="0"/>
      <w:marBottom w:val="0"/>
      <w:divBdr>
        <w:top w:val="none" w:sz="0" w:space="0" w:color="auto"/>
        <w:left w:val="none" w:sz="0" w:space="0" w:color="auto"/>
        <w:bottom w:val="none" w:sz="0" w:space="0" w:color="auto"/>
        <w:right w:val="none" w:sz="0" w:space="0" w:color="auto"/>
      </w:divBdr>
    </w:div>
    <w:div w:id="621770006">
      <w:bodyDiv w:val="1"/>
      <w:marLeft w:val="0"/>
      <w:marRight w:val="0"/>
      <w:marTop w:val="0"/>
      <w:marBottom w:val="0"/>
      <w:divBdr>
        <w:top w:val="none" w:sz="0" w:space="0" w:color="auto"/>
        <w:left w:val="none" w:sz="0" w:space="0" w:color="auto"/>
        <w:bottom w:val="none" w:sz="0" w:space="0" w:color="auto"/>
        <w:right w:val="none" w:sz="0" w:space="0" w:color="auto"/>
      </w:divBdr>
    </w:div>
    <w:div w:id="635526577">
      <w:bodyDiv w:val="1"/>
      <w:marLeft w:val="0"/>
      <w:marRight w:val="0"/>
      <w:marTop w:val="0"/>
      <w:marBottom w:val="0"/>
      <w:divBdr>
        <w:top w:val="none" w:sz="0" w:space="0" w:color="auto"/>
        <w:left w:val="none" w:sz="0" w:space="0" w:color="auto"/>
        <w:bottom w:val="none" w:sz="0" w:space="0" w:color="auto"/>
        <w:right w:val="none" w:sz="0" w:space="0" w:color="auto"/>
      </w:divBdr>
    </w:div>
    <w:div w:id="641010145">
      <w:bodyDiv w:val="1"/>
      <w:marLeft w:val="0"/>
      <w:marRight w:val="0"/>
      <w:marTop w:val="0"/>
      <w:marBottom w:val="0"/>
      <w:divBdr>
        <w:top w:val="none" w:sz="0" w:space="0" w:color="auto"/>
        <w:left w:val="none" w:sz="0" w:space="0" w:color="auto"/>
        <w:bottom w:val="none" w:sz="0" w:space="0" w:color="auto"/>
        <w:right w:val="none" w:sz="0" w:space="0" w:color="auto"/>
      </w:divBdr>
    </w:div>
    <w:div w:id="652563311">
      <w:bodyDiv w:val="1"/>
      <w:marLeft w:val="0"/>
      <w:marRight w:val="0"/>
      <w:marTop w:val="0"/>
      <w:marBottom w:val="0"/>
      <w:divBdr>
        <w:top w:val="none" w:sz="0" w:space="0" w:color="auto"/>
        <w:left w:val="none" w:sz="0" w:space="0" w:color="auto"/>
        <w:bottom w:val="none" w:sz="0" w:space="0" w:color="auto"/>
        <w:right w:val="none" w:sz="0" w:space="0" w:color="auto"/>
      </w:divBdr>
    </w:div>
    <w:div w:id="657460898">
      <w:bodyDiv w:val="1"/>
      <w:marLeft w:val="0"/>
      <w:marRight w:val="0"/>
      <w:marTop w:val="0"/>
      <w:marBottom w:val="0"/>
      <w:divBdr>
        <w:top w:val="none" w:sz="0" w:space="0" w:color="auto"/>
        <w:left w:val="none" w:sz="0" w:space="0" w:color="auto"/>
        <w:bottom w:val="none" w:sz="0" w:space="0" w:color="auto"/>
        <w:right w:val="none" w:sz="0" w:space="0" w:color="auto"/>
      </w:divBdr>
    </w:div>
    <w:div w:id="661353772">
      <w:bodyDiv w:val="1"/>
      <w:marLeft w:val="0"/>
      <w:marRight w:val="0"/>
      <w:marTop w:val="0"/>
      <w:marBottom w:val="0"/>
      <w:divBdr>
        <w:top w:val="none" w:sz="0" w:space="0" w:color="auto"/>
        <w:left w:val="none" w:sz="0" w:space="0" w:color="auto"/>
        <w:bottom w:val="none" w:sz="0" w:space="0" w:color="auto"/>
        <w:right w:val="none" w:sz="0" w:space="0" w:color="auto"/>
      </w:divBdr>
    </w:div>
    <w:div w:id="662053182">
      <w:bodyDiv w:val="1"/>
      <w:marLeft w:val="0"/>
      <w:marRight w:val="0"/>
      <w:marTop w:val="0"/>
      <w:marBottom w:val="0"/>
      <w:divBdr>
        <w:top w:val="none" w:sz="0" w:space="0" w:color="auto"/>
        <w:left w:val="none" w:sz="0" w:space="0" w:color="auto"/>
        <w:bottom w:val="none" w:sz="0" w:space="0" w:color="auto"/>
        <w:right w:val="none" w:sz="0" w:space="0" w:color="auto"/>
      </w:divBdr>
    </w:div>
    <w:div w:id="669523317">
      <w:bodyDiv w:val="1"/>
      <w:marLeft w:val="0"/>
      <w:marRight w:val="0"/>
      <w:marTop w:val="0"/>
      <w:marBottom w:val="0"/>
      <w:divBdr>
        <w:top w:val="none" w:sz="0" w:space="0" w:color="auto"/>
        <w:left w:val="none" w:sz="0" w:space="0" w:color="auto"/>
        <w:bottom w:val="none" w:sz="0" w:space="0" w:color="auto"/>
        <w:right w:val="none" w:sz="0" w:space="0" w:color="auto"/>
      </w:divBdr>
    </w:div>
    <w:div w:id="697268996">
      <w:bodyDiv w:val="1"/>
      <w:marLeft w:val="0"/>
      <w:marRight w:val="0"/>
      <w:marTop w:val="0"/>
      <w:marBottom w:val="0"/>
      <w:divBdr>
        <w:top w:val="none" w:sz="0" w:space="0" w:color="auto"/>
        <w:left w:val="none" w:sz="0" w:space="0" w:color="auto"/>
        <w:bottom w:val="none" w:sz="0" w:space="0" w:color="auto"/>
        <w:right w:val="none" w:sz="0" w:space="0" w:color="auto"/>
      </w:divBdr>
    </w:div>
    <w:div w:id="699360762">
      <w:bodyDiv w:val="1"/>
      <w:marLeft w:val="0"/>
      <w:marRight w:val="0"/>
      <w:marTop w:val="0"/>
      <w:marBottom w:val="0"/>
      <w:divBdr>
        <w:top w:val="none" w:sz="0" w:space="0" w:color="auto"/>
        <w:left w:val="none" w:sz="0" w:space="0" w:color="auto"/>
        <w:bottom w:val="none" w:sz="0" w:space="0" w:color="auto"/>
        <w:right w:val="none" w:sz="0" w:space="0" w:color="auto"/>
      </w:divBdr>
    </w:div>
    <w:div w:id="706639377">
      <w:bodyDiv w:val="1"/>
      <w:marLeft w:val="0"/>
      <w:marRight w:val="0"/>
      <w:marTop w:val="0"/>
      <w:marBottom w:val="0"/>
      <w:divBdr>
        <w:top w:val="none" w:sz="0" w:space="0" w:color="auto"/>
        <w:left w:val="none" w:sz="0" w:space="0" w:color="auto"/>
        <w:bottom w:val="none" w:sz="0" w:space="0" w:color="auto"/>
        <w:right w:val="none" w:sz="0" w:space="0" w:color="auto"/>
      </w:divBdr>
    </w:div>
    <w:div w:id="744258446">
      <w:bodyDiv w:val="1"/>
      <w:marLeft w:val="0"/>
      <w:marRight w:val="0"/>
      <w:marTop w:val="0"/>
      <w:marBottom w:val="0"/>
      <w:divBdr>
        <w:top w:val="none" w:sz="0" w:space="0" w:color="auto"/>
        <w:left w:val="none" w:sz="0" w:space="0" w:color="auto"/>
        <w:bottom w:val="none" w:sz="0" w:space="0" w:color="auto"/>
        <w:right w:val="none" w:sz="0" w:space="0" w:color="auto"/>
      </w:divBdr>
    </w:div>
    <w:div w:id="751588508">
      <w:bodyDiv w:val="1"/>
      <w:marLeft w:val="0"/>
      <w:marRight w:val="0"/>
      <w:marTop w:val="0"/>
      <w:marBottom w:val="0"/>
      <w:divBdr>
        <w:top w:val="none" w:sz="0" w:space="0" w:color="auto"/>
        <w:left w:val="none" w:sz="0" w:space="0" w:color="auto"/>
        <w:bottom w:val="none" w:sz="0" w:space="0" w:color="auto"/>
        <w:right w:val="none" w:sz="0" w:space="0" w:color="auto"/>
      </w:divBdr>
    </w:div>
    <w:div w:id="755134353">
      <w:bodyDiv w:val="1"/>
      <w:marLeft w:val="0"/>
      <w:marRight w:val="0"/>
      <w:marTop w:val="0"/>
      <w:marBottom w:val="0"/>
      <w:divBdr>
        <w:top w:val="none" w:sz="0" w:space="0" w:color="auto"/>
        <w:left w:val="none" w:sz="0" w:space="0" w:color="auto"/>
        <w:bottom w:val="none" w:sz="0" w:space="0" w:color="auto"/>
        <w:right w:val="none" w:sz="0" w:space="0" w:color="auto"/>
      </w:divBdr>
    </w:div>
    <w:div w:id="761880428">
      <w:bodyDiv w:val="1"/>
      <w:marLeft w:val="0"/>
      <w:marRight w:val="0"/>
      <w:marTop w:val="0"/>
      <w:marBottom w:val="0"/>
      <w:divBdr>
        <w:top w:val="none" w:sz="0" w:space="0" w:color="auto"/>
        <w:left w:val="none" w:sz="0" w:space="0" w:color="auto"/>
        <w:bottom w:val="none" w:sz="0" w:space="0" w:color="auto"/>
        <w:right w:val="none" w:sz="0" w:space="0" w:color="auto"/>
      </w:divBdr>
    </w:div>
    <w:div w:id="774132943">
      <w:bodyDiv w:val="1"/>
      <w:marLeft w:val="0"/>
      <w:marRight w:val="0"/>
      <w:marTop w:val="0"/>
      <w:marBottom w:val="0"/>
      <w:divBdr>
        <w:top w:val="none" w:sz="0" w:space="0" w:color="auto"/>
        <w:left w:val="none" w:sz="0" w:space="0" w:color="auto"/>
        <w:bottom w:val="none" w:sz="0" w:space="0" w:color="auto"/>
        <w:right w:val="none" w:sz="0" w:space="0" w:color="auto"/>
      </w:divBdr>
    </w:div>
    <w:div w:id="784736191">
      <w:bodyDiv w:val="1"/>
      <w:marLeft w:val="0"/>
      <w:marRight w:val="0"/>
      <w:marTop w:val="0"/>
      <w:marBottom w:val="0"/>
      <w:divBdr>
        <w:top w:val="none" w:sz="0" w:space="0" w:color="auto"/>
        <w:left w:val="none" w:sz="0" w:space="0" w:color="auto"/>
        <w:bottom w:val="none" w:sz="0" w:space="0" w:color="auto"/>
        <w:right w:val="none" w:sz="0" w:space="0" w:color="auto"/>
      </w:divBdr>
    </w:div>
    <w:div w:id="784740238">
      <w:bodyDiv w:val="1"/>
      <w:marLeft w:val="0"/>
      <w:marRight w:val="0"/>
      <w:marTop w:val="0"/>
      <w:marBottom w:val="0"/>
      <w:divBdr>
        <w:top w:val="none" w:sz="0" w:space="0" w:color="auto"/>
        <w:left w:val="none" w:sz="0" w:space="0" w:color="auto"/>
        <w:bottom w:val="none" w:sz="0" w:space="0" w:color="auto"/>
        <w:right w:val="none" w:sz="0" w:space="0" w:color="auto"/>
      </w:divBdr>
    </w:div>
    <w:div w:id="812331394">
      <w:bodyDiv w:val="1"/>
      <w:marLeft w:val="0"/>
      <w:marRight w:val="0"/>
      <w:marTop w:val="0"/>
      <w:marBottom w:val="0"/>
      <w:divBdr>
        <w:top w:val="none" w:sz="0" w:space="0" w:color="auto"/>
        <w:left w:val="none" w:sz="0" w:space="0" w:color="auto"/>
        <w:bottom w:val="none" w:sz="0" w:space="0" w:color="auto"/>
        <w:right w:val="none" w:sz="0" w:space="0" w:color="auto"/>
      </w:divBdr>
    </w:div>
    <w:div w:id="846748878">
      <w:bodyDiv w:val="1"/>
      <w:marLeft w:val="0"/>
      <w:marRight w:val="0"/>
      <w:marTop w:val="0"/>
      <w:marBottom w:val="0"/>
      <w:divBdr>
        <w:top w:val="none" w:sz="0" w:space="0" w:color="auto"/>
        <w:left w:val="none" w:sz="0" w:space="0" w:color="auto"/>
        <w:bottom w:val="none" w:sz="0" w:space="0" w:color="auto"/>
        <w:right w:val="none" w:sz="0" w:space="0" w:color="auto"/>
      </w:divBdr>
    </w:div>
    <w:div w:id="851257185">
      <w:bodyDiv w:val="1"/>
      <w:marLeft w:val="0"/>
      <w:marRight w:val="0"/>
      <w:marTop w:val="0"/>
      <w:marBottom w:val="0"/>
      <w:divBdr>
        <w:top w:val="none" w:sz="0" w:space="0" w:color="auto"/>
        <w:left w:val="none" w:sz="0" w:space="0" w:color="auto"/>
        <w:bottom w:val="none" w:sz="0" w:space="0" w:color="auto"/>
        <w:right w:val="none" w:sz="0" w:space="0" w:color="auto"/>
      </w:divBdr>
      <w:divsChild>
        <w:div w:id="976571572">
          <w:marLeft w:val="274"/>
          <w:marRight w:val="0"/>
          <w:marTop w:val="0"/>
          <w:marBottom w:val="0"/>
          <w:divBdr>
            <w:top w:val="none" w:sz="0" w:space="0" w:color="auto"/>
            <w:left w:val="none" w:sz="0" w:space="0" w:color="auto"/>
            <w:bottom w:val="none" w:sz="0" w:space="0" w:color="auto"/>
            <w:right w:val="none" w:sz="0" w:space="0" w:color="auto"/>
          </w:divBdr>
        </w:div>
        <w:div w:id="1102842604">
          <w:marLeft w:val="274"/>
          <w:marRight w:val="0"/>
          <w:marTop w:val="0"/>
          <w:marBottom w:val="0"/>
          <w:divBdr>
            <w:top w:val="none" w:sz="0" w:space="0" w:color="auto"/>
            <w:left w:val="none" w:sz="0" w:space="0" w:color="auto"/>
            <w:bottom w:val="none" w:sz="0" w:space="0" w:color="auto"/>
            <w:right w:val="none" w:sz="0" w:space="0" w:color="auto"/>
          </w:divBdr>
        </w:div>
        <w:div w:id="1342244061">
          <w:marLeft w:val="274"/>
          <w:marRight w:val="0"/>
          <w:marTop w:val="0"/>
          <w:marBottom w:val="0"/>
          <w:divBdr>
            <w:top w:val="none" w:sz="0" w:space="0" w:color="auto"/>
            <w:left w:val="none" w:sz="0" w:space="0" w:color="auto"/>
            <w:bottom w:val="none" w:sz="0" w:space="0" w:color="auto"/>
            <w:right w:val="none" w:sz="0" w:space="0" w:color="auto"/>
          </w:divBdr>
        </w:div>
        <w:div w:id="1963068832">
          <w:marLeft w:val="274"/>
          <w:marRight w:val="0"/>
          <w:marTop w:val="0"/>
          <w:marBottom w:val="0"/>
          <w:divBdr>
            <w:top w:val="none" w:sz="0" w:space="0" w:color="auto"/>
            <w:left w:val="none" w:sz="0" w:space="0" w:color="auto"/>
            <w:bottom w:val="none" w:sz="0" w:space="0" w:color="auto"/>
            <w:right w:val="none" w:sz="0" w:space="0" w:color="auto"/>
          </w:divBdr>
        </w:div>
      </w:divsChild>
    </w:div>
    <w:div w:id="867066006">
      <w:bodyDiv w:val="1"/>
      <w:marLeft w:val="0"/>
      <w:marRight w:val="0"/>
      <w:marTop w:val="0"/>
      <w:marBottom w:val="0"/>
      <w:divBdr>
        <w:top w:val="none" w:sz="0" w:space="0" w:color="auto"/>
        <w:left w:val="none" w:sz="0" w:space="0" w:color="auto"/>
        <w:bottom w:val="none" w:sz="0" w:space="0" w:color="auto"/>
        <w:right w:val="none" w:sz="0" w:space="0" w:color="auto"/>
      </w:divBdr>
    </w:div>
    <w:div w:id="904528389">
      <w:bodyDiv w:val="1"/>
      <w:marLeft w:val="0"/>
      <w:marRight w:val="0"/>
      <w:marTop w:val="0"/>
      <w:marBottom w:val="0"/>
      <w:divBdr>
        <w:top w:val="none" w:sz="0" w:space="0" w:color="auto"/>
        <w:left w:val="none" w:sz="0" w:space="0" w:color="auto"/>
        <w:bottom w:val="none" w:sz="0" w:space="0" w:color="auto"/>
        <w:right w:val="none" w:sz="0" w:space="0" w:color="auto"/>
      </w:divBdr>
    </w:div>
    <w:div w:id="905725425">
      <w:bodyDiv w:val="1"/>
      <w:marLeft w:val="0"/>
      <w:marRight w:val="0"/>
      <w:marTop w:val="0"/>
      <w:marBottom w:val="0"/>
      <w:divBdr>
        <w:top w:val="none" w:sz="0" w:space="0" w:color="auto"/>
        <w:left w:val="none" w:sz="0" w:space="0" w:color="auto"/>
        <w:bottom w:val="none" w:sz="0" w:space="0" w:color="auto"/>
        <w:right w:val="none" w:sz="0" w:space="0" w:color="auto"/>
      </w:divBdr>
    </w:div>
    <w:div w:id="914825388">
      <w:bodyDiv w:val="1"/>
      <w:marLeft w:val="0"/>
      <w:marRight w:val="0"/>
      <w:marTop w:val="0"/>
      <w:marBottom w:val="0"/>
      <w:divBdr>
        <w:top w:val="none" w:sz="0" w:space="0" w:color="auto"/>
        <w:left w:val="none" w:sz="0" w:space="0" w:color="auto"/>
        <w:bottom w:val="none" w:sz="0" w:space="0" w:color="auto"/>
        <w:right w:val="none" w:sz="0" w:space="0" w:color="auto"/>
      </w:divBdr>
    </w:div>
    <w:div w:id="931619395">
      <w:bodyDiv w:val="1"/>
      <w:marLeft w:val="0"/>
      <w:marRight w:val="0"/>
      <w:marTop w:val="0"/>
      <w:marBottom w:val="0"/>
      <w:divBdr>
        <w:top w:val="none" w:sz="0" w:space="0" w:color="auto"/>
        <w:left w:val="none" w:sz="0" w:space="0" w:color="auto"/>
        <w:bottom w:val="none" w:sz="0" w:space="0" w:color="auto"/>
        <w:right w:val="none" w:sz="0" w:space="0" w:color="auto"/>
      </w:divBdr>
    </w:div>
    <w:div w:id="944728632">
      <w:bodyDiv w:val="1"/>
      <w:marLeft w:val="0"/>
      <w:marRight w:val="0"/>
      <w:marTop w:val="0"/>
      <w:marBottom w:val="0"/>
      <w:divBdr>
        <w:top w:val="none" w:sz="0" w:space="0" w:color="auto"/>
        <w:left w:val="none" w:sz="0" w:space="0" w:color="auto"/>
        <w:bottom w:val="none" w:sz="0" w:space="0" w:color="auto"/>
        <w:right w:val="none" w:sz="0" w:space="0" w:color="auto"/>
      </w:divBdr>
    </w:div>
    <w:div w:id="947858869">
      <w:bodyDiv w:val="1"/>
      <w:marLeft w:val="0"/>
      <w:marRight w:val="0"/>
      <w:marTop w:val="0"/>
      <w:marBottom w:val="0"/>
      <w:divBdr>
        <w:top w:val="none" w:sz="0" w:space="0" w:color="auto"/>
        <w:left w:val="none" w:sz="0" w:space="0" w:color="auto"/>
        <w:bottom w:val="none" w:sz="0" w:space="0" w:color="auto"/>
        <w:right w:val="none" w:sz="0" w:space="0" w:color="auto"/>
      </w:divBdr>
    </w:div>
    <w:div w:id="981079118">
      <w:bodyDiv w:val="1"/>
      <w:marLeft w:val="0"/>
      <w:marRight w:val="0"/>
      <w:marTop w:val="0"/>
      <w:marBottom w:val="0"/>
      <w:divBdr>
        <w:top w:val="none" w:sz="0" w:space="0" w:color="auto"/>
        <w:left w:val="none" w:sz="0" w:space="0" w:color="auto"/>
        <w:bottom w:val="none" w:sz="0" w:space="0" w:color="auto"/>
        <w:right w:val="none" w:sz="0" w:space="0" w:color="auto"/>
      </w:divBdr>
    </w:div>
    <w:div w:id="1008865822">
      <w:bodyDiv w:val="1"/>
      <w:marLeft w:val="0"/>
      <w:marRight w:val="0"/>
      <w:marTop w:val="0"/>
      <w:marBottom w:val="0"/>
      <w:divBdr>
        <w:top w:val="none" w:sz="0" w:space="0" w:color="auto"/>
        <w:left w:val="none" w:sz="0" w:space="0" w:color="auto"/>
        <w:bottom w:val="none" w:sz="0" w:space="0" w:color="auto"/>
        <w:right w:val="none" w:sz="0" w:space="0" w:color="auto"/>
      </w:divBdr>
    </w:div>
    <w:div w:id="1067650614">
      <w:bodyDiv w:val="1"/>
      <w:marLeft w:val="0"/>
      <w:marRight w:val="0"/>
      <w:marTop w:val="0"/>
      <w:marBottom w:val="0"/>
      <w:divBdr>
        <w:top w:val="none" w:sz="0" w:space="0" w:color="auto"/>
        <w:left w:val="none" w:sz="0" w:space="0" w:color="auto"/>
        <w:bottom w:val="none" w:sz="0" w:space="0" w:color="auto"/>
        <w:right w:val="none" w:sz="0" w:space="0" w:color="auto"/>
      </w:divBdr>
    </w:div>
    <w:div w:id="1073550899">
      <w:bodyDiv w:val="1"/>
      <w:marLeft w:val="0"/>
      <w:marRight w:val="0"/>
      <w:marTop w:val="0"/>
      <w:marBottom w:val="0"/>
      <w:divBdr>
        <w:top w:val="none" w:sz="0" w:space="0" w:color="auto"/>
        <w:left w:val="none" w:sz="0" w:space="0" w:color="auto"/>
        <w:bottom w:val="none" w:sz="0" w:space="0" w:color="auto"/>
        <w:right w:val="none" w:sz="0" w:space="0" w:color="auto"/>
      </w:divBdr>
    </w:div>
    <w:div w:id="1095173231">
      <w:bodyDiv w:val="1"/>
      <w:marLeft w:val="0"/>
      <w:marRight w:val="0"/>
      <w:marTop w:val="0"/>
      <w:marBottom w:val="0"/>
      <w:divBdr>
        <w:top w:val="none" w:sz="0" w:space="0" w:color="auto"/>
        <w:left w:val="none" w:sz="0" w:space="0" w:color="auto"/>
        <w:bottom w:val="none" w:sz="0" w:space="0" w:color="auto"/>
        <w:right w:val="none" w:sz="0" w:space="0" w:color="auto"/>
      </w:divBdr>
    </w:div>
    <w:div w:id="1108089481">
      <w:bodyDiv w:val="1"/>
      <w:marLeft w:val="0"/>
      <w:marRight w:val="0"/>
      <w:marTop w:val="0"/>
      <w:marBottom w:val="0"/>
      <w:divBdr>
        <w:top w:val="none" w:sz="0" w:space="0" w:color="auto"/>
        <w:left w:val="none" w:sz="0" w:space="0" w:color="auto"/>
        <w:bottom w:val="none" w:sz="0" w:space="0" w:color="auto"/>
        <w:right w:val="none" w:sz="0" w:space="0" w:color="auto"/>
      </w:divBdr>
    </w:div>
    <w:div w:id="1139807342">
      <w:bodyDiv w:val="1"/>
      <w:marLeft w:val="0"/>
      <w:marRight w:val="0"/>
      <w:marTop w:val="0"/>
      <w:marBottom w:val="0"/>
      <w:divBdr>
        <w:top w:val="none" w:sz="0" w:space="0" w:color="auto"/>
        <w:left w:val="none" w:sz="0" w:space="0" w:color="auto"/>
        <w:bottom w:val="none" w:sz="0" w:space="0" w:color="auto"/>
        <w:right w:val="none" w:sz="0" w:space="0" w:color="auto"/>
      </w:divBdr>
    </w:div>
    <w:div w:id="1148060046">
      <w:bodyDiv w:val="1"/>
      <w:marLeft w:val="0"/>
      <w:marRight w:val="0"/>
      <w:marTop w:val="0"/>
      <w:marBottom w:val="0"/>
      <w:divBdr>
        <w:top w:val="none" w:sz="0" w:space="0" w:color="auto"/>
        <w:left w:val="none" w:sz="0" w:space="0" w:color="auto"/>
        <w:bottom w:val="none" w:sz="0" w:space="0" w:color="auto"/>
        <w:right w:val="none" w:sz="0" w:space="0" w:color="auto"/>
      </w:divBdr>
    </w:div>
    <w:div w:id="1151287969">
      <w:bodyDiv w:val="1"/>
      <w:marLeft w:val="0"/>
      <w:marRight w:val="0"/>
      <w:marTop w:val="0"/>
      <w:marBottom w:val="0"/>
      <w:divBdr>
        <w:top w:val="none" w:sz="0" w:space="0" w:color="auto"/>
        <w:left w:val="none" w:sz="0" w:space="0" w:color="auto"/>
        <w:bottom w:val="none" w:sz="0" w:space="0" w:color="auto"/>
        <w:right w:val="none" w:sz="0" w:space="0" w:color="auto"/>
      </w:divBdr>
    </w:div>
    <w:div w:id="1157957233">
      <w:bodyDiv w:val="1"/>
      <w:marLeft w:val="0"/>
      <w:marRight w:val="0"/>
      <w:marTop w:val="0"/>
      <w:marBottom w:val="0"/>
      <w:divBdr>
        <w:top w:val="none" w:sz="0" w:space="0" w:color="auto"/>
        <w:left w:val="none" w:sz="0" w:space="0" w:color="auto"/>
        <w:bottom w:val="none" w:sz="0" w:space="0" w:color="auto"/>
        <w:right w:val="none" w:sz="0" w:space="0" w:color="auto"/>
      </w:divBdr>
    </w:div>
    <w:div w:id="1161583011">
      <w:bodyDiv w:val="1"/>
      <w:marLeft w:val="0"/>
      <w:marRight w:val="0"/>
      <w:marTop w:val="0"/>
      <w:marBottom w:val="0"/>
      <w:divBdr>
        <w:top w:val="none" w:sz="0" w:space="0" w:color="auto"/>
        <w:left w:val="none" w:sz="0" w:space="0" w:color="auto"/>
        <w:bottom w:val="none" w:sz="0" w:space="0" w:color="auto"/>
        <w:right w:val="none" w:sz="0" w:space="0" w:color="auto"/>
      </w:divBdr>
    </w:div>
    <w:div w:id="1182085489">
      <w:bodyDiv w:val="1"/>
      <w:marLeft w:val="0"/>
      <w:marRight w:val="0"/>
      <w:marTop w:val="0"/>
      <w:marBottom w:val="0"/>
      <w:divBdr>
        <w:top w:val="none" w:sz="0" w:space="0" w:color="auto"/>
        <w:left w:val="none" w:sz="0" w:space="0" w:color="auto"/>
        <w:bottom w:val="none" w:sz="0" w:space="0" w:color="auto"/>
        <w:right w:val="none" w:sz="0" w:space="0" w:color="auto"/>
      </w:divBdr>
    </w:div>
    <w:div w:id="1185559729">
      <w:bodyDiv w:val="1"/>
      <w:marLeft w:val="0"/>
      <w:marRight w:val="0"/>
      <w:marTop w:val="0"/>
      <w:marBottom w:val="0"/>
      <w:divBdr>
        <w:top w:val="none" w:sz="0" w:space="0" w:color="auto"/>
        <w:left w:val="none" w:sz="0" w:space="0" w:color="auto"/>
        <w:bottom w:val="none" w:sz="0" w:space="0" w:color="auto"/>
        <w:right w:val="none" w:sz="0" w:space="0" w:color="auto"/>
      </w:divBdr>
    </w:div>
    <w:div w:id="1198542702">
      <w:bodyDiv w:val="1"/>
      <w:marLeft w:val="0"/>
      <w:marRight w:val="0"/>
      <w:marTop w:val="0"/>
      <w:marBottom w:val="0"/>
      <w:divBdr>
        <w:top w:val="none" w:sz="0" w:space="0" w:color="auto"/>
        <w:left w:val="none" w:sz="0" w:space="0" w:color="auto"/>
        <w:bottom w:val="none" w:sz="0" w:space="0" w:color="auto"/>
        <w:right w:val="none" w:sz="0" w:space="0" w:color="auto"/>
      </w:divBdr>
    </w:div>
    <w:div w:id="1271206926">
      <w:bodyDiv w:val="1"/>
      <w:marLeft w:val="0"/>
      <w:marRight w:val="0"/>
      <w:marTop w:val="0"/>
      <w:marBottom w:val="0"/>
      <w:divBdr>
        <w:top w:val="none" w:sz="0" w:space="0" w:color="auto"/>
        <w:left w:val="none" w:sz="0" w:space="0" w:color="auto"/>
        <w:bottom w:val="none" w:sz="0" w:space="0" w:color="auto"/>
        <w:right w:val="none" w:sz="0" w:space="0" w:color="auto"/>
      </w:divBdr>
    </w:div>
    <w:div w:id="1271860017">
      <w:bodyDiv w:val="1"/>
      <w:marLeft w:val="0"/>
      <w:marRight w:val="0"/>
      <w:marTop w:val="0"/>
      <w:marBottom w:val="0"/>
      <w:divBdr>
        <w:top w:val="none" w:sz="0" w:space="0" w:color="auto"/>
        <w:left w:val="none" w:sz="0" w:space="0" w:color="auto"/>
        <w:bottom w:val="none" w:sz="0" w:space="0" w:color="auto"/>
        <w:right w:val="none" w:sz="0" w:space="0" w:color="auto"/>
      </w:divBdr>
    </w:div>
    <w:div w:id="1294942189">
      <w:bodyDiv w:val="1"/>
      <w:marLeft w:val="0"/>
      <w:marRight w:val="0"/>
      <w:marTop w:val="0"/>
      <w:marBottom w:val="0"/>
      <w:divBdr>
        <w:top w:val="none" w:sz="0" w:space="0" w:color="auto"/>
        <w:left w:val="none" w:sz="0" w:space="0" w:color="auto"/>
        <w:bottom w:val="none" w:sz="0" w:space="0" w:color="auto"/>
        <w:right w:val="none" w:sz="0" w:space="0" w:color="auto"/>
      </w:divBdr>
    </w:div>
    <w:div w:id="1312709122">
      <w:bodyDiv w:val="1"/>
      <w:marLeft w:val="0"/>
      <w:marRight w:val="0"/>
      <w:marTop w:val="0"/>
      <w:marBottom w:val="0"/>
      <w:divBdr>
        <w:top w:val="none" w:sz="0" w:space="0" w:color="auto"/>
        <w:left w:val="none" w:sz="0" w:space="0" w:color="auto"/>
        <w:bottom w:val="none" w:sz="0" w:space="0" w:color="auto"/>
        <w:right w:val="none" w:sz="0" w:space="0" w:color="auto"/>
      </w:divBdr>
    </w:div>
    <w:div w:id="1320186277">
      <w:bodyDiv w:val="1"/>
      <w:marLeft w:val="0"/>
      <w:marRight w:val="0"/>
      <w:marTop w:val="0"/>
      <w:marBottom w:val="0"/>
      <w:divBdr>
        <w:top w:val="none" w:sz="0" w:space="0" w:color="auto"/>
        <w:left w:val="none" w:sz="0" w:space="0" w:color="auto"/>
        <w:bottom w:val="none" w:sz="0" w:space="0" w:color="auto"/>
        <w:right w:val="none" w:sz="0" w:space="0" w:color="auto"/>
      </w:divBdr>
    </w:div>
    <w:div w:id="1320844547">
      <w:bodyDiv w:val="1"/>
      <w:marLeft w:val="0"/>
      <w:marRight w:val="0"/>
      <w:marTop w:val="0"/>
      <w:marBottom w:val="0"/>
      <w:divBdr>
        <w:top w:val="none" w:sz="0" w:space="0" w:color="auto"/>
        <w:left w:val="none" w:sz="0" w:space="0" w:color="auto"/>
        <w:bottom w:val="none" w:sz="0" w:space="0" w:color="auto"/>
        <w:right w:val="none" w:sz="0" w:space="0" w:color="auto"/>
      </w:divBdr>
    </w:div>
    <w:div w:id="1326201136">
      <w:bodyDiv w:val="1"/>
      <w:marLeft w:val="0"/>
      <w:marRight w:val="0"/>
      <w:marTop w:val="0"/>
      <w:marBottom w:val="0"/>
      <w:divBdr>
        <w:top w:val="none" w:sz="0" w:space="0" w:color="auto"/>
        <w:left w:val="none" w:sz="0" w:space="0" w:color="auto"/>
        <w:bottom w:val="none" w:sz="0" w:space="0" w:color="auto"/>
        <w:right w:val="none" w:sz="0" w:space="0" w:color="auto"/>
      </w:divBdr>
    </w:div>
    <w:div w:id="1330214021">
      <w:bodyDiv w:val="1"/>
      <w:marLeft w:val="0"/>
      <w:marRight w:val="0"/>
      <w:marTop w:val="0"/>
      <w:marBottom w:val="0"/>
      <w:divBdr>
        <w:top w:val="none" w:sz="0" w:space="0" w:color="auto"/>
        <w:left w:val="none" w:sz="0" w:space="0" w:color="auto"/>
        <w:bottom w:val="none" w:sz="0" w:space="0" w:color="auto"/>
        <w:right w:val="none" w:sz="0" w:space="0" w:color="auto"/>
      </w:divBdr>
    </w:div>
    <w:div w:id="1332565552">
      <w:bodyDiv w:val="1"/>
      <w:marLeft w:val="0"/>
      <w:marRight w:val="0"/>
      <w:marTop w:val="0"/>
      <w:marBottom w:val="0"/>
      <w:divBdr>
        <w:top w:val="none" w:sz="0" w:space="0" w:color="auto"/>
        <w:left w:val="none" w:sz="0" w:space="0" w:color="auto"/>
        <w:bottom w:val="none" w:sz="0" w:space="0" w:color="auto"/>
        <w:right w:val="none" w:sz="0" w:space="0" w:color="auto"/>
      </w:divBdr>
    </w:div>
    <w:div w:id="1366950880">
      <w:bodyDiv w:val="1"/>
      <w:marLeft w:val="0"/>
      <w:marRight w:val="0"/>
      <w:marTop w:val="0"/>
      <w:marBottom w:val="0"/>
      <w:divBdr>
        <w:top w:val="none" w:sz="0" w:space="0" w:color="auto"/>
        <w:left w:val="none" w:sz="0" w:space="0" w:color="auto"/>
        <w:bottom w:val="none" w:sz="0" w:space="0" w:color="auto"/>
        <w:right w:val="none" w:sz="0" w:space="0" w:color="auto"/>
      </w:divBdr>
    </w:div>
    <w:div w:id="1372459967">
      <w:bodyDiv w:val="1"/>
      <w:marLeft w:val="0"/>
      <w:marRight w:val="0"/>
      <w:marTop w:val="0"/>
      <w:marBottom w:val="0"/>
      <w:divBdr>
        <w:top w:val="none" w:sz="0" w:space="0" w:color="auto"/>
        <w:left w:val="none" w:sz="0" w:space="0" w:color="auto"/>
        <w:bottom w:val="none" w:sz="0" w:space="0" w:color="auto"/>
        <w:right w:val="none" w:sz="0" w:space="0" w:color="auto"/>
      </w:divBdr>
    </w:div>
    <w:div w:id="1382050572">
      <w:bodyDiv w:val="1"/>
      <w:marLeft w:val="0"/>
      <w:marRight w:val="0"/>
      <w:marTop w:val="0"/>
      <w:marBottom w:val="0"/>
      <w:divBdr>
        <w:top w:val="none" w:sz="0" w:space="0" w:color="auto"/>
        <w:left w:val="none" w:sz="0" w:space="0" w:color="auto"/>
        <w:bottom w:val="none" w:sz="0" w:space="0" w:color="auto"/>
        <w:right w:val="none" w:sz="0" w:space="0" w:color="auto"/>
      </w:divBdr>
    </w:div>
    <w:div w:id="1402368724">
      <w:bodyDiv w:val="1"/>
      <w:marLeft w:val="0"/>
      <w:marRight w:val="0"/>
      <w:marTop w:val="0"/>
      <w:marBottom w:val="0"/>
      <w:divBdr>
        <w:top w:val="none" w:sz="0" w:space="0" w:color="auto"/>
        <w:left w:val="none" w:sz="0" w:space="0" w:color="auto"/>
        <w:bottom w:val="none" w:sz="0" w:space="0" w:color="auto"/>
        <w:right w:val="none" w:sz="0" w:space="0" w:color="auto"/>
      </w:divBdr>
    </w:div>
    <w:div w:id="1402437508">
      <w:bodyDiv w:val="1"/>
      <w:marLeft w:val="0"/>
      <w:marRight w:val="0"/>
      <w:marTop w:val="0"/>
      <w:marBottom w:val="0"/>
      <w:divBdr>
        <w:top w:val="none" w:sz="0" w:space="0" w:color="auto"/>
        <w:left w:val="none" w:sz="0" w:space="0" w:color="auto"/>
        <w:bottom w:val="none" w:sz="0" w:space="0" w:color="auto"/>
        <w:right w:val="none" w:sz="0" w:space="0" w:color="auto"/>
      </w:divBdr>
    </w:div>
    <w:div w:id="1407024256">
      <w:bodyDiv w:val="1"/>
      <w:marLeft w:val="0"/>
      <w:marRight w:val="0"/>
      <w:marTop w:val="0"/>
      <w:marBottom w:val="0"/>
      <w:divBdr>
        <w:top w:val="none" w:sz="0" w:space="0" w:color="auto"/>
        <w:left w:val="none" w:sz="0" w:space="0" w:color="auto"/>
        <w:bottom w:val="none" w:sz="0" w:space="0" w:color="auto"/>
        <w:right w:val="none" w:sz="0" w:space="0" w:color="auto"/>
      </w:divBdr>
    </w:div>
    <w:div w:id="1452746660">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63887183">
      <w:bodyDiv w:val="1"/>
      <w:marLeft w:val="0"/>
      <w:marRight w:val="0"/>
      <w:marTop w:val="0"/>
      <w:marBottom w:val="0"/>
      <w:divBdr>
        <w:top w:val="none" w:sz="0" w:space="0" w:color="auto"/>
        <w:left w:val="none" w:sz="0" w:space="0" w:color="auto"/>
        <w:bottom w:val="none" w:sz="0" w:space="0" w:color="auto"/>
        <w:right w:val="none" w:sz="0" w:space="0" w:color="auto"/>
      </w:divBdr>
    </w:div>
    <w:div w:id="1470974948">
      <w:bodyDiv w:val="1"/>
      <w:marLeft w:val="0"/>
      <w:marRight w:val="0"/>
      <w:marTop w:val="0"/>
      <w:marBottom w:val="0"/>
      <w:divBdr>
        <w:top w:val="none" w:sz="0" w:space="0" w:color="auto"/>
        <w:left w:val="none" w:sz="0" w:space="0" w:color="auto"/>
        <w:bottom w:val="none" w:sz="0" w:space="0" w:color="auto"/>
        <w:right w:val="none" w:sz="0" w:space="0" w:color="auto"/>
      </w:divBdr>
    </w:div>
    <w:div w:id="1475220431">
      <w:bodyDiv w:val="1"/>
      <w:marLeft w:val="0"/>
      <w:marRight w:val="0"/>
      <w:marTop w:val="0"/>
      <w:marBottom w:val="0"/>
      <w:divBdr>
        <w:top w:val="none" w:sz="0" w:space="0" w:color="auto"/>
        <w:left w:val="none" w:sz="0" w:space="0" w:color="auto"/>
        <w:bottom w:val="none" w:sz="0" w:space="0" w:color="auto"/>
        <w:right w:val="none" w:sz="0" w:space="0" w:color="auto"/>
      </w:divBdr>
    </w:div>
    <w:div w:id="1478379301">
      <w:bodyDiv w:val="1"/>
      <w:marLeft w:val="0"/>
      <w:marRight w:val="0"/>
      <w:marTop w:val="0"/>
      <w:marBottom w:val="0"/>
      <w:divBdr>
        <w:top w:val="none" w:sz="0" w:space="0" w:color="auto"/>
        <w:left w:val="none" w:sz="0" w:space="0" w:color="auto"/>
        <w:bottom w:val="none" w:sz="0" w:space="0" w:color="auto"/>
        <w:right w:val="none" w:sz="0" w:space="0" w:color="auto"/>
      </w:divBdr>
    </w:div>
    <w:div w:id="1485585454">
      <w:bodyDiv w:val="1"/>
      <w:marLeft w:val="0"/>
      <w:marRight w:val="0"/>
      <w:marTop w:val="0"/>
      <w:marBottom w:val="0"/>
      <w:divBdr>
        <w:top w:val="none" w:sz="0" w:space="0" w:color="auto"/>
        <w:left w:val="none" w:sz="0" w:space="0" w:color="auto"/>
        <w:bottom w:val="none" w:sz="0" w:space="0" w:color="auto"/>
        <w:right w:val="none" w:sz="0" w:space="0" w:color="auto"/>
      </w:divBdr>
    </w:div>
    <w:div w:id="1500121915">
      <w:bodyDiv w:val="1"/>
      <w:marLeft w:val="0"/>
      <w:marRight w:val="0"/>
      <w:marTop w:val="0"/>
      <w:marBottom w:val="0"/>
      <w:divBdr>
        <w:top w:val="none" w:sz="0" w:space="0" w:color="auto"/>
        <w:left w:val="none" w:sz="0" w:space="0" w:color="auto"/>
        <w:bottom w:val="none" w:sz="0" w:space="0" w:color="auto"/>
        <w:right w:val="none" w:sz="0" w:space="0" w:color="auto"/>
      </w:divBdr>
    </w:div>
    <w:div w:id="1505052368">
      <w:bodyDiv w:val="1"/>
      <w:marLeft w:val="0"/>
      <w:marRight w:val="0"/>
      <w:marTop w:val="0"/>
      <w:marBottom w:val="0"/>
      <w:divBdr>
        <w:top w:val="none" w:sz="0" w:space="0" w:color="auto"/>
        <w:left w:val="none" w:sz="0" w:space="0" w:color="auto"/>
        <w:bottom w:val="none" w:sz="0" w:space="0" w:color="auto"/>
        <w:right w:val="none" w:sz="0" w:space="0" w:color="auto"/>
      </w:divBdr>
    </w:div>
    <w:div w:id="1520855969">
      <w:bodyDiv w:val="1"/>
      <w:marLeft w:val="0"/>
      <w:marRight w:val="0"/>
      <w:marTop w:val="0"/>
      <w:marBottom w:val="0"/>
      <w:divBdr>
        <w:top w:val="none" w:sz="0" w:space="0" w:color="auto"/>
        <w:left w:val="none" w:sz="0" w:space="0" w:color="auto"/>
        <w:bottom w:val="none" w:sz="0" w:space="0" w:color="auto"/>
        <w:right w:val="none" w:sz="0" w:space="0" w:color="auto"/>
      </w:divBdr>
    </w:div>
    <w:div w:id="1551115493">
      <w:bodyDiv w:val="1"/>
      <w:marLeft w:val="0"/>
      <w:marRight w:val="0"/>
      <w:marTop w:val="0"/>
      <w:marBottom w:val="0"/>
      <w:divBdr>
        <w:top w:val="none" w:sz="0" w:space="0" w:color="auto"/>
        <w:left w:val="none" w:sz="0" w:space="0" w:color="auto"/>
        <w:bottom w:val="none" w:sz="0" w:space="0" w:color="auto"/>
        <w:right w:val="none" w:sz="0" w:space="0" w:color="auto"/>
      </w:divBdr>
    </w:div>
    <w:div w:id="1563640926">
      <w:bodyDiv w:val="1"/>
      <w:marLeft w:val="0"/>
      <w:marRight w:val="0"/>
      <w:marTop w:val="0"/>
      <w:marBottom w:val="0"/>
      <w:divBdr>
        <w:top w:val="none" w:sz="0" w:space="0" w:color="auto"/>
        <w:left w:val="none" w:sz="0" w:space="0" w:color="auto"/>
        <w:bottom w:val="none" w:sz="0" w:space="0" w:color="auto"/>
        <w:right w:val="none" w:sz="0" w:space="0" w:color="auto"/>
      </w:divBdr>
    </w:div>
    <w:div w:id="1574002027">
      <w:bodyDiv w:val="1"/>
      <w:marLeft w:val="0"/>
      <w:marRight w:val="0"/>
      <w:marTop w:val="0"/>
      <w:marBottom w:val="0"/>
      <w:divBdr>
        <w:top w:val="none" w:sz="0" w:space="0" w:color="auto"/>
        <w:left w:val="none" w:sz="0" w:space="0" w:color="auto"/>
        <w:bottom w:val="none" w:sz="0" w:space="0" w:color="auto"/>
        <w:right w:val="none" w:sz="0" w:space="0" w:color="auto"/>
      </w:divBdr>
    </w:div>
    <w:div w:id="1575385537">
      <w:bodyDiv w:val="1"/>
      <w:marLeft w:val="0"/>
      <w:marRight w:val="0"/>
      <w:marTop w:val="0"/>
      <w:marBottom w:val="0"/>
      <w:divBdr>
        <w:top w:val="none" w:sz="0" w:space="0" w:color="auto"/>
        <w:left w:val="none" w:sz="0" w:space="0" w:color="auto"/>
        <w:bottom w:val="none" w:sz="0" w:space="0" w:color="auto"/>
        <w:right w:val="none" w:sz="0" w:space="0" w:color="auto"/>
      </w:divBdr>
    </w:div>
    <w:div w:id="1576738543">
      <w:bodyDiv w:val="1"/>
      <w:marLeft w:val="0"/>
      <w:marRight w:val="0"/>
      <w:marTop w:val="0"/>
      <w:marBottom w:val="0"/>
      <w:divBdr>
        <w:top w:val="none" w:sz="0" w:space="0" w:color="auto"/>
        <w:left w:val="none" w:sz="0" w:space="0" w:color="auto"/>
        <w:bottom w:val="none" w:sz="0" w:space="0" w:color="auto"/>
        <w:right w:val="none" w:sz="0" w:space="0" w:color="auto"/>
      </w:divBdr>
    </w:div>
    <w:div w:id="1616594999">
      <w:bodyDiv w:val="1"/>
      <w:marLeft w:val="0"/>
      <w:marRight w:val="0"/>
      <w:marTop w:val="0"/>
      <w:marBottom w:val="0"/>
      <w:divBdr>
        <w:top w:val="none" w:sz="0" w:space="0" w:color="auto"/>
        <w:left w:val="none" w:sz="0" w:space="0" w:color="auto"/>
        <w:bottom w:val="none" w:sz="0" w:space="0" w:color="auto"/>
        <w:right w:val="none" w:sz="0" w:space="0" w:color="auto"/>
      </w:divBdr>
    </w:div>
    <w:div w:id="1618486607">
      <w:bodyDiv w:val="1"/>
      <w:marLeft w:val="0"/>
      <w:marRight w:val="0"/>
      <w:marTop w:val="0"/>
      <w:marBottom w:val="0"/>
      <w:divBdr>
        <w:top w:val="none" w:sz="0" w:space="0" w:color="auto"/>
        <w:left w:val="none" w:sz="0" w:space="0" w:color="auto"/>
        <w:bottom w:val="none" w:sz="0" w:space="0" w:color="auto"/>
        <w:right w:val="none" w:sz="0" w:space="0" w:color="auto"/>
      </w:divBdr>
    </w:div>
    <w:div w:id="1625767638">
      <w:bodyDiv w:val="1"/>
      <w:marLeft w:val="0"/>
      <w:marRight w:val="0"/>
      <w:marTop w:val="0"/>
      <w:marBottom w:val="0"/>
      <w:divBdr>
        <w:top w:val="none" w:sz="0" w:space="0" w:color="auto"/>
        <w:left w:val="none" w:sz="0" w:space="0" w:color="auto"/>
        <w:bottom w:val="none" w:sz="0" w:space="0" w:color="auto"/>
        <w:right w:val="none" w:sz="0" w:space="0" w:color="auto"/>
      </w:divBdr>
    </w:div>
    <w:div w:id="1631545773">
      <w:bodyDiv w:val="1"/>
      <w:marLeft w:val="0"/>
      <w:marRight w:val="0"/>
      <w:marTop w:val="0"/>
      <w:marBottom w:val="0"/>
      <w:divBdr>
        <w:top w:val="none" w:sz="0" w:space="0" w:color="auto"/>
        <w:left w:val="none" w:sz="0" w:space="0" w:color="auto"/>
        <w:bottom w:val="none" w:sz="0" w:space="0" w:color="auto"/>
        <w:right w:val="none" w:sz="0" w:space="0" w:color="auto"/>
      </w:divBdr>
    </w:div>
    <w:div w:id="1641223368">
      <w:bodyDiv w:val="1"/>
      <w:marLeft w:val="0"/>
      <w:marRight w:val="0"/>
      <w:marTop w:val="0"/>
      <w:marBottom w:val="0"/>
      <w:divBdr>
        <w:top w:val="none" w:sz="0" w:space="0" w:color="auto"/>
        <w:left w:val="none" w:sz="0" w:space="0" w:color="auto"/>
        <w:bottom w:val="none" w:sz="0" w:space="0" w:color="auto"/>
        <w:right w:val="none" w:sz="0" w:space="0" w:color="auto"/>
      </w:divBdr>
    </w:div>
    <w:div w:id="1647398413">
      <w:bodyDiv w:val="1"/>
      <w:marLeft w:val="0"/>
      <w:marRight w:val="0"/>
      <w:marTop w:val="0"/>
      <w:marBottom w:val="0"/>
      <w:divBdr>
        <w:top w:val="none" w:sz="0" w:space="0" w:color="auto"/>
        <w:left w:val="none" w:sz="0" w:space="0" w:color="auto"/>
        <w:bottom w:val="none" w:sz="0" w:space="0" w:color="auto"/>
        <w:right w:val="none" w:sz="0" w:space="0" w:color="auto"/>
      </w:divBdr>
    </w:div>
    <w:div w:id="1649746207">
      <w:bodyDiv w:val="1"/>
      <w:marLeft w:val="0"/>
      <w:marRight w:val="0"/>
      <w:marTop w:val="0"/>
      <w:marBottom w:val="0"/>
      <w:divBdr>
        <w:top w:val="none" w:sz="0" w:space="0" w:color="auto"/>
        <w:left w:val="none" w:sz="0" w:space="0" w:color="auto"/>
        <w:bottom w:val="none" w:sz="0" w:space="0" w:color="auto"/>
        <w:right w:val="none" w:sz="0" w:space="0" w:color="auto"/>
      </w:divBdr>
    </w:div>
    <w:div w:id="1656913097">
      <w:bodyDiv w:val="1"/>
      <w:marLeft w:val="0"/>
      <w:marRight w:val="0"/>
      <w:marTop w:val="0"/>
      <w:marBottom w:val="0"/>
      <w:divBdr>
        <w:top w:val="none" w:sz="0" w:space="0" w:color="auto"/>
        <w:left w:val="none" w:sz="0" w:space="0" w:color="auto"/>
        <w:bottom w:val="none" w:sz="0" w:space="0" w:color="auto"/>
        <w:right w:val="none" w:sz="0" w:space="0" w:color="auto"/>
      </w:divBdr>
    </w:div>
    <w:div w:id="1666324413">
      <w:bodyDiv w:val="1"/>
      <w:marLeft w:val="0"/>
      <w:marRight w:val="0"/>
      <w:marTop w:val="0"/>
      <w:marBottom w:val="0"/>
      <w:divBdr>
        <w:top w:val="none" w:sz="0" w:space="0" w:color="auto"/>
        <w:left w:val="none" w:sz="0" w:space="0" w:color="auto"/>
        <w:bottom w:val="none" w:sz="0" w:space="0" w:color="auto"/>
        <w:right w:val="none" w:sz="0" w:space="0" w:color="auto"/>
      </w:divBdr>
    </w:div>
    <w:div w:id="1666784161">
      <w:bodyDiv w:val="1"/>
      <w:marLeft w:val="0"/>
      <w:marRight w:val="0"/>
      <w:marTop w:val="0"/>
      <w:marBottom w:val="0"/>
      <w:divBdr>
        <w:top w:val="none" w:sz="0" w:space="0" w:color="auto"/>
        <w:left w:val="none" w:sz="0" w:space="0" w:color="auto"/>
        <w:bottom w:val="none" w:sz="0" w:space="0" w:color="auto"/>
        <w:right w:val="none" w:sz="0" w:space="0" w:color="auto"/>
      </w:divBdr>
    </w:div>
    <w:div w:id="1670134449">
      <w:bodyDiv w:val="1"/>
      <w:marLeft w:val="0"/>
      <w:marRight w:val="0"/>
      <w:marTop w:val="0"/>
      <w:marBottom w:val="0"/>
      <w:divBdr>
        <w:top w:val="none" w:sz="0" w:space="0" w:color="auto"/>
        <w:left w:val="none" w:sz="0" w:space="0" w:color="auto"/>
        <w:bottom w:val="none" w:sz="0" w:space="0" w:color="auto"/>
        <w:right w:val="none" w:sz="0" w:space="0" w:color="auto"/>
      </w:divBdr>
    </w:div>
    <w:div w:id="1685016189">
      <w:bodyDiv w:val="1"/>
      <w:marLeft w:val="0"/>
      <w:marRight w:val="0"/>
      <w:marTop w:val="0"/>
      <w:marBottom w:val="0"/>
      <w:divBdr>
        <w:top w:val="none" w:sz="0" w:space="0" w:color="auto"/>
        <w:left w:val="none" w:sz="0" w:space="0" w:color="auto"/>
        <w:bottom w:val="none" w:sz="0" w:space="0" w:color="auto"/>
        <w:right w:val="none" w:sz="0" w:space="0" w:color="auto"/>
      </w:divBdr>
    </w:div>
    <w:div w:id="1702633259">
      <w:bodyDiv w:val="1"/>
      <w:marLeft w:val="0"/>
      <w:marRight w:val="0"/>
      <w:marTop w:val="0"/>
      <w:marBottom w:val="0"/>
      <w:divBdr>
        <w:top w:val="none" w:sz="0" w:space="0" w:color="auto"/>
        <w:left w:val="none" w:sz="0" w:space="0" w:color="auto"/>
        <w:bottom w:val="none" w:sz="0" w:space="0" w:color="auto"/>
        <w:right w:val="none" w:sz="0" w:space="0" w:color="auto"/>
      </w:divBdr>
    </w:div>
    <w:div w:id="1703626126">
      <w:bodyDiv w:val="1"/>
      <w:marLeft w:val="0"/>
      <w:marRight w:val="0"/>
      <w:marTop w:val="0"/>
      <w:marBottom w:val="0"/>
      <w:divBdr>
        <w:top w:val="none" w:sz="0" w:space="0" w:color="auto"/>
        <w:left w:val="none" w:sz="0" w:space="0" w:color="auto"/>
        <w:bottom w:val="none" w:sz="0" w:space="0" w:color="auto"/>
        <w:right w:val="none" w:sz="0" w:space="0" w:color="auto"/>
      </w:divBdr>
    </w:div>
    <w:div w:id="1709797495">
      <w:bodyDiv w:val="1"/>
      <w:marLeft w:val="0"/>
      <w:marRight w:val="0"/>
      <w:marTop w:val="0"/>
      <w:marBottom w:val="0"/>
      <w:divBdr>
        <w:top w:val="none" w:sz="0" w:space="0" w:color="auto"/>
        <w:left w:val="none" w:sz="0" w:space="0" w:color="auto"/>
        <w:bottom w:val="none" w:sz="0" w:space="0" w:color="auto"/>
        <w:right w:val="none" w:sz="0" w:space="0" w:color="auto"/>
      </w:divBdr>
    </w:div>
    <w:div w:id="1715807328">
      <w:bodyDiv w:val="1"/>
      <w:marLeft w:val="0"/>
      <w:marRight w:val="0"/>
      <w:marTop w:val="0"/>
      <w:marBottom w:val="0"/>
      <w:divBdr>
        <w:top w:val="none" w:sz="0" w:space="0" w:color="auto"/>
        <w:left w:val="none" w:sz="0" w:space="0" w:color="auto"/>
        <w:bottom w:val="none" w:sz="0" w:space="0" w:color="auto"/>
        <w:right w:val="none" w:sz="0" w:space="0" w:color="auto"/>
      </w:divBdr>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
    <w:div w:id="1880430482">
      <w:bodyDiv w:val="1"/>
      <w:marLeft w:val="0"/>
      <w:marRight w:val="0"/>
      <w:marTop w:val="0"/>
      <w:marBottom w:val="0"/>
      <w:divBdr>
        <w:top w:val="none" w:sz="0" w:space="0" w:color="auto"/>
        <w:left w:val="none" w:sz="0" w:space="0" w:color="auto"/>
        <w:bottom w:val="none" w:sz="0" w:space="0" w:color="auto"/>
        <w:right w:val="none" w:sz="0" w:space="0" w:color="auto"/>
      </w:divBdr>
    </w:div>
    <w:div w:id="1880511637">
      <w:bodyDiv w:val="1"/>
      <w:marLeft w:val="0"/>
      <w:marRight w:val="0"/>
      <w:marTop w:val="0"/>
      <w:marBottom w:val="0"/>
      <w:divBdr>
        <w:top w:val="none" w:sz="0" w:space="0" w:color="auto"/>
        <w:left w:val="none" w:sz="0" w:space="0" w:color="auto"/>
        <w:bottom w:val="none" w:sz="0" w:space="0" w:color="auto"/>
        <w:right w:val="none" w:sz="0" w:space="0" w:color="auto"/>
      </w:divBdr>
    </w:div>
    <w:div w:id="1891844466">
      <w:bodyDiv w:val="1"/>
      <w:marLeft w:val="0"/>
      <w:marRight w:val="0"/>
      <w:marTop w:val="0"/>
      <w:marBottom w:val="0"/>
      <w:divBdr>
        <w:top w:val="none" w:sz="0" w:space="0" w:color="auto"/>
        <w:left w:val="none" w:sz="0" w:space="0" w:color="auto"/>
        <w:bottom w:val="none" w:sz="0" w:space="0" w:color="auto"/>
        <w:right w:val="none" w:sz="0" w:space="0" w:color="auto"/>
      </w:divBdr>
    </w:div>
    <w:div w:id="1894340890">
      <w:bodyDiv w:val="1"/>
      <w:marLeft w:val="0"/>
      <w:marRight w:val="0"/>
      <w:marTop w:val="0"/>
      <w:marBottom w:val="0"/>
      <w:divBdr>
        <w:top w:val="none" w:sz="0" w:space="0" w:color="auto"/>
        <w:left w:val="none" w:sz="0" w:space="0" w:color="auto"/>
        <w:bottom w:val="none" w:sz="0" w:space="0" w:color="auto"/>
        <w:right w:val="none" w:sz="0" w:space="0" w:color="auto"/>
      </w:divBdr>
    </w:div>
    <w:div w:id="1898003645">
      <w:bodyDiv w:val="1"/>
      <w:marLeft w:val="0"/>
      <w:marRight w:val="0"/>
      <w:marTop w:val="0"/>
      <w:marBottom w:val="0"/>
      <w:divBdr>
        <w:top w:val="none" w:sz="0" w:space="0" w:color="auto"/>
        <w:left w:val="none" w:sz="0" w:space="0" w:color="auto"/>
        <w:bottom w:val="none" w:sz="0" w:space="0" w:color="auto"/>
        <w:right w:val="none" w:sz="0" w:space="0" w:color="auto"/>
      </w:divBdr>
    </w:div>
    <w:div w:id="1905139132">
      <w:bodyDiv w:val="1"/>
      <w:marLeft w:val="0"/>
      <w:marRight w:val="0"/>
      <w:marTop w:val="0"/>
      <w:marBottom w:val="0"/>
      <w:divBdr>
        <w:top w:val="none" w:sz="0" w:space="0" w:color="auto"/>
        <w:left w:val="none" w:sz="0" w:space="0" w:color="auto"/>
        <w:bottom w:val="none" w:sz="0" w:space="0" w:color="auto"/>
        <w:right w:val="none" w:sz="0" w:space="0" w:color="auto"/>
      </w:divBdr>
    </w:div>
    <w:div w:id="1911033643">
      <w:bodyDiv w:val="1"/>
      <w:marLeft w:val="0"/>
      <w:marRight w:val="0"/>
      <w:marTop w:val="0"/>
      <w:marBottom w:val="0"/>
      <w:divBdr>
        <w:top w:val="none" w:sz="0" w:space="0" w:color="auto"/>
        <w:left w:val="none" w:sz="0" w:space="0" w:color="auto"/>
        <w:bottom w:val="none" w:sz="0" w:space="0" w:color="auto"/>
        <w:right w:val="none" w:sz="0" w:space="0" w:color="auto"/>
      </w:divBdr>
    </w:div>
    <w:div w:id="1923492862">
      <w:bodyDiv w:val="1"/>
      <w:marLeft w:val="0"/>
      <w:marRight w:val="0"/>
      <w:marTop w:val="0"/>
      <w:marBottom w:val="0"/>
      <w:divBdr>
        <w:top w:val="none" w:sz="0" w:space="0" w:color="auto"/>
        <w:left w:val="none" w:sz="0" w:space="0" w:color="auto"/>
        <w:bottom w:val="none" w:sz="0" w:space="0" w:color="auto"/>
        <w:right w:val="none" w:sz="0" w:space="0" w:color="auto"/>
      </w:divBdr>
    </w:div>
    <w:div w:id="1933201364">
      <w:bodyDiv w:val="1"/>
      <w:marLeft w:val="0"/>
      <w:marRight w:val="0"/>
      <w:marTop w:val="0"/>
      <w:marBottom w:val="0"/>
      <w:divBdr>
        <w:top w:val="none" w:sz="0" w:space="0" w:color="auto"/>
        <w:left w:val="none" w:sz="0" w:space="0" w:color="auto"/>
        <w:bottom w:val="none" w:sz="0" w:space="0" w:color="auto"/>
        <w:right w:val="none" w:sz="0" w:space="0" w:color="auto"/>
      </w:divBdr>
    </w:div>
    <w:div w:id="1933271513">
      <w:bodyDiv w:val="1"/>
      <w:marLeft w:val="0"/>
      <w:marRight w:val="0"/>
      <w:marTop w:val="0"/>
      <w:marBottom w:val="0"/>
      <w:divBdr>
        <w:top w:val="none" w:sz="0" w:space="0" w:color="auto"/>
        <w:left w:val="none" w:sz="0" w:space="0" w:color="auto"/>
        <w:bottom w:val="none" w:sz="0" w:space="0" w:color="auto"/>
        <w:right w:val="none" w:sz="0" w:space="0" w:color="auto"/>
      </w:divBdr>
    </w:div>
    <w:div w:id="1935044399">
      <w:bodyDiv w:val="1"/>
      <w:marLeft w:val="0"/>
      <w:marRight w:val="0"/>
      <w:marTop w:val="0"/>
      <w:marBottom w:val="0"/>
      <w:divBdr>
        <w:top w:val="none" w:sz="0" w:space="0" w:color="auto"/>
        <w:left w:val="none" w:sz="0" w:space="0" w:color="auto"/>
        <w:bottom w:val="none" w:sz="0" w:space="0" w:color="auto"/>
        <w:right w:val="none" w:sz="0" w:space="0" w:color="auto"/>
      </w:divBdr>
    </w:div>
    <w:div w:id="1948852710">
      <w:bodyDiv w:val="1"/>
      <w:marLeft w:val="0"/>
      <w:marRight w:val="0"/>
      <w:marTop w:val="0"/>
      <w:marBottom w:val="0"/>
      <w:divBdr>
        <w:top w:val="none" w:sz="0" w:space="0" w:color="auto"/>
        <w:left w:val="none" w:sz="0" w:space="0" w:color="auto"/>
        <w:bottom w:val="none" w:sz="0" w:space="0" w:color="auto"/>
        <w:right w:val="none" w:sz="0" w:space="0" w:color="auto"/>
      </w:divBdr>
    </w:div>
    <w:div w:id="1951207493">
      <w:bodyDiv w:val="1"/>
      <w:marLeft w:val="0"/>
      <w:marRight w:val="0"/>
      <w:marTop w:val="0"/>
      <w:marBottom w:val="0"/>
      <w:divBdr>
        <w:top w:val="none" w:sz="0" w:space="0" w:color="auto"/>
        <w:left w:val="none" w:sz="0" w:space="0" w:color="auto"/>
        <w:bottom w:val="none" w:sz="0" w:space="0" w:color="auto"/>
        <w:right w:val="none" w:sz="0" w:space="0" w:color="auto"/>
      </w:divBdr>
    </w:div>
    <w:div w:id="1966812783">
      <w:bodyDiv w:val="1"/>
      <w:marLeft w:val="0"/>
      <w:marRight w:val="0"/>
      <w:marTop w:val="0"/>
      <w:marBottom w:val="0"/>
      <w:divBdr>
        <w:top w:val="none" w:sz="0" w:space="0" w:color="auto"/>
        <w:left w:val="none" w:sz="0" w:space="0" w:color="auto"/>
        <w:bottom w:val="none" w:sz="0" w:space="0" w:color="auto"/>
        <w:right w:val="none" w:sz="0" w:space="0" w:color="auto"/>
      </w:divBdr>
    </w:div>
    <w:div w:id="1990593617">
      <w:bodyDiv w:val="1"/>
      <w:marLeft w:val="0"/>
      <w:marRight w:val="0"/>
      <w:marTop w:val="0"/>
      <w:marBottom w:val="0"/>
      <w:divBdr>
        <w:top w:val="none" w:sz="0" w:space="0" w:color="auto"/>
        <w:left w:val="none" w:sz="0" w:space="0" w:color="auto"/>
        <w:bottom w:val="none" w:sz="0" w:space="0" w:color="auto"/>
        <w:right w:val="none" w:sz="0" w:space="0" w:color="auto"/>
      </w:divBdr>
    </w:div>
    <w:div w:id="1992099566">
      <w:bodyDiv w:val="1"/>
      <w:marLeft w:val="0"/>
      <w:marRight w:val="0"/>
      <w:marTop w:val="0"/>
      <w:marBottom w:val="0"/>
      <w:divBdr>
        <w:top w:val="none" w:sz="0" w:space="0" w:color="auto"/>
        <w:left w:val="none" w:sz="0" w:space="0" w:color="auto"/>
        <w:bottom w:val="none" w:sz="0" w:space="0" w:color="auto"/>
        <w:right w:val="none" w:sz="0" w:space="0" w:color="auto"/>
      </w:divBdr>
    </w:div>
    <w:div w:id="2011249259">
      <w:bodyDiv w:val="1"/>
      <w:marLeft w:val="0"/>
      <w:marRight w:val="0"/>
      <w:marTop w:val="0"/>
      <w:marBottom w:val="0"/>
      <w:divBdr>
        <w:top w:val="none" w:sz="0" w:space="0" w:color="auto"/>
        <w:left w:val="none" w:sz="0" w:space="0" w:color="auto"/>
        <w:bottom w:val="none" w:sz="0" w:space="0" w:color="auto"/>
        <w:right w:val="none" w:sz="0" w:space="0" w:color="auto"/>
      </w:divBdr>
    </w:div>
    <w:div w:id="2061898776">
      <w:bodyDiv w:val="1"/>
      <w:marLeft w:val="0"/>
      <w:marRight w:val="0"/>
      <w:marTop w:val="0"/>
      <w:marBottom w:val="0"/>
      <w:divBdr>
        <w:top w:val="none" w:sz="0" w:space="0" w:color="auto"/>
        <w:left w:val="none" w:sz="0" w:space="0" w:color="auto"/>
        <w:bottom w:val="none" w:sz="0" w:space="0" w:color="auto"/>
        <w:right w:val="none" w:sz="0" w:space="0" w:color="auto"/>
      </w:divBdr>
    </w:div>
    <w:div w:id="2070884419">
      <w:bodyDiv w:val="1"/>
      <w:marLeft w:val="0"/>
      <w:marRight w:val="0"/>
      <w:marTop w:val="0"/>
      <w:marBottom w:val="0"/>
      <w:divBdr>
        <w:top w:val="none" w:sz="0" w:space="0" w:color="auto"/>
        <w:left w:val="none" w:sz="0" w:space="0" w:color="auto"/>
        <w:bottom w:val="none" w:sz="0" w:space="0" w:color="auto"/>
        <w:right w:val="none" w:sz="0" w:space="0" w:color="auto"/>
      </w:divBdr>
    </w:div>
    <w:div w:id="2087022420">
      <w:bodyDiv w:val="1"/>
      <w:marLeft w:val="0"/>
      <w:marRight w:val="0"/>
      <w:marTop w:val="0"/>
      <w:marBottom w:val="0"/>
      <w:divBdr>
        <w:top w:val="none" w:sz="0" w:space="0" w:color="auto"/>
        <w:left w:val="none" w:sz="0" w:space="0" w:color="auto"/>
        <w:bottom w:val="none" w:sz="0" w:space="0" w:color="auto"/>
        <w:right w:val="none" w:sz="0" w:space="0" w:color="auto"/>
      </w:divBdr>
    </w:div>
    <w:div w:id="2091465847">
      <w:bodyDiv w:val="1"/>
      <w:marLeft w:val="0"/>
      <w:marRight w:val="0"/>
      <w:marTop w:val="0"/>
      <w:marBottom w:val="0"/>
      <w:divBdr>
        <w:top w:val="none" w:sz="0" w:space="0" w:color="auto"/>
        <w:left w:val="none" w:sz="0" w:space="0" w:color="auto"/>
        <w:bottom w:val="none" w:sz="0" w:space="0" w:color="auto"/>
        <w:right w:val="none" w:sz="0" w:space="0" w:color="auto"/>
      </w:divBdr>
    </w:div>
    <w:div w:id="2100827329">
      <w:bodyDiv w:val="1"/>
      <w:marLeft w:val="0"/>
      <w:marRight w:val="0"/>
      <w:marTop w:val="0"/>
      <w:marBottom w:val="0"/>
      <w:divBdr>
        <w:top w:val="none" w:sz="0" w:space="0" w:color="auto"/>
        <w:left w:val="none" w:sz="0" w:space="0" w:color="auto"/>
        <w:bottom w:val="none" w:sz="0" w:space="0" w:color="auto"/>
        <w:right w:val="none" w:sz="0" w:space="0" w:color="auto"/>
      </w:divBdr>
    </w:div>
    <w:div w:id="2104912334">
      <w:bodyDiv w:val="1"/>
      <w:marLeft w:val="0"/>
      <w:marRight w:val="0"/>
      <w:marTop w:val="0"/>
      <w:marBottom w:val="0"/>
      <w:divBdr>
        <w:top w:val="none" w:sz="0" w:space="0" w:color="auto"/>
        <w:left w:val="none" w:sz="0" w:space="0" w:color="auto"/>
        <w:bottom w:val="none" w:sz="0" w:space="0" w:color="auto"/>
        <w:right w:val="none" w:sz="0" w:space="0" w:color="auto"/>
      </w:divBdr>
    </w:div>
    <w:div w:id="2113668062">
      <w:bodyDiv w:val="1"/>
      <w:marLeft w:val="0"/>
      <w:marRight w:val="0"/>
      <w:marTop w:val="0"/>
      <w:marBottom w:val="0"/>
      <w:divBdr>
        <w:top w:val="none" w:sz="0" w:space="0" w:color="auto"/>
        <w:left w:val="none" w:sz="0" w:space="0" w:color="auto"/>
        <w:bottom w:val="none" w:sz="0" w:space="0" w:color="auto"/>
        <w:right w:val="none" w:sz="0" w:space="0" w:color="auto"/>
      </w:divBdr>
    </w:div>
    <w:div w:id="2126382683">
      <w:bodyDiv w:val="1"/>
      <w:marLeft w:val="0"/>
      <w:marRight w:val="0"/>
      <w:marTop w:val="0"/>
      <w:marBottom w:val="0"/>
      <w:divBdr>
        <w:top w:val="none" w:sz="0" w:space="0" w:color="auto"/>
        <w:left w:val="none" w:sz="0" w:space="0" w:color="auto"/>
        <w:bottom w:val="none" w:sz="0" w:space="0" w:color="auto"/>
        <w:right w:val="none" w:sz="0" w:space="0" w:color="auto"/>
      </w:divBdr>
    </w:div>
    <w:div w:id="2136176528">
      <w:bodyDiv w:val="1"/>
      <w:marLeft w:val="0"/>
      <w:marRight w:val="0"/>
      <w:marTop w:val="0"/>
      <w:marBottom w:val="0"/>
      <w:divBdr>
        <w:top w:val="none" w:sz="0" w:space="0" w:color="auto"/>
        <w:left w:val="none" w:sz="0" w:space="0" w:color="auto"/>
        <w:bottom w:val="none" w:sz="0" w:space="0" w:color="auto"/>
        <w:right w:val="none" w:sz="0" w:space="0" w:color="auto"/>
      </w:divBdr>
    </w:div>
    <w:div w:id="21424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ublichealthscotland.scot/publications/rapid-action-drug-alerts-and-response-radar-quarterly-report/rapid-action-drug-alerts-and-response-radar-quarterly-report-july-2025/main-points/" TargetMode="Externa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chart" Target="charts/chart2.xml"/><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hyperlink" Target="https://www.scotland.police.uk/about-us/what-we-do/how-we-are-performing/" TargetMode="External"/><Relationship Id="rId95"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chart" Target="charts/chart3.xml"/><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publichealthscotland.scot/population-health/improving-scotlands-health/drugs/surveillance/rapid-action-drug-alerts-and-response-radar/radar-quarterly-report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chart" Target="charts/chart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cotland.police.uk/about-us/how-we-do-it/our-2030-vision-and-three-year-plan/"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scotland.police.uk/about-us/what-we-do/how-we-are-performing/" TargetMode="External"/><Relationship Id="rId18" Type="http://schemas.openxmlformats.org/officeDocument/2006/relationships/hyperlink" Target="https://www.transport.gov.scot/publication/in-depth-road-fatalities-study-motorcycles-january-2015-to-august-2024-road-safety/"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publichealthscotland.scot/news/2025/september/drug-related-deaths-in-scotland-reported-for-2024/"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7.png"/><Relationship Id="rId61" Type="http://schemas.openxmlformats.org/officeDocument/2006/relationships/image" Target="media/image44.png"/><Relationship Id="rId82" Type="http://schemas.openxmlformats.org/officeDocument/2006/relationships/image" Target="media/image62.png"/><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footer" Target="footer1.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UE'!$C$2</c:f>
              <c:strCache>
                <c:ptCount val="1"/>
                <c:pt idx="0">
                  <c:v>User Experience (Source: Progressive Ltd) Base = 46,072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UE'!$B$3:$B$16</c:f>
              <c:strCache>
                <c:ptCount val="14"/>
                <c:pt idx="0">
                  <c:v>Q1 22/23
n=3752</c:v>
                </c:pt>
                <c:pt idx="1">
                  <c:v>Q2 22/23
3783</c:v>
                </c:pt>
                <c:pt idx="2">
                  <c:v>Q3 22/23
3933</c:v>
                </c:pt>
                <c:pt idx="3">
                  <c:v>Q4 22/23
3908</c:v>
                </c:pt>
                <c:pt idx="4">
                  <c:v>Q1 23/24
3885</c:v>
                </c:pt>
                <c:pt idx="5">
                  <c:v>Q2 23/24
3826</c:v>
                </c:pt>
                <c:pt idx="6">
                  <c:v>Q3 23/24
3935</c:v>
                </c:pt>
                <c:pt idx="7">
                  <c:v>Q4 23/24
3845</c:v>
                </c:pt>
                <c:pt idx="8">
                  <c:v>Q1 24/25
3834</c:v>
                </c:pt>
                <c:pt idx="9">
                  <c:v>Q2 24/25
3912</c:v>
                </c:pt>
                <c:pt idx="10">
                  <c:v>Q3 24/25
3744</c:v>
                </c:pt>
                <c:pt idx="11">
                  <c:v>Q4 24/25
3715</c:v>
                </c:pt>
                <c:pt idx="12">
                  <c:v>Q1 25/26
3746</c:v>
                </c:pt>
                <c:pt idx="13">
                  <c:v>Q2 25/26
3814</c:v>
                </c:pt>
              </c:strCache>
            </c:strRef>
          </c:cat>
          <c:val>
            <c:numRef>
              <c:f>'SIE UE'!$C$3:$C$16</c:f>
              <c:numCache>
                <c:formatCode>0%</c:formatCode>
                <c:ptCount val="14"/>
                <c:pt idx="0">
                  <c:v>0.67</c:v>
                </c:pt>
                <c:pt idx="1">
                  <c:v>0.66</c:v>
                </c:pt>
                <c:pt idx="2">
                  <c:v>0.69</c:v>
                </c:pt>
                <c:pt idx="3">
                  <c:v>0.7</c:v>
                </c:pt>
                <c:pt idx="4">
                  <c:v>0.68</c:v>
                </c:pt>
                <c:pt idx="5">
                  <c:v>0.66</c:v>
                </c:pt>
                <c:pt idx="6">
                  <c:v>0.69</c:v>
                </c:pt>
                <c:pt idx="7">
                  <c:v>0.71</c:v>
                </c:pt>
                <c:pt idx="8">
                  <c:v>0.69</c:v>
                </c:pt>
                <c:pt idx="9">
                  <c:v>0.7</c:v>
                </c:pt>
                <c:pt idx="10">
                  <c:v>0.7</c:v>
                </c:pt>
                <c:pt idx="11">
                  <c:v>0.73</c:v>
                </c:pt>
                <c:pt idx="12">
                  <c:v>0.71</c:v>
                </c:pt>
                <c:pt idx="13">
                  <c:v>0.67</c:v>
                </c:pt>
              </c:numCache>
            </c:numRef>
          </c:val>
          <c:smooth val="0"/>
          <c:extLst>
            <c:ext xmlns:c16="http://schemas.microsoft.com/office/drawing/2014/chart" uri="{C3380CC4-5D6E-409C-BE32-E72D297353CC}">
              <c16:uniqueId val="{00000000-BC2E-49A9-9A09-787ECDA8A942}"/>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ax val="1"/>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YP'!$C$2</c:f>
              <c:strCache>
                <c:ptCount val="1"/>
                <c:pt idx="0">
                  <c:v>Public Confidence (Your Police) Base = 59,391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YP'!$B$3:$B$16</c:f>
              <c:strCache>
                <c:ptCount val="14"/>
                <c:pt idx="0">
                  <c:v>Q1 22/23
n=945</c:v>
                </c:pt>
                <c:pt idx="1">
                  <c:v>Q2 22/23
10243</c:v>
                </c:pt>
                <c:pt idx="2">
                  <c:v>Q3 22/23
3781</c:v>
                </c:pt>
                <c:pt idx="3">
                  <c:v>Q4 22/23
1929</c:v>
                </c:pt>
                <c:pt idx="4">
                  <c:v>Q1 23/24
275</c:v>
                </c:pt>
                <c:pt idx="5">
                  <c:v>Q2 23/24
8071</c:v>
                </c:pt>
                <c:pt idx="6">
                  <c:v>Q3 23/24
2598</c:v>
                </c:pt>
                <c:pt idx="7">
                  <c:v>Q4 23/24
3755</c:v>
                </c:pt>
                <c:pt idx="8">
                  <c:v>Q1 24/25
844</c:v>
                </c:pt>
                <c:pt idx="9">
                  <c:v>Q2 24/25
9161</c:v>
                </c:pt>
                <c:pt idx="10">
                  <c:v>Q3 24/25
1333</c:v>
                </c:pt>
                <c:pt idx="11">
                  <c:v>Q4 24/25
4299</c:v>
                </c:pt>
                <c:pt idx="12">
                  <c:v>Q1 25/26
1237</c:v>
                </c:pt>
                <c:pt idx="13">
                  <c:v>Q2 25/26
10919</c:v>
                </c:pt>
              </c:strCache>
            </c:strRef>
          </c:cat>
          <c:val>
            <c:numRef>
              <c:f>'SIE YP'!$C$3:$C$16</c:f>
              <c:numCache>
                <c:formatCode>0%</c:formatCode>
                <c:ptCount val="14"/>
                <c:pt idx="0">
                  <c:v>0.51</c:v>
                </c:pt>
                <c:pt idx="1">
                  <c:v>0.52</c:v>
                </c:pt>
                <c:pt idx="2">
                  <c:v>0.49</c:v>
                </c:pt>
                <c:pt idx="3">
                  <c:v>0.48</c:v>
                </c:pt>
                <c:pt idx="4">
                  <c:v>0.43</c:v>
                </c:pt>
                <c:pt idx="5">
                  <c:v>0.5</c:v>
                </c:pt>
                <c:pt idx="6">
                  <c:v>0.49</c:v>
                </c:pt>
                <c:pt idx="7">
                  <c:v>0.5</c:v>
                </c:pt>
                <c:pt idx="8">
                  <c:v>0.47</c:v>
                </c:pt>
                <c:pt idx="9">
                  <c:v>0.54</c:v>
                </c:pt>
                <c:pt idx="10">
                  <c:v>0.5</c:v>
                </c:pt>
                <c:pt idx="11">
                  <c:v>0.46</c:v>
                </c:pt>
                <c:pt idx="12">
                  <c:v>0.54</c:v>
                </c:pt>
                <c:pt idx="13">
                  <c:v>0.5</c:v>
                </c:pt>
              </c:numCache>
            </c:numRef>
          </c:val>
          <c:smooth val="0"/>
          <c:extLst>
            <c:ext xmlns:c16="http://schemas.microsoft.com/office/drawing/2014/chart" uri="{C3380CC4-5D6E-409C-BE32-E72D297353CC}">
              <c16:uniqueId val="{00000000-DE21-47AB-AEFF-F30D994D6F66}"/>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ax val="1"/>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'SIE TI'!$C$2</c:f>
              <c:strCache>
                <c:ptCount val="1"/>
                <c:pt idx="0">
                  <c:v>Trust Index (Source: Progressive Ltd) Base = 14,057</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'SIE TI'!$B$3:$B$16</c:f>
              <c:strCache>
                <c:ptCount val="14"/>
                <c:pt idx="0">
                  <c:v>Q1 22/23
n=1001</c:v>
                </c:pt>
                <c:pt idx="1">
                  <c:v>Q2 22/23
1005</c:v>
                </c:pt>
                <c:pt idx="2">
                  <c:v>Q3 22/23
1012</c:v>
                </c:pt>
                <c:pt idx="3">
                  <c:v>Q4 22/23
1004</c:v>
                </c:pt>
                <c:pt idx="4">
                  <c:v>Q1 23/24
1006</c:v>
                </c:pt>
                <c:pt idx="5">
                  <c:v>Q2 23/24
1001</c:v>
                </c:pt>
                <c:pt idx="6">
                  <c:v>Q3 23/24
1002</c:v>
                </c:pt>
                <c:pt idx="7">
                  <c:v>Q4 23/24
1002</c:v>
                </c:pt>
                <c:pt idx="8">
                  <c:v>Q1 24/25
1003</c:v>
                </c:pt>
                <c:pt idx="9">
                  <c:v>Q2 24/25
1001</c:v>
                </c:pt>
                <c:pt idx="10">
                  <c:v>Q3 24/25
1002</c:v>
                </c:pt>
                <c:pt idx="11">
                  <c:v>Q4 24/25
1008</c:v>
                </c:pt>
                <c:pt idx="12">
                  <c:v>Q1 25/26
1002</c:v>
                </c:pt>
                <c:pt idx="13">
                  <c:v>Q2 25/26
1008</c:v>
                </c:pt>
              </c:strCache>
            </c:strRef>
          </c:cat>
          <c:val>
            <c:numRef>
              <c:f>'SIE TI'!$C$3:$C$16</c:f>
              <c:numCache>
                <c:formatCode>0%</c:formatCode>
                <c:ptCount val="14"/>
                <c:pt idx="0">
                  <c:v>0.8</c:v>
                </c:pt>
                <c:pt idx="1">
                  <c:v>0.8</c:v>
                </c:pt>
                <c:pt idx="2">
                  <c:v>0.78</c:v>
                </c:pt>
                <c:pt idx="3">
                  <c:v>0.75</c:v>
                </c:pt>
                <c:pt idx="4">
                  <c:v>0.76</c:v>
                </c:pt>
                <c:pt idx="5">
                  <c:v>0.75</c:v>
                </c:pt>
                <c:pt idx="6">
                  <c:v>0.78</c:v>
                </c:pt>
                <c:pt idx="7">
                  <c:v>0.77</c:v>
                </c:pt>
                <c:pt idx="8">
                  <c:v>0.79</c:v>
                </c:pt>
                <c:pt idx="9">
                  <c:v>0.79</c:v>
                </c:pt>
                <c:pt idx="10">
                  <c:v>0.75</c:v>
                </c:pt>
                <c:pt idx="11">
                  <c:v>0.75</c:v>
                </c:pt>
                <c:pt idx="12">
                  <c:v>0.77</c:v>
                </c:pt>
                <c:pt idx="13">
                  <c:v>0.76</c:v>
                </c:pt>
              </c:numCache>
            </c:numRef>
          </c:val>
          <c:smooth val="0"/>
          <c:extLst>
            <c:ext xmlns:c16="http://schemas.microsoft.com/office/drawing/2014/chart" uri="{C3380CC4-5D6E-409C-BE32-E72D297353CC}">
              <c16:uniqueId val="{00000000-90F3-4B69-98DE-D9125EA6A8EF}"/>
            </c:ext>
          </c:extLst>
        </c:ser>
        <c:dLbls>
          <c:dLblPos val="t"/>
          <c:showLegendKey val="0"/>
          <c:showVal val="1"/>
          <c:showCatName val="0"/>
          <c:showSerName val="0"/>
          <c:showPercent val="0"/>
          <c:showBubbleSize val="0"/>
        </c:dLbls>
        <c:smooth val="0"/>
        <c:axId val="862892592"/>
        <c:axId val="862875792"/>
      </c:lineChart>
      <c:catAx>
        <c:axId val="8628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2875792"/>
        <c:crosses val="autoZero"/>
        <c:auto val="1"/>
        <c:lblAlgn val="ctr"/>
        <c:lblOffset val="100"/>
        <c:noMultiLvlLbl val="0"/>
      </c:catAx>
      <c:valAx>
        <c:axId val="862875792"/>
        <c:scaling>
          <c:orientation val="minMax"/>
          <c:min val="0"/>
        </c:scaling>
        <c:delete val="1"/>
        <c:axPos val="l"/>
        <c:numFmt formatCode="0%" sourceLinked="1"/>
        <c:majorTickMark val="out"/>
        <c:minorTickMark val="none"/>
        <c:tickLblPos val="nextTo"/>
        <c:crossAx val="862892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C211436E474B3A4C873F6FE409F47AE5" ma:contentTypeVersion="16" ma:contentTypeDescription="Create a new document." ma:contentTypeScope="" ma:versionID="44107a52688571692a4b7d379dccbd1b">
  <xsd:schema xmlns:xsd="http://www.w3.org/2001/XMLSchema" xmlns:xs="http://www.w3.org/2001/XMLSchema" xmlns:p="http://schemas.microsoft.com/office/2006/metadata/properties" xmlns:ns2="322eb64b-2ec8-46fd-817b-73c63f822af1" xmlns:ns3="5ce8f9be-fcf3-483e-8aa2-da494d347403" targetNamespace="http://schemas.microsoft.com/office/2006/metadata/properties" ma:root="true" ma:fieldsID="44888ac255a36936fcb9ee378c3e438b" ns2:_="" ns3:_="">
    <xsd:import namespace="322eb64b-2ec8-46fd-817b-73c63f822af1"/>
    <xsd:import namespace="5ce8f9be-fcf3-483e-8aa2-da494d34740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e8f9be-fcf3-483e-8aa2-da494d3474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22eb64b-2ec8-46fd-817b-73c63f822af1">PSOS-1155757008-35</_dlc_DocId>
    <_dlc_DocIdUrl xmlns="322eb64b-2ec8-46fd-817b-73c63f822af1">
      <Url>https://spi.spnet.local/policescotland/org-support/corp-services/corporate-communications/_layouts/15/DocIdRedir.aspx?ID=PSOS-1155757008-35</Url>
      <Description>PSOS-1155757008-35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240CB-3937-415B-8E8E-200ACB5D8876}">
  <ds:schemaRefs>
    <ds:schemaRef ds:uri="http://schemas.microsoft.com/sharepoint/events"/>
  </ds:schemaRefs>
</ds:datastoreItem>
</file>

<file path=customXml/itemProps2.xml><?xml version="1.0" encoding="utf-8"?>
<ds:datastoreItem xmlns:ds="http://schemas.openxmlformats.org/officeDocument/2006/customXml" ds:itemID="{57FAC497-12DE-4532-9C7F-9A43E659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5ce8f9be-fcf3-483e-8aa2-da494d347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09EF4-C31E-4EEB-BA94-5CFF95F929ED}">
  <ds:schemaRefs>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5ce8f9be-fcf3-483e-8aa2-da494d347403"/>
    <ds:schemaRef ds:uri="322eb64b-2ec8-46fd-817b-73c63f822af1"/>
    <ds:schemaRef ds:uri="http://purl.org/dc/dcmitype/"/>
  </ds:schemaRefs>
</ds:datastoreItem>
</file>

<file path=customXml/itemProps4.xml><?xml version="1.0" encoding="utf-8"?>
<ds:datastoreItem xmlns:ds="http://schemas.openxmlformats.org/officeDocument/2006/customXml" ds:itemID="{AB35E7A6-AFBF-4FF0-9043-2821ACA7A5E2}">
  <ds:schemaRefs>
    <ds:schemaRef ds:uri="http://schemas.openxmlformats.org/officeDocument/2006/bibliography"/>
  </ds:schemaRefs>
</ds:datastoreItem>
</file>

<file path=customXml/itemProps5.xml><?xml version="1.0" encoding="utf-8"?>
<ds:datastoreItem xmlns:ds="http://schemas.openxmlformats.org/officeDocument/2006/customXml" ds:itemID="{87187A1B-D0D5-4206-9FFA-D0CD18198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68</Pages>
  <Words>18091</Words>
  <Characters>103121</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120971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Greig, Charlie</dc:creator>
  <cp:keywords/>
  <dc:description/>
  <cp:lastModifiedBy>Carroll, Stephen</cp:lastModifiedBy>
  <cp:revision>4</cp:revision>
  <cp:lastPrinted>2021-07-13T13:57:00Z</cp:lastPrinted>
  <dcterms:created xsi:type="dcterms:W3CDTF">2025-11-27T15:08:00Z</dcterms:created>
  <dcterms:modified xsi:type="dcterms:W3CDTF">2025-12-05T11:35:00Z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2021-03-10T13:52:29Z</vt:filetime>
  </property>
  <property fmtid="{D5CDD505-2E9C-101B-9397-08002B2CF9AE}" pid="7" name="ContentTypeId">
    <vt:lpwstr>0x010100C211436E474B3A4C873F6FE409F47AE5</vt:lpwstr>
  </property>
  <property fmtid="{D5CDD505-2E9C-101B-9397-08002B2CF9AE}" pid="8" name="_dlc_DocIdItemGuid">
    <vt:lpwstr>180ff81d-7586-457d-ac91-3121790494e2</vt:lpwstr>
  </property>
</Properties>
</file>