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448C2">
              <w:t xml:space="preserve">- </w:t>
            </w:r>
            <w:r w:rsidR="00715A43">
              <w:t>2107</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715A43" w:rsidRDefault="00715A43" w:rsidP="00715A43">
      <w:pPr>
        <w:pStyle w:val="Heading2"/>
        <w:rPr>
          <w:rFonts w:eastAsia="Times New Roman"/>
        </w:rPr>
      </w:pPr>
      <w:r>
        <w:rPr>
          <w:rFonts w:eastAsia="Times New Roman"/>
        </w:rPr>
        <w:t xml:space="preserve">The number of enforcement actions taken by Police Scotland against wheeled-vehicle riders (such as bicycles/scooters/skateboards) for riding on pavements or pedestrian areas, in the City of Edinburgh, in the five most recent reporting years. </w:t>
      </w:r>
    </w:p>
    <w:p w:rsidR="00715A43" w:rsidRDefault="00715A43" w:rsidP="00715A43">
      <w:pPr>
        <w:pStyle w:val="Heading2"/>
        <w:rPr>
          <w:rFonts w:eastAsia="Times New Roman"/>
        </w:rPr>
      </w:pPr>
      <w:r>
        <w:rPr>
          <w:rFonts w:eastAsia="Times New Roman"/>
        </w:rPr>
        <w:t>To report separately on motorised (e.g. electric, petrol) and unmotorised wheeled vehicles, where this information is recorded.</w:t>
      </w:r>
    </w:p>
    <w:p w:rsidR="00D34790" w:rsidRDefault="00D34790" w:rsidP="00D34790">
      <w:pPr>
        <w:tabs>
          <w:tab w:val="left" w:pos="5400"/>
        </w:tabs>
      </w:pPr>
      <w:r>
        <w:t xml:space="preserve">Having considered these questions in terms of the above Act, I regret to inform you that I am unable to provide you with the information you have requested, as it would prove too costly to do so within the context of the fee regulations.  </w:t>
      </w:r>
    </w:p>
    <w:p w:rsidR="00D34790" w:rsidRDefault="00D34790" w:rsidP="00D34790">
      <w:pPr>
        <w:tabs>
          <w:tab w:val="left" w:pos="5400"/>
        </w:tabs>
      </w:pPr>
      <w:r>
        <w:t xml:space="preserve">As you may be aware the current cost threshold is £600 and I estimate that it would cost well in excess of this amount to process your request. </w:t>
      </w:r>
    </w:p>
    <w:p w:rsidR="00D34790" w:rsidRDefault="00D34790" w:rsidP="00D34790">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D34790" w:rsidRDefault="00D34790" w:rsidP="00D34790">
      <w:pPr>
        <w:tabs>
          <w:tab w:val="left" w:pos="5400"/>
        </w:tabs>
      </w:pPr>
      <w:r>
        <w:t xml:space="preserve">By way of explanation, Police Scotland operates a number of crime recording systems. Whilst robust statistical analysis can be made of the data held on each of our systems, they are not, at present, designed to enable the retrieval of the highly specific information as per your request. </w:t>
      </w:r>
    </w:p>
    <w:p w:rsidR="00D34790" w:rsidRDefault="00D34790" w:rsidP="00D34790">
      <w:pPr>
        <w:tabs>
          <w:tab w:val="left" w:pos="5400"/>
        </w:tabs>
      </w:pPr>
      <w:r>
        <w:t xml:space="preserve">In this instance, it is not possible to carry out a force wide search for specific terms or keywords on our </w:t>
      </w:r>
      <w:r w:rsidRPr="00B35D35">
        <w:rPr>
          <w:i/>
        </w:rPr>
        <w:t>crime</w:t>
      </w:r>
      <w:r>
        <w:t xml:space="preserve"> systems.</w:t>
      </w:r>
    </w:p>
    <w:p w:rsidR="00D34790" w:rsidRDefault="00D34790" w:rsidP="00D34790">
      <w:pPr>
        <w:tabs>
          <w:tab w:val="left" w:pos="5400"/>
        </w:tabs>
      </w:pPr>
      <w:r>
        <w:t>As such, the only way to provide an accurate response to your request would be to carry out case by case assessment of thousands of crime reports for the time period requested, to establish whether motorised or non-motorised bicycles, scooters or skateboards</w:t>
      </w:r>
      <w:r w:rsidRPr="003E1498">
        <w:t xml:space="preserve"> </w:t>
      </w:r>
      <w:r>
        <w:t>were mentioned and how it related to the offence - an exercise which I estimate would far exceed the cost limit set out in the Fees Regulations.</w:t>
      </w:r>
    </w:p>
    <w:p w:rsidR="00B35D35" w:rsidRDefault="00B35D35" w:rsidP="00D34790">
      <w:pPr>
        <w:tabs>
          <w:tab w:val="left" w:pos="5400"/>
        </w:tabs>
      </w:pPr>
    </w:p>
    <w:p w:rsidR="00B35D35" w:rsidRDefault="00B35D35" w:rsidP="00D34790">
      <w:pPr>
        <w:tabs>
          <w:tab w:val="left" w:pos="5400"/>
        </w:tabs>
      </w:pPr>
      <w:r>
        <w:t>To illustrate between 01/01/2018 and 31/07/2023, an initial check has established there were over 800 road traffic collisions involving a pedal cyclist and/or scooter</w:t>
      </w:r>
      <w:r w:rsidR="001305E3">
        <w:t xml:space="preserve"> and a manual check of thousands more would be required to capture those involving a skateboard. </w:t>
      </w:r>
    </w:p>
    <w:p w:rsidR="00D34790" w:rsidRDefault="00D34790" w:rsidP="00D34790">
      <w:r>
        <w:t>To assist, here are some offences which do relate to bicycles but</w:t>
      </w:r>
      <w:r w:rsidR="001305E3">
        <w:t xml:space="preserve"> again</w:t>
      </w:r>
      <w:r>
        <w:t xml:space="preserve"> they don't specifically align to the information being requested above.  These are:  </w:t>
      </w:r>
    </w:p>
    <w:p w:rsidR="00D34790" w:rsidRDefault="00D34790" w:rsidP="00D34790">
      <w:pPr>
        <w:pStyle w:val="ListParagraph"/>
        <w:numPr>
          <w:ilvl w:val="0"/>
          <w:numId w:val="7"/>
        </w:numPr>
      </w:pPr>
      <w:r>
        <w:t>Dangerously riding a bicycle or tricycle</w:t>
      </w:r>
    </w:p>
    <w:p w:rsidR="00D34790" w:rsidRDefault="00D34790" w:rsidP="00D34790">
      <w:pPr>
        <w:pStyle w:val="ListParagraph"/>
        <w:numPr>
          <w:ilvl w:val="0"/>
          <w:numId w:val="7"/>
        </w:numPr>
      </w:pPr>
      <w:r>
        <w:t>Carelessly or inconsiderately riding a bicycle or tricycle</w:t>
      </w:r>
    </w:p>
    <w:p w:rsidR="00D34790" w:rsidRDefault="00D34790" w:rsidP="00D34790">
      <w:pPr>
        <w:pStyle w:val="ListParagraph"/>
        <w:numPr>
          <w:ilvl w:val="0"/>
          <w:numId w:val="7"/>
        </w:numPr>
      </w:pPr>
      <w:r>
        <w:t>Drunk when riding a bicycle</w:t>
      </w:r>
    </w:p>
    <w:p w:rsidR="00D34790" w:rsidRDefault="00D34790" w:rsidP="00D34790">
      <w:pPr>
        <w:pStyle w:val="ListParagraph"/>
        <w:numPr>
          <w:ilvl w:val="0"/>
          <w:numId w:val="7"/>
        </w:numPr>
      </w:pPr>
      <w:r>
        <w:t>Bicycles, other offences</w:t>
      </w:r>
    </w:p>
    <w:p w:rsidR="007443E5" w:rsidRPr="006B326A" w:rsidRDefault="00D34790" w:rsidP="00D34790">
      <w:pPr>
        <w:tabs>
          <w:tab w:val="left" w:pos="5400"/>
        </w:tabs>
      </w:pPr>
      <w:r>
        <w:t>You can access our published crime statistics via the following link:</w:t>
      </w:r>
      <w:r w:rsidRPr="003E1498">
        <w:t xml:space="preserve"> </w:t>
      </w:r>
    </w:p>
    <w:p w:rsidR="007443E5" w:rsidRPr="006B326A" w:rsidRDefault="00117112" w:rsidP="007443E5">
      <w:hyperlink r:id="rId8" w:history="1">
        <w:r w:rsidR="007443E5" w:rsidRPr="006B326A">
          <w:rPr>
            <w:rStyle w:val="Hyperlink"/>
          </w:rPr>
          <w:t>Crime data - Police Scotland</w:t>
        </w:r>
      </w:hyperlink>
    </w:p>
    <w:p w:rsidR="002A147B" w:rsidRPr="00EF6CE2" w:rsidRDefault="007443E5" w:rsidP="00EF6CE2">
      <w:r w:rsidRPr="006B326A">
        <w:t>Please note that the</w:t>
      </w:r>
      <w:r>
        <w:t xml:space="preserve"> quarterly data is displayed by recorded/</w:t>
      </w:r>
      <w:r w:rsidRPr="006B326A">
        <w:t>detected and the location is the Multi-Member Ward area (MMW)</w:t>
      </w:r>
      <w:r w:rsidR="00D34790">
        <w:t xml:space="preserve"> which in this case is ‘City of Edinburgh’</w:t>
      </w:r>
      <w:r w:rsidRPr="006B326A">
        <w:t xml:space="preserve">. </w:t>
      </w:r>
      <w:r>
        <w:t xml:space="preserve">Use the filter in the ‘Aggregate Crime Classification’ column, </w:t>
      </w:r>
      <w:r w:rsidR="00D34790">
        <w:t xml:space="preserve">for the relevant offence. </w:t>
      </w:r>
    </w:p>
    <w:p w:rsidR="00715A43" w:rsidRDefault="00715A43" w:rsidP="00715A43">
      <w:pPr>
        <w:pStyle w:val="Heading2"/>
        <w:rPr>
          <w:rFonts w:eastAsia="Times New Roman"/>
        </w:rPr>
      </w:pPr>
      <w:r>
        <w:rPr>
          <w:rFonts w:eastAsia="Times New Roman"/>
        </w:rPr>
        <w:t xml:space="preserve">The number of collisions recorded by Police Scotland between pedestrians and wheeled vehicles (motorised and unmotorised) on pavements or pedestrian areas in the City of Edinburgh in the five most recent reporting years. </w:t>
      </w:r>
    </w:p>
    <w:p w:rsidR="00B35D35" w:rsidRPr="00B35D35" w:rsidRDefault="00D34790" w:rsidP="00B35D35">
      <w:r w:rsidRPr="00B35D35">
        <w:t xml:space="preserve">I am afraid that the gathering of this data is </w:t>
      </w:r>
      <w:r w:rsidR="001305E3">
        <w:t xml:space="preserve">also </w:t>
      </w:r>
      <w:r w:rsidRPr="00B35D35">
        <w:t>quite complex and</w:t>
      </w:r>
      <w:r w:rsidR="00B35D35">
        <w:t xml:space="preserve"> </w:t>
      </w:r>
      <w:r w:rsidRPr="00B35D35">
        <w:t>t</w:t>
      </w:r>
      <w:r w:rsidR="007443E5" w:rsidRPr="00B35D35">
        <w:t xml:space="preserve">he very </w:t>
      </w:r>
      <w:r w:rsidRPr="00B35D35">
        <w:t xml:space="preserve">specific nature of your request </w:t>
      </w:r>
      <w:r w:rsidR="00B35D35" w:rsidRPr="00B35D35">
        <w:t>means that in terms of Section 16(4) of the Freedom of Information (Scotland) Act 2002 where Section 12(1) of the Act (Excessive Cost of Compliance) has been applied, this represents a refusal no</w:t>
      </w:r>
      <w:r w:rsidR="00B35D35">
        <w:t>tice for the infor</w:t>
      </w:r>
      <w:r w:rsidR="001305E3">
        <w:t xml:space="preserve">mation sought. This </w:t>
      </w:r>
      <w:r w:rsidR="00B35D35">
        <w:t>refer</w:t>
      </w:r>
      <w:r w:rsidR="001305E3">
        <w:t>s</w:t>
      </w:r>
      <w:r w:rsidR="00B35D35">
        <w:t xml:space="preserve"> specifically to where a collision involves a pedestrian or occurs on</w:t>
      </w:r>
      <w:r w:rsidR="00117112">
        <w:t xml:space="preserve"> a pavement or pedestrian area and consequently over 800 </w:t>
      </w:r>
      <w:bookmarkStart w:id="0" w:name="_GoBack"/>
      <w:bookmarkEnd w:id="0"/>
      <w:r w:rsidR="00117112">
        <w:t xml:space="preserve">reports would require to be manually checked to establish whether this was a factor. </w:t>
      </w:r>
    </w:p>
    <w:p w:rsidR="007443E5" w:rsidRDefault="00B35D35" w:rsidP="00B35D35">
      <w:r>
        <w:t>In more general terms I can provide you with some related data which I hope is of some assistance:</w:t>
      </w:r>
    </w:p>
    <w:p w:rsidR="00F26511" w:rsidRPr="00F26511" w:rsidRDefault="001305E3" w:rsidP="00B35D35">
      <w:pPr>
        <w:rPr>
          <w:b/>
        </w:rPr>
      </w:pPr>
      <w:r w:rsidRPr="00F26511">
        <w:rPr>
          <w:b/>
        </w:rPr>
        <w:t>Table 1: Road Traffic Collis</w:t>
      </w:r>
      <w:r w:rsidR="00F26511" w:rsidRPr="00F26511">
        <w:rPr>
          <w:b/>
        </w:rPr>
        <w:t>ions involving a pedal cyclist.</w:t>
      </w:r>
    </w:p>
    <w:p w:rsidR="001305E3" w:rsidRPr="00F26511" w:rsidRDefault="001305E3" w:rsidP="00B35D35">
      <w:pPr>
        <w:rPr>
          <w:b/>
        </w:rPr>
      </w:pPr>
      <w:r w:rsidRPr="00F26511">
        <w:rPr>
          <w:b/>
        </w:rPr>
        <w:t>Edinburgh Division.</w:t>
      </w:r>
    </w:p>
    <w:p w:rsidR="001305E3" w:rsidRPr="00F26511" w:rsidRDefault="001305E3" w:rsidP="00B35D35">
      <w:pPr>
        <w:rPr>
          <w:b/>
        </w:rPr>
      </w:pPr>
      <w:r w:rsidRPr="00F26511">
        <w:rPr>
          <w:b/>
        </w:rPr>
        <w:t>1st January 2018 to 31st July 2023, Calendar Years.</w:t>
      </w:r>
    </w:p>
    <w:tbl>
      <w:tblPr>
        <w:tblStyle w:val="TableGrid"/>
        <w:tblW w:w="0" w:type="auto"/>
        <w:tblLook w:val="04A0" w:firstRow="1" w:lastRow="0" w:firstColumn="1" w:lastColumn="0" w:noHBand="0" w:noVBand="1"/>
        <w:tblCaption w:val="Table 1"/>
        <w:tblDescription w:val="Road Traffic Collisions involving a pedal cyclist.&#10;Edinburgh Division.&#10;1st January 2018 to 31st July 2023, Calendar Years.&#10;"/>
      </w:tblPr>
      <w:tblGrid>
        <w:gridCol w:w="3397"/>
        <w:gridCol w:w="1038"/>
        <w:gridCol w:w="1039"/>
        <w:gridCol w:w="1038"/>
        <w:gridCol w:w="1039"/>
        <w:gridCol w:w="1038"/>
        <w:gridCol w:w="1039"/>
      </w:tblGrid>
      <w:tr w:rsidR="00F26511" w:rsidTr="00F26511">
        <w:trPr>
          <w:tblHeader/>
        </w:trPr>
        <w:tc>
          <w:tcPr>
            <w:tcW w:w="3397" w:type="dxa"/>
            <w:shd w:val="clear" w:color="auto" w:fill="D9D9D9" w:themeFill="background1" w:themeFillShade="D9"/>
          </w:tcPr>
          <w:p w:rsidR="001305E3" w:rsidRPr="001305E3" w:rsidRDefault="001305E3" w:rsidP="00B35D35">
            <w:pPr>
              <w:rPr>
                <w:b/>
              </w:rPr>
            </w:pPr>
            <w:r w:rsidRPr="001305E3">
              <w:rPr>
                <w:b/>
              </w:rPr>
              <w:lastRenderedPageBreak/>
              <w:t>Collision Severity</w:t>
            </w:r>
          </w:p>
        </w:tc>
        <w:tc>
          <w:tcPr>
            <w:tcW w:w="1038" w:type="dxa"/>
            <w:shd w:val="clear" w:color="auto" w:fill="D9D9D9" w:themeFill="background1" w:themeFillShade="D9"/>
          </w:tcPr>
          <w:p w:rsidR="001305E3" w:rsidRPr="001305E3" w:rsidRDefault="001305E3" w:rsidP="00F26511">
            <w:pPr>
              <w:jc w:val="center"/>
              <w:rPr>
                <w:b/>
              </w:rPr>
            </w:pPr>
            <w:r w:rsidRPr="001305E3">
              <w:rPr>
                <w:b/>
              </w:rPr>
              <w:t>2018</w:t>
            </w:r>
          </w:p>
        </w:tc>
        <w:tc>
          <w:tcPr>
            <w:tcW w:w="1039" w:type="dxa"/>
            <w:shd w:val="clear" w:color="auto" w:fill="D9D9D9" w:themeFill="background1" w:themeFillShade="D9"/>
          </w:tcPr>
          <w:p w:rsidR="001305E3" w:rsidRPr="001305E3" w:rsidRDefault="001305E3" w:rsidP="00F26511">
            <w:pPr>
              <w:jc w:val="center"/>
              <w:rPr>
                <w:b/>
              </w:rPr>
            </w:pPr>
            <w:r w:rsidRPr="001305E3">
              <w:rPr>
                <w:b/>
              </w:rPr>
              <w:t>2019</w:t>
            </w:r>
          </w:p>
        </w:tc>
        <w:tc>
          <w:tcPr>
            <w:tcW w:w="1038" w:type="dxa"/>
            <w:shd w:val="clear" w:color="auto" w:fill="D9D9D9" w:themeFill="background1" w:themeFillShade="D9"/>
          </w:tcPr>
          <w:p w:rsidR="001305E3" w:rsidRPr="001305E3" w:rsidRDefault="001305E3" w:rsidP="00F26511">
            <w:pPr>
              <w:jc w:val="center"/>
              <w:rPr>
                <w:b/>
              </w:rPr>
            </w:pPr>
            <w:r w:rsidRPr="001305E3">
              <w:rPr>
                <w:b/>
              </w:rPr>
              <w:t>2020</w:t>
            </w:r>
          </w:p>
        </w:tc>
        <w:tc>
          <w:tcPr>
            <w:tcW w:w="1039" w:type="dxa"/>
            <w:shd w:val="clear" w:color="auto" w:fill="D9D9D9" w:themeFill="background1" w:themeFillShade="D9"/>
          </w:tcPr>
          <w:p w:rsidR="001305E3" w:rsidRPr="001305E3" w:rsidRDefault="001305E3" w:rsidP="00F26511">
            <w:pPr>
              <w:jc w:val="center"/>
              <w:rPr>
                <w:b/>
              </w:rPr>
            </w:pPr>
            <w:r w:rsidRPr="001305E3">
              <w:rPr>
                <w:b/>
              </w:rPr>
              <w:t>2021</w:t>
            </w:r>
          </w:p>
        </w:tc>
        <w:tc>
          <w:tcPr>
            <w:tcW w:w="1038" w:type="dxa"/>
            <w:shd w:val="clear" w:color="auto" w:fill="D9D9D9" w:themeFill="background1" w:themeFillShade="D9"/>
          </w:tcPr>
          <w:p w:rsidR="001305E3" w:rsidRPr="001305E3" w:rsidRDefault="001305E3" w:rsidP="00F26511">
            <w:pPr>
              <w:jc w:val="center"/>
              <w:rPr>
                <w:b/>
              </w:rPr>
            </w:pPr>
            <w:r w:rsidRPr="001305E3">
              <w:rPr>
                <w:b/>
              </w:rPr>
              <w:t>2022</w:t>
            </w:r>
          </w:p>
        </w:tc>
        <w:tc>
          <w:tcPr>
            <w:tcW w:w="1039" w:type="dxa"/>
            <w:shd w:val="clear" w:color="auto" w:fill="D9D9D9" w:themeFill="background1" w:themeFillShade="D9"/>
          </w:tcPr>
          <w:p w:rsidR="001305E3" w:rsidRPr="001305E3" w:rsidRDefault="001305E3" w:rsidP="00F26511">
            <w:pPr>
              <w:jc w:val="center"/>
              <w:rPr>
                <w:b/>
              </w:rPr>
            </w:pPr>
            <w:r w:rsidRPr="001305E3">
              <w:rPr>
                <w:b/>
              </w:rPr>
              <w:t>2023</w:t>
            </w:r>
          </w:p>
        </w:tc>
      </w:tr>
      <w:tr w:rsidR="001305E3" w:rsidTr="00F26511">
        <w:tc>
          <w:tcPr>
            <w:tcW w:w="3397" w:type="dxa"/>
          </w:tcPr>
          <w:p w:rsidR="001305E3" w:rsidRPr="00B10DFF" w:rsidRDefault="001305E3" w:rsidP="001305E3">
            <w:r w:rsidRPr="00B10DFF">
              <w:t>Fatal</w:t>
            </w:r>
          </w:p>
        </w:tc>
        <w:tc>
          <w:tcPr>
            <w:tcW w:w="1038" w:type="dxa"/>
          </w:tcPr>
          <w:p w:rsidR="001305E3" w:rsidRPr="00B10DFF" w:rsidRDefault="001305E3" w:rsidP="00F26511">
            <w:pPr>
              <w:jc w:val="center"/>
            </w:pPr>
            <w:r w:rsidRPr="00B10DFF">
              <w:t>0</w:t>
            </w:r>
          </w:p>
        </w:tc>
        <w:tc>
          <w:tcPr>
            <w:tcW w:w="1039" w:type="dxa"/>
          </w:tcPr>
          <w:p w:rsidR="001305E3" w:rsidRPr="00B10DFF" w:rsidRDefault="001305E3" w:rsidP="00F26511">
            <w:pPr>
              <w:jc w:val="center"/>
            </w:pPr>
            <w:r w:rsidRPr="00B10DFF">
              <w:t>1</w:t>
            </w:r>
          </w:p>
        </w:tc>
        <w:tc>
          <w:tcPr>
            <w:tcW w:w="1038" w:type="dxa"/>
          </w:tcPr>
          <w:p w:rsidR="001305E3" w:rsidRPr="00B10DFF" w:rsidRDefault="001305E3" w:rsidP="00F26511">
            <w:pPr>
              <w:jc w:val="center"/>
            </w:pPr>
            <w:r w:rsidRPr="00B10DFF">
              <w:t>2</w:t>
            </w:r>
          </w:p>
        </w:tc>
        <w:tc>
          <w:tcPr>
            <w:tcW w:w="1039" w:type="dxa"/>
          </w:tcPr>
          <w:p w:rsidR="001305E3" w:rsidRPr="00B10DFF" w:rsidRDefault="001305E3" w:rsidP="00F26511">
            <w:pPr>
              <w:jc w:val="center"/>
            </w:pPr>
            <w:r w:rsidRPr="00B10DFF">
              <w:t>0</w:t>
            </w:r>
          </w:p>
        </w:tc>
        <w:tc>
          <w:tcPr>
            <w:tcW w:w="1038" w:type="dxa"/>
          </w:tcPr>
          <w:p w:rsidR="001305E3" w:rsidRPr="00B10DFF" w:rsidRDefault="001305E3" w:rsidP="00F26511">
            <w:pPr>
              <w:jc w:val="center"/>
            </w:pPr>
            <w:r w:rsidRPr="00B10DFF">
              <w:t>0</w:t>
            </w:r>
          </w:p>
        </w:tc>
        <w:tc>
          <w:tcPr>
            <w:tcW w:w="1039" w:type="dxa"/>
          </w:tcPr>
          <w:p w:rsidR="001305E3" w:rsidRPr="00B10DFF" w:rsidRDefault="001305E3" w:rsidP="00F26511">
            <w:pPr>
              <w:jc w:val="center"/>
            </w:pPr>
            <w:r w:rsidRPr="00B10DFF">
              <w:t>0</w:t>
            </w:r>
          </w:p>
        </w:tc>
      </w:tr>
      <w:tr w:rsidR="001305E3" w:rsidTr="00F26511">
        <w:tc>
          <w:tcPr>
            <w:tcW w:w="3397" w:type="dxa"/>
          </w:tcPr>
          <w:p w:rsidR="001305E3" w:rsidRPr="00B10DFF" w:rsidRDefault="001305E3" w:rsidP="001305E3">
            <w:r w:rsidRPr="00B10DFF">
              <w:t>Serious</w:t>
            </w:r>
          </w:p>
        </w:tc>
        <w:tc>
          <w:tcPr>
            <w:tcW w:w="1038" w:type="dxa"/>
          </w:tcPr>
          <w:p w:rsidR="001305E3" w:rsidRPr="00B10DFF" w:rsidRDefault="001305E3" w:rsidP="00F26511">
            <w:pPr>
              <w:jc w:val="center"/>
            </w:pPr>
            <w:r w:rsidRPr="00B10DFF">
              <w:t>27</w:t>
            </w:r>
          </w:p>
        </w:tc>
        <w:tc>
          <w:tcPr>
            <w:tcW w:w="1039" w:type="dxa"/>
          </w:tcPr>
          <w:p w:rsidR="001305E3" w:rsidRPr="00B10DFF" w:rsidRDefault="001305E3" w:rsidP="00F26511">
            <w:pPr>
              <w:jc w:val="center"/>
            </w:pPr>
            <w:r w:rsidRPr="00B10DFF">
              <w:t>46</w:t>
            </w:r>
          </w:p>
        </w:tc>
        <w:tc>
          <w:tcPr>
            <w:tcW w:w="1038" w:type="dxa"/>
          </w:tcPr>
          <w:p w:rsidR="001305E3" w:rsidRPr="00B10DFF" w:rsidRDefault="001305E3" w:rsidP="00F26511">
            <w:pPr>
              <w:jc w:val="center"/>
            </w:pPr>
            <w:r w:rsidRPr="00B10DFF">
              <w:t>53</w:t>
            </w:r>
          </w:p>
        </w:tc>
        <w:tc>
          <w:tcPr>
            <w:tcW w:w="1039" w:type="dxa"/>
          </w:tcPr>
          <w:p w:rsidR="001305E3" w:rsidRPr="00B10DFF" w:rsidRDefault="001305E3" w:rsidP="00F26511">
            <w:pPr>
              <w:jc w:val="center"/>
            </w:pPr>
            <w:r w:rsidRPr="00B10DFF">
              <w:t>48</w:t>
            </w:r>
          </w:p>
        </w:tc>
        <w:tc>
          <w:tcPr>
            <w:tcW w:w="1038" w:type="dxa"/>
          </w:tcPr>
          <w:p w:rsidR="001305E3" w:rsidRPr="00B10DFF" w:rsidRDefault="001305E3" w:rsidP="00F26511">
            <w:pPr>
              <w:jc w:val="center"/>
            </w:pPr>
            <w:r w:rsidRPr="00B10DFF">
              <w:t>43</w:t>
            </w:r>
          </w:p>
        </w:tc>
        <w:tc>
          <w:tcPr>
            <w:tcW w:w="1039" w:type="dxa"/>
          </w:tcPr>
          <w:p w:rsidR="001305E3" w:rsidRPr="00B10DFF" w:rsidRDefault="001305E3" w:rsidP="00F26511">
            <w:pPr>
              <w:jc w:val="center"/>
            </w:pPr>
            <w:r w:rsidRPr="00B10DFF">
              <w:t>10</w:t>
            </w:r>
          </w:p>
        </w:tc>
      </w:tr>
      <w:tr w:rsidR="001305E3" w:rsidTr="00F26511">
        <w:tc>
          <w:tcPr>
            <w:tcW w:w="3397" w:type="dxa"/>
          </w:tcPr>
          <w:p w:rsidR="001305E3" w:rsidRPr="00B10DFF" w:rsidRDefault="001305E3" w:rsidP="001305E3">
            <w:r w:rsidRPr="00B10DFF">
              <w:t>Slight</w:t>
            </w:r>
          </w:p>
        </w:tc>
        <w:tc>
          <w:tcPr>
            <w:tcW w:w="1038" w:type="dxa"/>
          </w:tcPr>
          <w:p w:rsidR="001305E3" w:rsidRPr="00B10DFF" w:rsidRDefault="001305E3" w:rsidP="00F26511">
            <w:pPr>
              <w:jc w:val="center"/>
            </w:pPr>
            <w:r w:rsidRPr="00B10DFF">
              <w:t>125</w:t>
            </w:r>
          </w:p>
        </w:tc>
        <w:tc>
          <w:tcPr>
            <w:tcW w:w="1039" w:type="dxa"/>
          </w:tcPr>
          <w:p w:rsidR="001305E3" w:rsidRPr="00B10DFF" w:rsidRDefault="001305E3" w:rsidP="00F26511">
            <w:pPr>
              <w:jc w:val="center"/>
            </w:pPr>
            <w:r w:rsidRPr="00B10DFF">
              <w:t>123</w:t>
            </w:r>
          </w:p>
        </w:tc>
        <w:tc>
          <w:tcPr>
            <w:tcW w:w="1038" w:type="dxa"/>
          </w:tcPr>
          <w:p w:rsidR="001305E3" w:rsidRPr="00B10DFF" w:rsidRDefault="001305E3" w:rsidP="00F26511">
            <w:pPr>
              <w:jc w:val="center"/>
            </w:pPr>
            <w:r w:rsidRPr="00B10DFF">
              <w:t>88</w:t>
            </w:r>
          </w:p>
        </w:tc>
        <w:tc>
          <w:tcPr>
            <w:tcW w:w="1039" w:type="dxa"/>
          </w:tcPr>
          <w:p w:rsidR="001305E3" w:rsidRPr="00B10DFF" w:rsidRDefault="001305E3" w:rsidP="00F26511">
            <w:pPr>
              <w:jc w:val="center"/>
            </w:pPr>
            <w:r w:rsidRPr="00B10DFF">
              <w:t>86</w:t>
            </w:r>
          </w:p>
        </w:tc>
        <w:tc>
          <w:tcPr>
            <w:tcW w:w="1038" w:type="dxa"/>
          </w:tcPr>
          <w:p w:rsidR="001305E3" w:rsidRPr="00B10DFF" w:rsidRDefault="001305E3" w:rsidP="00F26511">
            <w:pPr>
              <w:jc w:val="center"/>
            </w:pPr>
            <w:r w:rsidRPr="00B10DFF">
              <w:t>95</w:t>
            </w:r>
          </w:p>
        </w:tc>
        <w:tc>
          <w:tcPr>
            <w:tcW w:w="1039" w:type="dxa"/>
          </w:tcPr>
          <w:p w:rsidR="001305E3" w:rsidRDefault="001305E3" w:rsidP="00F26511">
            <w:pPr>
              <w:jc w:val="center"/>
            </w:pPr>
            <w:r w:rsidRPr="00B10DFF">
              <w:t>21</w:t>
            </w:r>
          </w:p>
        </w:tc>
      </w:tr>
      <w:tr w:rsidR="001305E3" w:rsidTr="00F26511">
        <w:tc>
          <w:tcPr>
            <w:tcW w:w="3397" w:type="dxa"/>
            <w:vAlign w:val="bottom"/>
          </w:tcPr>
          <w:p w:rsidR="001305E3" w:rsidRDefault="001305E3" w:rsidP="001305E3">
            <w:pPr>
              <w:rPr>
                <w:b/>
                <w:bCs/>
              </w:rPr>
            </w:pPr>
            <w:r>
              <w:rPr>
                <w:b/>
                <w:bCs/>
              </w:rPr>
              <w:t>Total</w:t>
            </w:r>
          </w:p>
        </w:tc>
        <w:tc>
          <w:tcPr>
            <w:tcW w:w="1038" w:type="dxa"/>
            <w:vAlign w:val="bottom"/>
          </w:tcPr>
          <w:p w:rsidR="001305E3" w:rsidRDefault="001305E3" w:rsidP="00F26511">
            <w:pPr>
              <w:jc w:val="center"/>
              <w:rPr>
                <w:b/>
                <w:bCs/>
              </w:rPr>
            </w:pPr>
            <w:r>
              <w:rPr>
                <w:b/>
                <w:bCs/>
              </w:rPr>
              <w:t>152</w:t>
            </w:r>
          </w:p>
        </w:tc>
        <w:tc>
          <w:tcPr>
            <w:tcW w:w="1039" w:type="dxa"/>
            <w:vAlign w:val="bottom"/>
          </w:tcPr>
          <w:p w:rsidR="001305E3" w:rsidRDefault="001305E3" w:rsidP="00F26511">
            <w:pPr>
              <w:jc w:val="center"/>
              <w:rPr>
                <w:b/>
                <w:bCs/>
              </w:rPr>
            </w:pPr>
            <w:r>
              <w:rPr>
                <w:b/>
                <w:bCs/>
              </w:rPr>
              <w:t>170</w:t>
            </w:r>
          </w:p>
        </w:tc>
        <w:tc>
          <w:tcPr>
            <w:tcW w:w="1038" w:type="dxa"/>
            <w:vAlign w:val="bottom"/>
          </w:tcPr>
          <w:p w:rsidR="001305E3" w:rsidRDefault="001305E3" w:rsidP="00F26511">
            <w:pPr>
              <w:jc w:val="center"/>
              <w:rPr>
                <w:b/>
                <w:bCs/>
              </w:rPr>
            </w:pPr>
            <w:r>
              <w:rPr>
                <w:b/>
                <w:bCs/>
              </w:rPr>
              <w:t>143</w:t>
            </w:r>
          </w:p>
        </w:tc>
        <w:tc>
          <w:tcPr>
            <w:tcW w:w="1039" w:type="dxa"/>
            <w:vAlign w:val="bottom"/>
          </w:tcPr>
          <w:p w:rsidR="001305E3" w:rsidRDefault="001305E3" w:rsidP="00F26511">
            <w:pPr>
              <w:jc w:val="center"/>
              <w:rPr>
                <w:b/>
                <w:bCs/>
              </w:rPr>
            </w:pPr>
            <w:r>
              <w:rPr>
                <w:b/>
                <w:bCs/>
              </w:rPr>
              <w:t>134</w:t>
            </w:r>
          </w:p>
        </w:tc>
        <w:tc>
          <w:tcPr>
            <w:tcW w:w="1038" w:type="dxa"/>
            <w:vAlign w:val="bottom"/>
          </w:tcPr>
          <w:p w:rsidR="001305E3" w:rsidRDefault="001305E3" w:rsidP="00F26511">
            <w:pPr>
              <w:jc w:val="center"/>
              <w:rPr>
                <w:b/>
                <w:bCs/>
              </w:rPr>
            </w:pPr>
            <w:r>
              <w:rPr>
                <w:b/>
                <w:bCs/>
              </w:rPr>
              <w:t>138</w:t>
            </w:r>
          </w:p>
        </w:tc>
        <w:tc>
          <w:tcPr>
            <w:tcW w:w="1039" w:type="dxa"/>
            <w:vAlign w:val="bottom"/>
          </w:tcPr>
          <w:p w:rsidR="001305E3" w:rsidRDefault="001305E3" w:rsidP="00F26511">
            <w:pPr>
              <w:jc w:val="center"/>
              <w:rPr>
                <w:b/>
                <w:bCs/>
              </w:rPr>
            </w:pPr>
            <w:r>
              <w:rPr>
                <w:b/>
                <w:bCs/>
              </w:rPr>
              <w:t>31</w:t>
            </w:r>
          </w:p>
        </w:tc>
      </w:tr>
    </w:tbl>
    <w:p w:rsidR="00B35D35" w:rsidRDefault="00B35D35" w:rsidP="00B35D35"/>
    <w:p w:rsidR="00F26511" w:rsidRPr="00F26511" w:rsidRDefault="00F26511" w:rsidP="00F26511">
      <w:pPr>
        <w:rPr>
          <w:b/>
        </w:rPr>
      </w:pPr>
      <w:r w:rsidRPr="00F26511">
        <w:rPr>
          <w:b/>
        </w:rPr>
        <w:t xml:space="preserve">Table 2: Road Traffic Collisions involving an Electric Bike / Scooter </w:t>
      </w:r>
    </w:p>
    <w:p w:rsidR="00F26511" w:rsidRPr="00F26511" w:rsidRDefault="00F26511" w:rsidP="00F26511">
      <w:pPr>
        <w:rPr>
          <w:b/>
        </w:rPr>
      </w:pPr>
      <w:r w:rsidRPr="00F26511">
        <w:rPr>
          <w:b/>
        </w:rPr>
        <w:t>Edinburgh Division.</w:t>
      </w:r>
    </w:p>
    <w:p w:rsidR="00F26511" w:rsidRPr="00F26511" w:rsidRDefault="00F26511" w:rsidP="00F26511">
      <w:pPr>
        <w:rPr>
          <w:b/>
        </w:rPr>
      </w:pPr>
      <w:r w:rsidRPr="00F26511">
        <w:rPr>
          <w:b/>
        </w:rPr>
        <w:t>1st January 2018 to 31st July 2023, Calendar Years.</w:t>
      </w:r>
    </w:p>
    <w:tbl>
      <w:tblPr>
        <w:tblStyle w:val="TableGrid"/>
        <w:tblW w:w="0" w:type="auto"/>
        <w:tblLook w:val="04A0" w:firstRow="1" w:lastRow="0" w:firstColumn="1" w:lastColumn="0" w:noHBand="0" w:noVBand="1"/>
        <w:tblCaption w:val="Table 2"/>
        <w:tblDescription w:val="Road Traffic Collisions involving an Electric Bike / Scooter &#10;Edinburgh Division.&#10;1st January 2018 to 31st July 2023, Calendar Years.&#10;"/>
      </w:tblPr>
      <w:tblGrid>
        <w:gridCol w:w="3397"/>
        <w:gridCol w:w="1038"/>
        <w:gridCol w:w="1039"/>
        <w:gridCol w:w="1038"/>
        <w:gridCol w:w="1039"/>
      </w:tblGrid>
      <w:tr w:rsidR="00F26511" w:rsidRPr="001305E3" w:rsidTr="00F26511">
        <w:trPr>
          <w:tblHeader/>
        </w:trPr>
        <w:tc>
          <w:tcPr>
            <w:tcW w:w="3397" w:type="dxa"/>
            <w:shd w:val="clear" w:color="auto" w:fill="D9D9D9" w:themeFill="background1" w:themeFillShade="D9"/>
          </w:tcPr>
          <w:p w:rsidR="00F26511" w:rsidRPr="001305E3" w:rsidRDefault="00F26511" w:rsidP="00C63C20">
            <w:pPr>
              <w:rPr>
                <w:b/>
              </w:rPr>
            </w:pPr>
            <w:r w:rsidRPr="001305E3">
              <w:rPr>
                <w:b/>
              </w:rPr>
              <w:t>Collision Severity</w:t>
            </w:r>
          </w:p>
        </w:tc>
        <w:tc>
          <w:tcPr>
            <w:tcW w:w="1038" w:type="dxa"/>
            <w:shd w:val="clear" w:color="auto" w:fill="D9D9D9" w:themeFill="background1" w:themeFillShade="D9"/>
          </w:tcPr>
          <w:p w:rsidR="00F26511" w:rsidRPr="001305E3" w:rsidRDefault="00F26511" w:rsidP="00C63C20">
            <w:pPr>
              <w:jc w:val="center"/>
              <w:rPr>
                <w:b/>
              </w:rPr>
            </w:pPr>
            <w:r w:rsidRPr="001305E3">
              <w:rPr>
                <w:b/>
              </w:rPr>
              <w:t>2020</w:t>
            </w:r>
          </w:p>
        </w:tc>
        <w:tc>
          <w:tcPr>
            <w:tcW w:w="1039" w:type="dxa"/>
            <w:shd w:val="clear" w:color="auto" w:fill="D9D9D9" w:themeFill="background1" w:themeFillShade="D9"/>
          </w:tcPr>
          <w:p w:rsidR="00F26511" w:rsidRPr="001305E3" w:rsidRDefault="00F26511" w:rsidP="00C63C20">
            <w:pPr>
              <w:jc w:val="center"/>
              <w:rPr>
                <w:b/>
              </w:rPr>
            </w:pPr>
            <w:r w:rsidRPr="001305E3">
              <w:rPr>
                <w:b/>
              </w:rPr>
              <w:t>2021</w:t>
            </w:r>
          </w:p>
        </w:tc>
        <w:tc>
          <w:tcPr>
            <w:tcW w:w="1038" w:type="dxa"/>
            <w:shd w:val="clear" w:color="auto" w:fill="D9D9D9" w:themeFill="background1" w:themeFillShade="D9"/>
          </w:tcPr>
          <w:p w:rsidR="00F26511" w:rsidRPr="001305E3" w:rsidRDefault="00F26511" w:rsidP="00C63C20">
            <w:pPr>
              <w:jc w:val="center"/>
              <w:rPr>
                <w:b/>
              </w:rPr>
            </w:pPr>
            <w:r w:rsidRPr="001305E3">
              <w:rPr>
                <w:b/>
              </w:rPr>
              <w:t>2022</w:t>
            </w:r>
          </w:p>
        </w:tc>
        <w:tc>
          <w:tcPr>
            <w:tcW w:w="1039" w:type="dxa"/>
            <w:shd w:val="clear" w:color="auto" w:fill="D9D9D9" w:themeFill="background1" w:themeFillShade="D9"/>
          </w:tcPr>
          <w:p w:rsidR="00F26511" w:rsidRPr="001305E3" w:rsidRDefault="00F26511" w:rsidP="00C63C20">
            <w:pPr>
              <w:jc w:val="center"/>
              <w:rPr>
                <w:b/>
              </w:rPr>
            </w:pPr>
            <w:r w:rsidRPr="001305E3">
              <w:rPr>
                <w:b/>
              </w:rPr>
              <w:t>2023</w:t>
            </w:r>
          </w:p>
        </w:tc>
      </w:tr>
      <w:tr w:rsidR="00F26511" w:rsidRPr="00B10DFF" w:rsidTr="00C63C20">
        <w:tc>
          <w:tcPr>
            <w:tcW w:w="3397" w:type="dxa"/>
          </w:tcPr>
          <w:p w:rsidR="00F26511" w:rsidRPr="00B10DFF" w:rsidRDefault="00F26511" w:rsidP="00F26511">
            <w:r w:rsidRPr="00B10DFF">
              <w:t>Fatal</w:t>
            </w:r>
          </w:p>
        </w:tc>
        <w:tc>
          <w:tcPr>
            <w:tcW w:w="1038" w:type="dxa"/>
          </w:tcPr>
          <w:p w:rsidR="00F26511" w:rsidRPr="003B735D" w:rsidRDefault="00F26511" w:rsidP="00F26511">
            <w:pPr>
              <w:jc w:val="center"/>
            </w:pPr>
            <w:r w:rsidRPr="003B735D">
              <w:t>0</w:t>
            </w:r>
          </w:p>
        </w:tc>
        <w:tc>
          <w:tcPr>
            <w:tcW w:w="1039" w:type="dxa"/>
          </w:tcPr>
          <w:p w:rsidR="00F26511" w:rsidRPr="003B735D" w:rsidRDefault="00F26511" w:rsidP="00F26511">
            <w:pPr>
              <w:jc w:val="center"/>
            </w:pPr>
            <w:r w:rsidRPr="003B735D">
              <w:t>0</w:t>
            </w:r>
          </w:p>
        </w:tc>
        <w:tc>
          <w:tcPr>
            <w:tcW w:w="1038" w:type="dxa"/>
          </w:tcPr>
          <w:p w:rsidR="00F26511" w:rsidRPr="003B735D" w:rsidRDefault="00F26511" w:rsidP="00F26511">
            <w:pPr>
              <w:jc w:val="center"/>
            </w:pPr>
            <w:r w:rsidRPr="003B735D">
              <w:t>0</w:t>
            </w:r>
          </w:p>
        </w:tc>
        <w:tc>
          <w:tcPr>
            <w:tcW w:w="1039" w:type="dxa"/>
          </w:tcPr>
          <w:p w:rsidR="00F26511" w:rsidRPr="003B735D" w:rsidRDefault="00F26511" w:rsidP="00F26511">
            <w:pPr>
              <w:jc w:val="center"/>
            </w:pPr>
            <w:r w:rsidRPr="003B735D">
              <w:t>0</w:t>
            </w:r>
          </w:p>
        </w:tc>
      </w:tr>
      <w:tr w:rsidR="00F26511" w:rsidRPr="00B10DFF" w:rsidTr="00C63C20">
        <w:tc>
          <w:tcPr>
            <w:tcW w:w="3397" w:type="dxa"/>
          </w:tcPr>
          <w:p w:rsidR="00F26511" w:rsidRPr="00B10DFF" w:rsidRDefault="00F26511" w:rsidP="00F26511">
            <w:r w:rsidRPr="00B10DFF">
              <w:t>Serious</w:t>
            </w:r>
          </w:p>
        </w:tc>
        <w:tc>
          <w:tcPr>
            <w:tcW w:w="1038" w:type="dxa"/>
          </w:tcPr>
          <w:p w:rsidR="00F26511" w:rsidRPr="003B735D" w:rsidRDefault="00F26511" w:rsidP="00F26511">
            <w:pPr>
              <w:jc w:val="center"/>
            </w:pPr>
            <w:r w:rsidRPr="003B735D">
              <w:t>1</w:t>
            </w:r>
          </w:p>
        </w:tc>
        <w:tc>
          <w:tcPr>
            <w:tcW w:w="1039" w:type="dxa"/>
          </w:tcPr>
          <w:p w:rsidR="00F26511" w:rsidRPr="003B735D" w:rsidRDefault="00F26511" w:rsidP="00F26511">
            <w:pPr>
              <w:jc w:val="center"/>
            </w:pPr>
            <w:r w:rsidRPr="003B735D">
              <w:t>1</w:t>
            </w:r>
          </w:p>
        </w:tc>
        <w:tc>
          <w:tcPr>
            <w:tcW w:w="1038" w:type="dxa"/>
          </w:tcPr>
          <w:p w:rsidR="00F26511" w:rsidRPr="003B735D" w:rsidRDefault="00F26511" w:rsidP="00F26511">
            <w:pPr>
              <w:jc w:val="center"/>
            </w:pPr>
            <w:r w:rsidRPr="003B735D">
              <w:t>3</w:t>
            </w:r>
          </w:p>
        </w:tc>
        <w:tc>
          <w:tcPr>
            <w:tcW w:w="1039" w:type="dxa"/>
          </w:tcPr>
          <w:p w:rsidR="00F26511" w:rsidRPr="003B735D" w:rsidRDefault="00F26511" w:rsidP="00F26511">
            <w:pPr>
              <w:jc w:val="center"/>
            </w:pPr>
            <w:r w:rsidRPr="003B735D">
              <w:t>1</w:t>
            </w:r>
          </w:p>
        </w:tc>
      </w:tr>
      <w:tr w:rsidR="00F26511" w:rsidTr="00C63C20">
        <w:tc>
          <w:tcPr>
            <w:tcW w:w="3397" w:type="dxa"/>
          </w:tcPr>
          <w:p w:rsidR="00F26511" w:rsidRPr="00B10DFF" w:rsidRDefault="00F26511" w:rsidP="00F26511">
            <w:r w:rsidRPr="00B10DFF">
              <w:t>Slight</w:t>
            </w:r>
          </w:p>
        </w:tc>
        <w:tc>
          <w:tcPr>
            <w:tcW w:w="1038" w:type="dxa"/>
          </w:tcPr>
          <w:p w:rsidR="00F26511" w:rsidRPr="003B735D" w:rsidRDefault="00F26511" w:rsidP="00F26511">
            <w:pPr>
              <w:jc w:val="center"/>
            </w:pPr>
            <w:r w:rsidRPr="003B735D">
              <w:t>1</w:t>
            </w:r>
          </w:p>
        </w:tc>
        <w:tc>
          <w:tcPr>
            <w:tcW w:w="1039" w:type="dxa"/>
          </w:tcPr>
          <w:p w:rsidR="00F26511" w:rsidRPr="003B735D" w:rsidRDefault="00F26511" w:rsidP="00F26511">
            <w:pPr>
              <w:jc w:val="center"/>
            </w:pPr>
            <w:r w:rsidRPr="003B735D">
              <w:t>4</w:t>
            </w:r>
          </w:p>
        </w:tc>
        <w:tc>
          <w:tcPr>
            <w:tcW w:w="1038" w:type="dxa"/>
          </w:tcPr>
          <w:p w:rsidR="00F26511" w:rsidRPr="003B735D" w:rsidRDefault="00F26511" w:rsidP="00F26511">
            <w:pPr>
              <w:jc w:val="center"/>
            </w:pPr>
            <w:r w:rsidRPr="003B735D">
              <w:t>1</w:t>
            </w:r>
          </w:p>
        </w:tc>
        <w:tc>
          <w:tcPr>
            <w:tcW w:w="1039" w:type="dxa"/>
          </w:tcPr>
          <w:p w:rsidR="00F26511" w:rsidRDefault="00F26511" w:rsidP="00F26511">
            <w:pPr>
              <w:jc w:val="center"/>
            </w:pPr>
            <w:r w:rsidRPr="003B735D">
              <w:t>0</w:t>
            </w:r>
          </w:p>
        </w:tc>
      </w:tr>
      <w:tr w:rsidR="00F26511" w:rsidTr="00C63C20">
        <w:tc>
          <w:tcPr>
            <w:tcW w:w="3397" w:type="dxa"/>
            <w:vAlign w:val="bottom"/>
          </w:tcPr>
          <w:p w:rsidR="00F26511" w:rsidRDefault="00F26511" w:rsidP="00F26511">
            <w:pPr>
              <w:rPr>
                <w:b/>
                <w:bCs/>
              </w:rPr>
            </w:pPr>
            <w:r>
              <w:rPr>
                <w:b/>
                <w:bCs/>
              </w:rPr>
              <w:t>Total</w:t>
            </w:r>
          </w:p>
        </w:tc>
        <w:tc>
          <w:tcPr>
            <w:tcW w:w="1038" w:type="dxa"/>
            <w:vAlign w:val="bottom"/>
          </w:tcPr>
          <w:p w:rsidR="00F26511" w:rsidRDefault="00F26511" w:rsidP="00F26511">
            <w:pPr>
              <w:jc w:val="center"/>
              <w:rPr>
                <w:b/>
                <w:bCs/>
                <w:color w:val="000000"/>
              </w:rPr>
            </w:pPr>
            <w:r>
              <w:rPr>
                <w:b/>
                <w:bCs/>
                <w:color w:val="000000"/>
              </w:rPr>
              <w:t>2</w:t>
            </w:r>
          </w:p>
        </w:tc>
        <w:tc>
          <w:tcPr>
            <w:tcW w:w="1039" w:type="dxa"/>
            <w:vAlign w:val="bottom"/>
          </w:tcPr>
          <w:p w:rsidR="00F26511" w:rsidRDefault="00F26511" w:rsidP="00F26511">
            <w:pPr>
              <w:jc w:val="center"/>
              <w:rPr>
                <w:b/>
                <w:bCs/>
                <w:color w:val="000000"/>
              </w:rPr>
            </w:pPr>
            <w:r>
              <w:rPr>
                <w:b/>
                <w:bCs/>
                <w:color w:val="000000"/>
              </w:rPr>
              <w:t>5</w:t>
            </w:r>
          </w:p>
        </w:tc>
        <w:tc>
          <w:tcPr>
            <w:tcW w:w="1038" w:type="dxa"/>
            <w:vAlign w:val="bottom"/>
          </w:tcPr>
          <w:p w:rsidR="00F26511" w:rsidRDefault="00F26511" w:rsidP="00F26511">
            <w:pPr>
              <w:jc w:val="center"/>
              <w:rPr>
                <w:b/>
                <w:bCs/>
                <w:color w:val="000000"/>
              </w:rPr>
            </w:pPr>
            <w:r>
              <w:rPr>
                <w:b/>
                <w:bCs/>
                <w:color w:val="000000"/>
              </w:rPr>
              <w:t>4</w:t>
            </w:r>
          </w:p>
        </w:tc>
        <w:tc>
          <w:tcPr>
            <w:tcW w:w="1039" w:type="dxa"/>
            <w:vAlign w:val="bottom"/>
          </w:tcPr>
          <w:p w:rsidR="00F26511" w:rsidRDefault="00F26511" w:rsidP="00F26511">
            <w:pPr>
              <w:jc w:val="center"/>
              <w:rPr>
                <w:b/>
                <w:bCs/>
                <w:color w:val="000000"/>
              </w:rPr>
            </w:pPr>
            <w:r>
              <w:rPr>
                <w:b/>
                <w:bCs/>
                <w:color w:val="000000"/>
              </w:rPr>
              <w:t>1</w:t>
            </w:r>
          </w:p>
        </w:tc>
      </w:tr>
    </w:tbl>
    <w:p w:rsidR="00F26511" w:rsidRDefault="00F26511" w:rsidP="00715A43"/>
    <w:p w:rsidR="00F26511" w:rsidRDefault="00F26511" w:rsidP="00715A43">
      <w:r>
        <w:t>Notes to tables:</w:t>
      </w:r>
    </w:p>
    <w:p w:rsidR="00F26511" w:rsidRDefault="00F26511" w:rsidP="00F26511">
      <w:pPr>
        <w:rPr>
          <w:shd w:val="clear" w:color="auto" w:fill="FFFFFF"/>
        </w:rPr>
      </w:pPr>
      <w:r w:rsidRPr="00F26511">
        <w:rPr>
          <w:shd w:val="clear" w:color="auto" w:fill="FFFFFF"/>
        </w:rPr>
        <w:t>All statistics are provisional and should be treated as management information. All data have been extracted from Police Scotland internal systems and are correct as a 30th August 2023.</w:t>
      </w:r>
    </w:p>
    <w:p w:rsidR="00F26511" w:rsidRDefault="00F26511" w:rsidP="00F26511">
      <w:pPr>
        <w:rPr>
          <w:shd w:val="clear" w:color="auto" w:fill="FFFFFF"/>
        </w:rPr>
      </w:pPr>
      <w:r w:rsidRPr="00F26511">
        <w:rPr>
          <w:shd w:val="clear" w:color="auto" w:fill="FFFFFF"/>
        </w:rPr>
        <w:t>Data excludes non-injury collisions as per standard operating procedure.</w:t>
      </w:r>
    </w:p>
    <w:p w:rsidR="00F26511" w:rsidRDefault="00F26511" w:rsidP="00F26511">
      <w:pPr>
        <w:rPr>
          <w:shd w:val="clear" w:color="auto" w:fill="FFFFFF"/>
        </w:rPr>
      </w:pPr>
      <w:r w:rsidRPr="00F26511">
        <w:rPr>
          <w:shd w:val="clear" w:color="auto" w:fill="FFFFFF"/>
        </w:rPr>
        <w:t>Please note, the data has been extracted from the CRaSH database.</w:t>
      </w:r>
    </w:p>
    <w:p w:rsidR="00F26511" w:rsidRDefault="00F26511" w:rsidP="00F26511">
      <w:pPr>
        <w:rPr>
          <w:shd w:val="clear" w:color="auto" w:fill="FFFFFF"/>
        </w:rPr>
      </w:pPr>
      <w:r>
        <w:rPr>
          <w:shd w:val="clear" w:color="auto" w:fill="FFFFFF"/>
        </w:rPr>
        <w:t xml:space="preserve">NB </w:t>
      </w:r>
      <w:r w:rsidRPr="00F26511">
        <w:rPr>
          <w:shd w:val="clear" w:color="auto" w:fill="FFFFFF"/>
        </w:rPr>
        <w:t>On the 12th June 2019, CRaSH was implemented within D Division. On the 3rd July 2019, CRaSH was implemented across the other Police Divisions within Police Scotland. CRaSH replaced the existing procedures for recording Road Traffic Collisions.</w:t>
      </w:r>
    </w:p>
    <w:p w:rsidR="00F26511" w:rsidRDefault="00F26511" w:rsidP="00F26511">
      <w:pPr>
        <w:rPr>
          <w:shd w:val="clear" w:color="auto" w:fill="FFFFFF"/>
        </w:rPr>
      </w:pPr>
      <w:r w:rsidRPr="00F26511">
        <w:rPr>
          <w:shd w:val="clear" w:color="auto" w:fill="FFFFFF"/>
        </w:rPr>
        <w:lastRenderedPageBreak/>
        <w:t xml:space="preserve">Please note, Road Traffic Collisions involving at least 1 x </w:t>
      </w:r>
      <w:r>
        <w:rPr>
          <w:shd w:val="clear" w:color="auto" w:fill="FFFFFF"/>
        </w:rPr>
        <w:t>'E-Scooter' / 'Electric Scoo</w:t>
      </w:r>
      <w:r w:rsidRPr="00F26511">
        <w:rPr>
          <w:shd w:val="clear" w:color="auto" w:fill="FFFFFF"/>
        </w:rPr>
        <w:t>ter' / 'Electric Scooter - Private' / 'Unregistered Electrical Scooter' / 'Scooter Electric - Privately Owned' / 'Scooter Electric - Private Owned' / 'Childrens E-Scooter', from the free text variable 'Other Vehicle Type'.</w:t>
      </w:r>
    </w:p>
    <w:p w:rsidR="00F26511" w:rsidRDefault="00F26511" w:rsidP="00F26511">
      <w:pPr>
        <w:rPr>
          <w:shd w:val="clear" w:color="auto" w:fill="FFFFFF"/>
        </w:rPr>
      </w:pPr>
      <w:r w:rsidRPr="00F26511">
        <w:rPr>
          <w:shd w:val="clear" w:color="auto" w:fill="FFFFFF"/>
        </w:rPr>
        <w:t>Note - the data is subject to change and will be updated on the next extract of data from CRaSH on 3rd September 2023.</w:t>
      </w:r>
    </w:p>
    <w:p w:rsidR="00F26511" w:rsidRDefault="00F26511" w:rsidP="00F26511">
      <w:pPr>
        <w:rPr>
          <w:shd w:val="clear" w:color="auto" w:fill="FFFFFF"/>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71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71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71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71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71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71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8648A"/>
    <w:multiLevelType w:val="hybridMultilevel"/>
    <w:tmpl w:val="97181EB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D042D"/>
    <w:multiLevelType w:val="multilevel"/>
    <w:tmpl w:val="B752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17112"/>
    <w:rsid w:val="001305E3"/>
    <w:rsid w:val="00141533"/>
    <w:rsid w:val="00167528"/>
    <w:rsid w:val="00195CC4"/>
    <w:rsid w:val="00201EA3"/>
    <w:rsid w:val="00253DF6"/>
    <w:rsid w:val="00255F1E"/>
    <w:rsid w:val="002A147B"/>
    <w:rsid w:val="0031772C"/>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15A43"/>
    <w:rsid w:val="007443E5"/>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35D35"/>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34790"/>
    <w:rsid w:val="00D47E36"/>
    <w:rsid w:val="00D94A28"/>
    <w:rsid w:val="00DA19D7"/>
    <w:rsid w:val="00E448C2"/>
    <w:rsid w:val="00E55D79"/>
    <w:rsid w:val="00EF4761"/>
    <w:rsid w:val="00EF6CE2"/>
    <w:rsid w:val="00F2651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278">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73239649">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988</Words>
  <Characters>5637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2023-09-08T09:39:00Z</dcterms:created>
  <dcterms:modified xsi:type="dcterms:W3CDTF">2023-09-11T13:56:00Z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