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2D2CCD">
              <w:t>-0914</w:t>
            </w:r>
          </w:p>
          <w:p w:rsidR="00B17211" w:rsidRDefault="00456324" w:rsidP="00570EDC">
            <w:r w:rsidRPr="007F490F">
              <w:rPr>
                <w:rStyle w:val="Heading2Char"/>
              </w:rPr>
              <w:t>Respon</w:t>
            </w:r>
            <w:r w:rsidR="007D55F6">
              <w:rPr>
                <w:rStyle w:val="Heading2Char"/>
              </w:rPr>
              <w:t>ded to:</w:t>
            </w:r>
            <w:r w:rsidR="007F490F">
              <w:t xml:space="preserve">  </w:t>
            </w:r>
            <w:r w:rsidR="00713A1B">
              <w:t>30</w:t>
            </w:r>
            <w:r w:rsidR="002D2CCD">
              <w:t xml:space="preserve"> </w:t>
            </w:r>
            <w:r w:rsidR="00570EDC">
              <w:t>May</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r w:rsidR="00713A1B">
        <w:t xml:space="preserve">  Please accept my apologies for the delay in responding.</w:t>
      </w:r>
    </w:p>
    <w:p w:rsidR="002D2CCD" w:rsidRPr="002D2CCD" w:rsidRDefault="002D2CCD" w:rsidP="002D2CCD">
      <w:pPr>
        <w:rPr>
          <w:rFonts w:eastAsia="Times New Roman"/>
          <w:b/>
        </w:rPr>
      </w:pPr>
      <w:r w:rsidRPr="002D2CCD">
        <w:rPr>
          <w:rFonts w:eastAsia="Times New Roman"/>
          <w:b/>
        </w:rPr>
        <w:t>From 01/02/23 to the 07/04/23, please provide all internal correspondence and communications sent and received within your police force's press office (by press officers to press officers, or by press officers to other departments within your force) in regard to the investigation into the SNP's finances and the former SNP chief executive Peter Murrell. You could search keywords such as "Murrell"," Peter Murrell", "Nicola Sturgeon", "Sturgeon" and "SNP" etc.</w:t>
      </w:r>
    </w:p>
    <w:p w:rsidR="00F1563F" w:rsidRDefault="002D2CCD" w:rsidP="00FF2D90">
      <w:r w:rsidRPr="002D2CCD">
        <w:rPr>
          <w:rFonts w:eastAsia="Times New Roman"/>
          <w:b/>
        </w:rPr>
        <w:t>I just want to be clear that I am not only after emails, but also all of these other types of "correspondence and communications" sent in a professional capacity:</w:t>
      </w:r>
      <w:r w:rsidRPr="002D2CCD">
        <w:rPr>
          <w:rFonts w:eastAsia="Times New Roman"/>
          <w:b/>
        </w:rPr>
        <w:br/>
        <w:t>- Texts/Whatsapp messages/ Signal messages</w:t>
      </w:r>
      <w:r w:rsidRPr="002D2CCD">
        <w:rPr>
          <w:rFonts w:eastAsia="Times New Roman"/>
          <w:b/>
        </w:rPr>
        <w:br/>
        <w:t>- Emails (and their attachments)</w:t>
      </w:r>
      <w:r w:rsidRPr="002D2CCD">
        <w:rPr>
          <w:rFonts w:eastAsia="Times New Roman"/>
          <w:b/>
        </w:rPr>
        <w:br/>
        <w:t>- Letters</w:t>
      </w:r>
      <w:r w:rsidRPr="002D2CCD">
        <w:rPr>
          <w:rFonts w:eastAsia="Times New Roman"/>
          <w:b/>
        </w:rPr>
        <w:br/>
        <w:t>- Memos</w:t>
      </w:r>
      <w:r w:rsidRPr="002D2CCD">
        <w:rPr>
          <w:rFonts w:eastAsia="Times New Roman"/>
          <w:b/>
        </w:rPr>
        <w:br/>
        <w:t>- Briefings</w:t>
      </w:r>
      <w:r w:rsidRPr="002D2CCD">
        <w:rPr>
          <w:rFonts w:eastAsia="Times New Roman"/>
          <w:b/>
        </w:rPr>
        <w:br/>
        <w:t>- Research Documents</w:t>
      </w:r>
      <w:r w:rsidRPr="002D2CCD">
        <w:rPr>
          <w:rFonts w:eastAsia="Times New Roman"/>
          <w:b/>
        </w:rPr>
        <w:br/>
        <w:t>- Notes taken during telephone conversations</w:t>
      </w:r>
      <w:r w:rsidRPr="002D2CCD">
        <w:rPr>
          <w:rFonts w:eastAsia="Times New Roman"/>
          <w:b/>
        </w:rPr>
        <w:br/>
        <w:t>- Minutes taken during meetings/ invitations</w:t>
      </w:r>
      <w:r w:rsidR="00FF2D90" w:rsidRPr="00FF2D90">
        <w:t xml:space="preserve"> </w:t>
      </w:r>
    </w:p>
    <w:p w:rsidR="000B24CF" w:rsidRDefault="000B24CF" w:rsidP="000B24CF">
      <w:pPr>
        <w:autoSpaceDE w:val="0"/>
        <w:autoSpaceDN w:val="0"/>
        <w:adjustRightInd w:val="0"/>
        <w:spacing w:before="100" w:beforeAutospacing="1" w:after="100" w:afterAutospacing="1"/>
      </w:pPr>
      <w:r w:rsidRPr="00715E96">
        <w:t>Your request for information has</w:t>
      </w:r>
      <w:r>
        <w:t xml:space="preserve"> been considered, however, </w:t>
      </w:r>
      <w:r w:rsidRPr="00715E96">
        <w:t xml:space="preserve">a decision was made not to grant your request. </w:t>
      </w:r>
    </w:p>
    <w:p w:rsidR="000B24CF" w:rsidRPr="00715E96" w:rsidRDefault="000B24CF" w:rsidP="000B24CF">
      <w:pPr>
        <w:autoSpaceDE w:val="0"/>
        <w:autoSpaceDN w:val="0"/>
        <w:adjustRightInd w:val="0"/>
        <w:spacing w:before="100" w:beforeAutospacing="1" w:after="100" w:afterAutospacing="1"/>
      </w:pPr>
      <w:r>
        <w:t xml:space="preserve">In this instance </w:t>
      </w:r>
      <w:r w:rsidRPr="00715E96">
        <w:t>all</w:t>
      </w:r>
      <w:r>
        <w:t xml:space="preserve"> of the above</w:t>
      </w:r>
      <w:r w:rsidRPr="00715E96">
        <w:t xml:space="preserve"> information is considered to be exempt from disclosure in terms of the Freedom of Information (Scotland) Act 2002 (the Act). </w:t>
      </w:r>
    </w:p>
    <w:p w:rsidR="000B24CF" w:rsidRPr="00715E96" w:rsidRDefault="000B24CF" w:rsidP="000B24CF">
      <w:pPr>
        <w:autoSpaceDE w:val="0"/>
        <w:autoSpaceDN w:val="0"/>
        <w:adjustRightInd w:val="0"/>
        <w:spacing w:before="100" w:beforeAutospacing="1" w:after="100" w:afterAutospacing="1"/>
      </w:pPr>
      <w:r w:rsidRPr="00715E96">
        <w:t xml:space="preserve">Section 16 of the Act requires Police Scotland to provide you with a notice which: (a) states that it holds the information, (b) states that it is claiming an exemption, (c) specifies the exemption in question and (d) states, if that would not be otherwise apparent, why the </w:t>
      </w:r>
      <w:r w:rsidRPr="00715E96">
        <w:lastRenderedPageBreak/>
        <w:t xml:space="preserve">exemption applies. Where information is considered to be exempt, this letter serves as a Refusal Notice that information is held and an explanation of the appropriate exemption is provided.  </w:t>
      </w:r>
    </w:p>
    <w:p w:rsidR="000B24CF" w:rsidRPr="00715E96" w:rsidRDefault="000B24CF" w:rsidP="000B24CF">
      <w:pPr>
        <w:spacing w:before="100" w:beforeAutospacing="1" w:after="100" w:afterAutospacing="1"/>
        <w:rPr>
          <w:rFonts w:eastAsia="Times New Roman"/>
          <w:b/>
          <w:color w:val="000000"/>
        </w:rPr>
      </w:pPr>
      <w:r w:rsidRPr="00715E96">
        <w:t>The exemptions that</w:t>
      </w:r>
      <w:r>
        <w:t xml:space="preserve"> I consider to be applicable</w:t>
      </w:r>
      <w:r w:rsidRPr="00715E96">
        <w:t xml:space="preserve"> are as follows: </w:t>
      </w:r>
    </w:p>
    <w:p w:rsidR="000B24CF" w:rsidRPr="00715E96" w:rsidRDefault="000B24CF" w:rsidP="000B24CF">
      <w:pPr>
        <w:pStyle w:val="Heading2"/>
        <w:spacing w:before="100" w:beforeAutospacing="1" w:after="100" w:afterAutospacing="1"/>
        <w:rPr>
          <w:rFonts w:cs="Arial"/>
          <w:szCs w:val="24"/>
        </w:rPr>
      </w:pPr>
      <w:r w:rsidRPr="00715E96">
        <w:rPr>
          <w:rFonts w:cs="Arial"/>
          <w:szCs w:val="24"/>
        </w:rPr>
        <w:t>Section 26 (c) – Prohibitions on disclosure</w:t>
      </w:r>
    </w:p>
    <w:p w:rsidR="000B24CF" w:rsidRPr="00715E96" w:rsidRDefault="000B24CF" w:rsidP="000B24CF">
      <w:pPr>
        <w:autoSpaceDE w:val="0"/>
        <w:autoSpaceDN w:val="0"/>
        <w:adjustRightInd w:val="0"/>
        <w:spacing w:before="100" w:beforeAutospacing="1" w:after="100" w:afterAutospacing="1"/>
      </w:pPr>
      <w:r w:rsidRPr="00715E96">
        <w:t>Information is exempt information under this section, if its disclosure would constitute, or be punishable as, a contempt of court.</w:t>
      </w:r>
    </w:p>
    <w:p w:rsidR="000B24CF" w:rsidRPr="00715E96" w:rsidRDefault="000B24CF" w:rsidP="000B24CF">
      <w:pPr>
        <w:autoSpaceDE w:val="0"/>
        <w:autoSpaceDN w:val="0"/>
        <w:adjustRightInd w:val="0"/>
        <w:spacing w:before="100" w:beforeAutospacing="1" w:after="100" w:afterAutospacing="1"/>
      </w:pPr>
      <w:r w:rsidRPr="00715E96">
        <w:rPr>
          <w:rFonts w:eastAsia="Times New Roman"/>
        </w:rPr>
        <w:t>Disclosure would substantially risk prejudicing what is an ongoing and live investigation. This includes an increased risk of a breach Contempt of Court legislation which is active in this case</w:t>
      </w:r>
    </w:p>
    <w:p w:rsidR="000B24CF" w:rsidRPr="00715E96" w:rsidRDefault="000B24CF" w:rsidP="000B24CF">
      <w:pPr>
        <w:autoSpaceDE w:val="0"/>
        <w:autoSpaceDN w:val="0"/>
        <w:adjustRightInd w:val="0"/>
        <w:spacing w:before="100" w:beforeAutospacing="1" w:after="100" w:afterAutospacing="1"/>
      </w:pPr>
      <w:r w:rsidRPr="00715E96">
        <w:t>This is an absolute exemption and does not require the application of the public interest test.</w:t>
      </w:r>
    </w:p>
    <w:p w:rsidR="000B24CF" w:rsidRPr="00715E96" w:rsidRDefault="000B24CF" w:rsidP="000B24CF">
      <w:pPr>
        <w:autoSpaceDE w:val="0"/>
        <w:autoSpaceDN w:val="0"/>
        <w:adjustRightInd w:val="0"/>
        <w:spacing w:before="100" w:beforeAutospacing="1" w:after="100" w:afterAutospacing="1"/>
        <w:rPr>
          <w:b/>
        </w:rPr>
      </w:pPr>
      <w:r w:rsidRPr="00715E96">
        <w:rPr>
          <w:b/>
        </w:rPr>
        <w:t>Section 30(b) – Free and frank provision of advice or exchange of views</w:t>
      </w:r>
    </w:p>
    <w:p w:rsidR="000B24CF" w:rsidRPr="00715E96" w:rsidRDefault="000B24CF" w:rsidP="000B24CF">
      <w:pPr>
        <w:spacing w:before="100" w:beforeAutospacing="1" w:after="100" w:afterAutospacing="1"/>
      </w:pPr>
      <w:r w:rsidRPr="00715E96">
        <w:t>Information is exempt under section 30(b) if disclosure would, or would be likely to, inhibit substantially the free and frank exchange of views for the purposes of deliberation.</w:t>
      </w:r>
    </w:p>
    <w:p w:rsidR="000B24CF" w:rsidRPr="00715E96" w:rsidRDefault="000B24CF" w:rsidP="000B24CF">
      <w:pPr>
        <w:spacing w:before="100" w:beforeAutospacing="1" w:after="100" w:afterAutospacing="1"/>
      </w:pPr>
      <w:r w:rsidRPr="00715E96">
        <w:rPr>
          <w:color w:val="000000"/>
        </w:rPr>
        <w:t>The exemptions in section 30(b) focus on the effect that disclosure of information would have (or would be likely to have) on the free and frank provision of advice or the free and frank exchange of views for the purposes of deliberation</w:t>
      </w:r>
    </w:p>
    <w:p w:rsidR="000B24CF" w:rsidRPr="00715E96" w:rsidRDefault="000B24CF" w:rsidP="000B24CF">
      <w:pPr>
        <w:spacing w:before="100" w:beforeAutospacing="1" w:after="100" w:afterAutospacing="1"/>
      </w:pPr>
      <w:r w:rsidRPr="00715E96">
        <w:t>The information held details Police Scotland’s thinking and deliberation on the matter of a live investigation. If released, this information would subs</w:t>
      </w:r>
      <w:r>
        <w:t>tantially inhibit future</w:t>
      </w:r>
      <w:r w:rsidRPr="00715E96">
        <w:t xml:space="preserve"> enquiries, prejudicing the ability to respond effectively to sensitive issues and require the Service to assess correctly the harm in any potential future disclosure. </w:t>
      </w:r>
    </w:p>
    <w:p w:rsidR="000B24CF" w:rsidRPr="00715E96" w:rsidRDefault="000B24CF" w:rsidP="000B24CF">
      <w:pPr>
        <w:spacing w:before="100" w:beforeAutospacing="1" w:after="100" w:afterAutospacing="1"/>
      </w:pPr>
      <w:r w:rsidRPr="00715E96">
        <w:t>Pre-empting these decisions by releasing information into the public domain is likely to frustrate this process and would inhibit the manner in which those issues are debated, effectively undermining the ability to ensure that there is sufficient opportunity to ensure all potential concerns and viewpoints are accurately identified and addressed by those involved for fear that their comments would be released.</w:t>
      </w:r>
    </w:p>
    <w:p w:rsidR="000B24CF" w:rsidRPr="00715E96" w:rsidRDefault="000B24CF" w:rsidP="000B24CF">
      <w:pPr>
        <w:spacing w:before="100" w:beforeAutospacing="1" w:after="100" w:afterAutospacing="1"/>
        <w:rPr>
          <w:rFonts w:eastAsia="Times New Roman"/>
          <w:lang w:eastAsia="en-GB"/>
        </w:rPr>
      </w:pPr>
      <w:r w:rsidRPr="00715E96">
        <w:t xml:space="preserve">This is a non absolute exemption and requires the application of the public interest test. </w:t>
      </w:r>
    </w:p>
    <w:p w:rsidR="000B24CF" w:rsidRPr="00715E96" w:rsidRDefault="000B24CF" w:rsidP="000B24CF">
      <w:pPr>
        <w:pStyle w:val="BodyText"/>
        <w:spacing w:before="100" w:beforeAutospacing="1" w:after="100" w:afterAutospacing="1" w:line="360" w:lineRule="auto"/>
        <w:rPr>
          <w:rFonts w:ascii="Arial" w:hAnsi="Arial" w:cs="Arial"/>
          <w:b/>
          <w:szCs w:val="24"/>
        </w:rPr>
      </w:pPr>
      <w:r>
        <w:rPr>
          <w:rFonts w:ascii="Arial" w:hAnsi="Arial" w:cs="Arial"/>
          <w:b/>
          <w:szCs w:val="24"/>
        </w:rPr>
        <w:t xml:space="preserve">Section 34(1) </w:t>
      </w:r>
      <w:r w:rsidRPr="00715E96">
        <w:rPr>
          <w:rFonts w:ascii="Arial" w:hAnsi="Arial" w:cs="Arial"/>
          <w:b/>
          <w:szCs w:val="24"/>
        </w:rPr>
        <w:t>(a) (i) &amp; (b) – Investigations by a Scottish public authority and proceedings arising out of such investigations</w:t>
      </w:r>
    </w:p>
    <w:p w:rsidR="000B24CF" w:rsidRPr="00715E96" w:rsidRDefault="000B24CF" w:rsidP="000B24CF">
      <w:pPr>
        <w:spacing w:before="100" w:beforeAutospacing="1" w:after="100" w:afterAutospacing="1"/>
      </w:pPr>
      <w:r w:rsidRPr="00715E96">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rsidR="000B24CF" w:rsidRPr="00715E96" w:rsidRDefault="000B24CF" w:rsidP="000B24CF">
      <w:pPr>
        <w:spacing w:before="100" w:beforeAutospacing="1" w:after="100" w:afterAutospacing="1"/>
        <w:rPr>
          <w:rFonts w:eastAsia="Times New Roman"/>
          <w:lang w:eastAsia="en-GB"/>
        </w:rPr>
      </w:pPr>
      <w:r w:rsidRPr="00715E96">
        <w:t xml:space="preserve">This is a non absolute exemption and requires the application of the public interest test. </w:t>
      </w:r>
    </w:p>
    <w:p w:rsidR="000B24CF" w:rsidRPr="00715E96" w:rsidRDefault="000B24CF" w:rsidP="000B24CF">
      <w:pPr>
        <w:pStyle w:val="Heading2"/>
        <w:spacing w:before="100" w:beforeAutospacing="1" w:after="100" w:afterAutospacing="1"/>
        <w:rPr>
          <w:rFonts w:cs="Arial"/>
          <w:szCs w:val="24"/>
        </w:rPr>
      </w:pPr>
      <w:r w:rsidRPr="00715E96">
        <w:rPr>
          <w:rFonts w:cs="Arial"/>
          <w:szCs w:val="24"/>
        </w:rPr>
        <w:t>Section 35 (1) (b) – Law enforcement</w:t>
      </w:r>
    </w:p>
    <w:p w:rsidR="000B24CF" w:rsidRPr="00715E96" w:rsidRDefault="000B24CF" w:rsidP="000B24CF">
      <w:pPr>
        <w:spacing w:before="100" w:beforeAutospacing="1" w:after="100" w:afterAutospacing="1"/>
      </w:pPr>
      <w:r w:rsidRPr="00715E96">
        <w:t xml:space="preserve">Information is exempt information if its disclosure would, or would be likely to, prejudice substantially the prosecution of offenders.  </w:t>
      </w:r>
    </w:p>
    <w:p w:rsidR="000B24CF" w:rsidRPr="00715E96" w:rsidRDefault="000B24CF" w:rsidP="000B24CF">
      <w:pPr>
        <w:spacing w:before="100" w:beforeAutospacing="1" w:after="100" w:afterAutospacing="1"/>
        <w:rPr>
          <w:rFonts w:eastAsia="Times New Roman"/>
          <w:b/>
          <w:bCs/>
        </w:rPr>
      </w:pPr>
      <w:r w:rsidRPr="00715E96">
        <w:t xml:space="preserve">Disclosure of the requested information would </w:t>
      </w:r>
      <w:r w:rsidRPr="00715E96">
        <w:rPr>
          <w:rFonts w:eastAsia="Times New Roman"/>
        </w:rPr>
        <w:t>impact on the live investigation and any ongoing and/or subsequent legal proceedings.</w:t>
      </w:r>
    </w:p>
    <w:p w:rsidR="000B24CF" w:rsidRPr="00715E96" w:rsidRDefault="000B24CF" w:rsidP="000B24CF">
      <w:pPr>
        <w:spacing w:before="100" w:beforeAutospacing="1" w:after="100" w:afterAutospacing="1"/>
        <w:rPr>
          <w:rFonts w:eastAsia="Times New Roman"/>
          <w:b/>
          <w:bCs/>
        </w:rPr>
      </w:pPr>
      <w:r w:rsidRPr="00715E96">
        <w:t xml:space="preserve">This is a non absolute exemption and requires the application of the public interest test. </w:t>
      </w:r>
    </w:p>
    <w:p w:rsidR="000B24CF" w:rsidRPr="00715E96" w:rsidRDefault="000B24CF" w:rsidP="000B24CF">
      <w:pPr>
        <w:pStyle w:val="Default"/>
        <w:spacing w:before="100" w:beforeAutospacing="1" w:after="100" w:afterAutospacing="1"/>
      </w:pPr>
      <w:r w:rsidRPr="00715E96">
        <w:rPr>
          <w:b/>
          <w:bCs/>
        </w:rPr>
        <w:t xml:space="preserve">Section 39(1) – Health, safety and the environment </w:t>
      </w:r>
    </w:p>
    <w:p w:rsidR="000B24CF" w:rsidRPr="00715E96" w:rsidRDefault="000B24CF" w:rsidP="000B24CF">
      <w:pPr>
        <w:pStyle w:val="Default"/>
        <w:spacing w:before="100" w:beforeAutospacing="1" w:after="100" w:afterAutospacing="1"/>
      </w:pPr>
      <w:r w:rsidRPr="00715E96">
        <w:rPr>
          <w:iCs/>
        </w:rPr>
        <w:t>Information is exempt information if its disclosure under this Act would, or would be likely to, endanger the physical or mental health or the safety of an individual.</w:t>
      </w:r>
      <w:r w:rsidRPr="00715E96">
        <w:rPr>
          <w:i/>
          <w:iCs/>
        </w:rPr>
        <w:t xml:space="preserve"> </w:t>
      </w:r>
    </w:p>
    <w:p w:rsidR="000B24CF" w:rsidRPr="00715E96" w:rsidRDefault="000B24CF" w:rsidP="000B24CF">
      <w:pPr>
        <w:autoSpaceDE w:val="0"/>
        <w:autoSpaceDN w:val="0"/>
        <w:adjustRightInd w:val="0"/>
        <w:spacing w:before="100" w:beforeAutospacing="1" w:after="100" w:afterAutospacing="1"/>
        <w:rPr>
          <w:color w:val="000000"/>
        </w:rPr>
      </w:pPr>
      <w:r w:rsidRPr="00715E96">
        <w:rPr>
          <w:color w:val="000000"/>
        </w:rPr>
        <w:t xml:space="preserve">Whilst I appreciate the reasons why you might wish this information, I also have to consider the wider implications of the public release of such documents as a release of information under this Act is, essentially, a release of sensitive information into the public domain. </w:t>
      </w:r>
    </w:p>
    <w:p w:rsidR="000B24CF" w:rsidRPr="00715E96" w:rsidRDefault="000B24CF" w:rsidP="000B24CF">
      <w:pPr>
        <w:autoSpaceDE w:val="0"/>
        <w:autoSpaceDN w:val="0"/>
        <w:adjustRightInd w:val="0"/>
        <w:spacing w:before="100" w:beforeAutospacing="1" w:after="100" w:afterAutospacing="1"/>
      </w:pPr>
      <w:r w:rsidRPr="00715E96">
        <w:rPr>
          <w:color w:val="000000"/>
        </w:rPr>
        <w:t xml:space="preserve">This is a non-absolute exemption and requires the application of the public interest test. </w:t>
      </w:r>
      <w:r w:rsidRPr="00715E96">
        <w:t>.</w:t>
      </w:r>
    </w:p>
    <w:p w:rsidR="000B24CF" w:rsidRPr="00715E96" w:rsidRDefault="000B24CF" w:rsidP="000B24CF">
      <w:pPr>
        <w:spacing w:before="100" w:beforeAutospacing="1" w:after="100" w:afterAutospacing="1"/>
      </w:pPr>
      <w:r w:rsidRPr="00715E96">
        <w:rPr>
          <w:b/>
        </w:rPr>
        <w:t>Public Interest Test</w:t>
      </w:r>
    </w:p>
    <w:p w:rsidR="000B24CF" w:rsidRPr="00715E96" w:rsidRDefault="000B24CF" w:rsidP="000B24CF">
      <w:pPr>
        <w:spacing w:before="100" w:beforeAutospacing="1" w:after="100" w:afterAutospacing="1"/>
        <w:rPr>
          <w:lang w:val="en-US"/>
        </w:rPr>
      </w:pPr>
      <w:r w:rsidRPr="00715E96">
        <w:rPr>
          <w:lang w:val="en-US"/>
        </w:rPr>
        <w:t>I appreciate there is an interest in the release of such information: however this must be tempered against what is of interest to the public and what is in the public interest.</w:t>
      </w:r>
    </w:p>
    <w:p w:rsidR="000B24CF" w:rsidRPr="00715E96" w:rsidRDefault="000B24CF" w:rsidP="000B24CF">
      <w:pPr>
        <w:pStyle w:val="Default"/>
        <w:spacing w:before="100" w:beforeAutospacing="1" w:after="100" w:afterAutospacing="1"/>
        <w:rPr>
          <w:lang w:val="en-US"/>
        </w:rPr>
      </w:pPr>
      <w:r w:rsidRPr="00715E96">
        <w:t>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rsidR="000B24CF" w:rsidRPr="00715E96" w:rsidRDefault="000B24CF" w:rsidP="000B24CF">
      <w:pPr>
        <w:spacing w:before="100" w:beforeAutospacing="1" w:after="100" w:afterAutospacing="1"/>
      </w:pPr>
      <w:r w:rsidRPr="00715E96">
        <w:t xml:space="preserve">It is in the public interest that an understanding exists as to the processes involved in police investigations, therefore, accountability and transparency relating to the actions of Police Scotland and its officers would favour disclosure of the requested information. </w:t>
      </w:r>
    </w:p>
    <w:p w:rsidR="000B24CF" w:rsidRPr="00715E96" w:rsidRDefault="000B24CF" w:rsidP="000B24CF">
      <w:pPr>
        <w:widowControl w:val="0"/>
        <w:overflowPunct w:val="0"/>
        <w:autoSpaceDE w:val="0"/>
        <w:autoSpaceDN w:val="0"/>
        <w:adjustRightInd w:val="0"/>
        <w:spacing w:before="100" w:beforeAutospacing="1" w:after="100" w:afterAutospacing="1"/>
        <w:textAlignment w:val="baseline"/>
      </w:pPr>
      <w:r w:rsidRPr="00715E96">
        <w:t xml:space="preserve">That said, a decision for non-disclosure follows consideration of ongoing or likely criminal investigations and the efficient and effective conduct of Police Scotland in relation to such investigations. </w:t>
      </w:r>
    </w:p>
    <w:p w:rsidR="000B24CF" w:rsidRPr="00715E96" w:rsidRDefault="000B24CF" w:rsidP="000B24CF">
      <w:pPr>
        <w:spacing w:before="100" w:beforeAutospacing="1" w:after="100" w:afterAutospacing="1"/>
      </w:pPr>
      <w:r w:rsidRPr="00715E96">
        <w:t xml:space="preserve">It is essential that information pertaining to investigations is disclosed at the correct time and where appropriate, to ensure that neither the investigation nor the potential for proceedings to be brought against an individual(s) are put at risk. </w:t>
      </w:r>
    </w:p>
    <w:p w:rsidR="000B24CF" w:rsidRPr="00715E96" w:rsidRDefault="000B24CF" w:rsidP="000B24CF">
      <w:pPr>
        <w:spacing w:before="100" w:beforeAutospacing="1" w:after="100" w:afterAutospacing="1"/>
      </w:pPr>
      <w:r w:rsidRPr="00715E96">
        <w:t>Further, disclosure of investigative processes, strategies used or guidance given would, due to this being a live investigation,</w:t>
      </w:r>
      <w:r w:rsidRPr="00715E96">
        <w:rPr>
          <w:spacing w:val="-2"/>
        </w:rPr>
        <w:t xml:space="preserve"> prejudice the ongoing investigation and as a result, affect the administration of justice </w:t>
      </w:r>
      <w:r w:rsidRPr="00715E96">
        <w:rPr>
          <w:rFonts w:eastAsia="Times New Roman"/>
        </w:rPr>
        <w:t>and increase the risk of a breach of Contempt of Court legislation, which is active in this case</w:t>
      </w:r>
      <w:r w:rsidRPr="00715E96">
        <w:t xml:space="preserve">. </w:t>
      </w:r>
    </w:p>
    <w:p w:rsidR="000B24CF" w:rsidRPr="00715E96" w:rsidRDefault="000B24CF" w:rsidP="000B24CF">
      <w:pPr>
        <w:spacing w:before="100" w:beforeAutospacing="1" w:after="100" w:afterAutospacing="1"/>
      </w:pPr>
      <w:r w:rsidRPr="00715E96">
        <w:t>Finally, if individuals were unwilling to contribute to such deliberations or put forward proposals in the future fearing their initial views were publicly attributable, or in case any non-factual information was disclosed prior to matters being finalised, any efforts to achieve honest opinion</w:t>
      </w:r>
      <w:r>
        <w:t>s, would be hindered.  Accordingly, in this instance,</w:t>
      </w:r>
      <w:r w:rsidRPr="00715E96">
        <w:t xml:space="preserve"> the balance of the public interest test favours retention of the</w:t>
      </w:r>
      <w:r>
        <w:t xml:space="preserve"> requested</w:t>
      </w:r>
      <w:r w:rsidRPr="00715E96">
        <w:t xml:space="preserve"> information.</w:t>
      </w:r>
    </w:p>
    <w:p w:rsidR="000B24CF" w:rsidRPr="00715E96" w:rsidRDefault="000B24CF" w:rsidP="000B24CF">
      <w:pPr>
        <w:spacing w:before="100" w:beforeAutospacing="1" w:after="100" w:afterAutospacing="1"/>
        <w:rPr>
          <w:b/>
        </w:rPr>
      </w:pPr>
      <w:r w:rsidRPr="00715E96">
        <w:rPr>
          <w:b/>
        </w:rPr>
        <w:t>Section 38(1) (b) of the Act - personal information.</w:t>
      </w:r>
    </w:p>
    <w:p w:rsidR="000B24CF" w:rsidRPr="00715E96" w:rsidRDefault="000B24CF" w:rsidP="000B24CF">
      <w:pPr>
        <w:spacing w:before="100" w:beforeAutospacing="1" w:after="100" w:afterAutospacing="1"/>
      </w:pPr>
      <w:r w:rsidRPr="00715E96">
        <w:t>Personal data is defined in Article 4 of the General Data Protection Regulation (GDPR) as:</w:t>
      </w:r>
    </w:p>
    <w:p w:rsidR="000B24CF" w:rsidRPr="00715E96" w:rsidRDefault="000B24CF" w:rsidP="000B24CF">
      <w:pPr>
        <w:spacing w:before="100" w:beforeAutospacing="1" w:after="100" w:afterAutospacing="1"/>
        <w:rPr>
          <w:i/>
        </w:rPr>
      </w:pPr>
      <w:r w:rsidRPr="00715E96">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0B24CF" w:rsidRPr="00715E96" w:rsidRDefault="000B24CF" w:rsidP="000B24CF">
      <w:pPr>
        <w:spacing w:before="100" w:beforeAutospacing="1" w:after="100" w:afterAutospacing="1"/>
      </w:pPr>
      <w:r w:rsidRPr="00715E96">
        <w:t>Section 38(2A) of the Act provides that personal data is exempt from disclosure where disclosure would contravene any of the data protection principles set out at Article 5(1) of the GDPR which states that:</w:t>
      </w:r>
    </w:p>
    <w:p w:rsidR="000B24CF" w:rsidRPr="00715E96" w:rsidRDefault="000B24CF" w:rsidP="000B24CF">
      <w:pPr>
        <w:spacing w:before="100" w:beforeAutospacing="1" w:after="100" w:afterAutospacing="1"/>
      </w:pPr>
      <w:r w:rsidRPr="00715E96">
        <w:rPr>
          <w:i/>
        </w:rPr>
        <w:t>‘Personal data shall be processed lawfully, fairly and in a transparent manner in relation to the data subject’</w:t>
      </w:r>
    </w:p>
    <w:p w:rsidR="000B24CF" w:rsidRPr="00715E96" w:rsidRDefault="000B24CF" w:rsidP="000B24CF">
      <w:pPr>
        <w:spacing w:before="100" w:beforeAutospacing="1" w:after="100" w:afterAutospacing="1"/>
      </w:pPr>
      <w:r w:rsidRPr="00715E96">
        <w:t>Article 6 of the GDPR goes on to state that processing shall be lawful only if certain conditions are met.  The only potentially applicable condition is Article 6(1) (f) which states:</w:t>
      </w:r>
    </w:p>
    <w:p w:rsidR="000B24CF" w:rsidRPr="00715E96" w:rsidRDefault="000B24CF" w:rsidP="000B24CF">
      <w:pPr>
        <w:spacing w:before="100" w:beforeAutospacing="1" w:after="100" w:afterAutospacing="1"/>
        <w:rPr>
          <w:i/>
        </w:rPr>
      </w:pPr>
      <w:r w:rsidRPr="00715E96">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rsidR="000B24CF" w:rsidRDefault="000B24CF" w:rsidP="000B24CF">
      <w:pPr>
        <w:spacing w:before="100" w:beforeAutospacing="1" w:after="100" w:afterAutospacing="1"/>
      </w:pPr>
      <w:r w:rsidRPr="00715E96">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rsidR="000B24CF" w:rsidRPr="00715E96" w:rsidRDefault="000B24CF" w:rsidP="000B24CF">
      <w:pPr>
        <w:autoSpaceDE w:val="0"/>
        <w:autoSpaceDN w:val="0"/>
        <w:adjustRightInd w:val="0"/>
        <w:spacing w:before="100" w:beforeAutospacing="1" w:after="100" w:afterAutospacing="1"/>
      </w:pPr>
      <w:r w:rsidRPr="00715E96">
        <w:t>This is an absolute exemption and does not require the application of the public interest test.</w:t>
      </w:r>
    </w:p>
    <w:p w:rsidR="00496A08" w:rsidRPr="00BF6B81" w:rsidRDefault="00496A08" w:rsidP="00261526">
      <w:r>
        <w:t xml:space="preserve">If you require any further </w:t>
      </w:r>
      <w:r w:rsidRPr="00874BFD">
        <w:t>assistance</w:t>
      </w:r>
      <w:r>
        <w:t xml:space="preserve"> please contact us quoting the reference above.</w:t>
      </w:r>
    </w:p>
    <w:p w:rsidR="00496A08" w:rsidRPr="007C470A" w:rsidRDefault="00496A08" w:rsidP="00261526">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261526">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8499A">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4FF" w:rsidRDefault="00CC04FF" w:rsidP="00491644">
      <w:r>
        <w:separator/>
      </w:r>
    </w:p>
  </w:endnote>
  <w:endnote w:type="continuationSeparator" w:id="0">
    <w:p w:rsidR="00CC04FF" w:rsidRDefault="00CC04FF"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28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28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28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4FF" w:rsidRDefault="00CC04FF" w:rsidP="00491644">
      <w:r>
        <w:separator/>
      </w:r>
    </w:p>
  </w:footnote>
  <w:footnote w:type="continuationSeparator" w:id="0">
    <w:p w:rsidR="00CC04FF" w:rsidRDefault="00CC04FF"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286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28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286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C304D"/>
    <w:multiLevelType w:val="hybridMultilevel"/>
    <w:tmpl w:val="9830EC28"/>
    <w:lvl w:ilvl="0" w:tplc="359603D6">
      <w:start w:val="1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14953B97"/>
    <w:multiLevelType w:val="hybridMultilevel"/>
    <w:tmpl w:val="97DA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B3AA1"/>
    <w:multiLevelType w:val="hybridMultilevel"/>
    <w:tmpl w:val="1C4C15C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74BE"/>
    <w:rsid w:val="00090F3B"/>
    <w:rsid w:val="000B0608"/>
    <w:rsid w:val="000B24CF"/>
    <w:rsid w:val="000B737B"/>
    <w:rsid w:val="000E6526"/>
    <w:rsid w:val="001307C4"/>
    <w:rsid w:val="0014145D"/>
    <w:rsid w:val="00141533"/>
    <w:rsid w:val="00167528"/>
    <w:rsid w:val="00195CC4"/>
    <w:rsid w:val="001C3C02"/>
    <w:rsid w:val="001C534B"/>
    <w:rsid w:val="001E22FF"/>
    <w:rsid w:val="001F537D"/>
    <w:rsid w:val="002174C3"/>
    <w:rsid w:val="00253C8F"/>
    <w:rsid w:val="00253DF6"/>
    <w:rsid w:val="00255F1E"/>
    <w:rsid w:val="00261526"/>
    <w:rsid w:val="00271D3B"/>
    <w:rsid w:val="00281BBD"/>
    <w:rsid w:val="002D2CCD"/>
    <w:rsid w:val="002E1C79"/>
    <w:rsid w:val="002E2326"/>
    <w:rsid w:val="0032280B"/>
    <w:rsid w:val="00346B85"/>
    <w:rsid w:val="0036356D"/>
    <w:rsid w:val="0036503B"/>
    <w:rsid w:val="00367810"/>
    <w:rsid w:val="0038109B"/>
    <w:rsid w:val="0038499A"/>
    <w:rsid w:val="003D6D03"/>
    <w:rsid w:val="003E12CA"/>
    <w:rsid w:val="004010DC"/>
    <w:rsid w:val="00412863"/>
    <w:rsid w:val="004162F6"/>
    <w:rsid w:val="004341F0"/>
    <w:rsid w:val="00456324"/>
    <w:rsid w:val="00470C80"/>
    <w:rsid w:val="00475460"/>
    <w:rsid w:val="0048263C"/>
    <w:rsid w:val="00483E24"/>
    <w:rsid w:val="00490317"/>
    <w:rsid w:val="00491644"/>
    <w:rsid w:val="00496A08"/>
    <w:rsid w:val="004B754A"/>
    <w:rsid w:val="004E1605"/>
    <w:rsid w:val="004F653C"/>
    <w:rsid w:val="00536930"/>
    <w:rsid w:val="00540A52"/>
    <w:rsid w:val="00541C5C"/>
    <w:rsid w:val="00557306"/>
    <w:rsid w:val="00570EDC"/>
    <w:rsid w:val="005A5196"/>
    <w:rsid w:val="005A7A39"/>
    <w:rsid w:val="005B0EF1"/>
    <w:rsid w:val="005C1F50"/>
    <w:rsid w:val="005D71EC"/>
    <w:rsid w:val="005E7BE0"/>
    <w:rsid w:val="0062299F"/>
    <w:rsid w:val="00627529"/>
    <w:rsid w:val="00640897"/>
    <w:rsid w:val="00691A7E"/>
    <w:rsid w:val="006C1A5B"/>
    <w:rsid w:val="006D2F54"/>
    <w:rsid w:val="006D5799"/>
    <w:rsid w:val="006E0C06"/>
    <w:rsid w:val="00713A1B"/>
    <w:rsid w:val="00750D83"/>
    <w:rsid w:val="00760F92"/>
    <w:rsid w:val="00767A80"/>
    <w:rsid w:val="007822F9"/>
    <w:rsid w:val="00793C13"/>
    <w:rsid w:val="00793DD5"/>
    <w:rsid w:val="007A3569"/>
    <w:rsid w:val="007D55F6"/>
    <w:rsid w:val="007F490F"/>
    <w:rsid w:val="008024EC"/>
    <w:rsid w:val="00840168"/>
    <w:rsid w:val="008616CD"/>
    <w:rsid w:val="0086779C"/>
    <w:rsid w:val="00874BFD"/>
    <w:rsid w:val="008765F7"/>
    <w:rsid w:val="008964EF"/>
    <w:rsid w:val="008B6F6E"/>
    <w:rsid w:val="008D29EF"/>
    <w:rsid w:val="00917B97"/>
    <w:rsid w:val="009631A4"/>
    <w:rsid w:val="009660E4"/>
    <w:rsid w:val="0097237F"/>
    <w:rsid w:val="00977296"/>
    <w:rsid w:val="009B7F3B"/>
    <w:rsid w:val="009C1CD7"/>
    <w:rsid w:val="009F0CD9"/>
    <w:rsid w:val="00A25E93"/>
    <w:rsid w:val="00A320FF"/>
    <w:rsid w:val="00A70AC0"/>
    <w:rsid w:val="00A84EA9"/>
    <w:rsid w:val="00A87923"/>
    <w:rsid w:val="00AC443C"/>
    <w:rsid w:val="00B012C5"/>
    <w:rsid w:val="00B02074"/>
    <w:rsid w:val="00B11A55"/>
    <w:rsid w:val="00B17211"/>
    <w:rsid w:val="00B461B2"/>
    <w:rsid w:val="00B71B3C"/>
    <w:rsid w:val="00B944B1"/>
    <w:rsid w:val="00BA4DD7"/>
    <w:rsid w:val="00BC389E"/>
    <w:rsid w:val="00BC52DB"/>
    <w:rsid w:val="00BE1888"/>
    <w:rsid w:val="00BE23EB"/>
    <w:rsid w:val="00BF1C86"/>
    <w:rsid w:val="00BF6B81"/>
    <w:rsid w:val="00C077A8"/>
    <w:rsid w:val="00C17021"/>
    <w:rsid w:val="00C41347"/>
    <w:rsid w:val="00C433B3"/>
    <w:rsid w:val="00C606A2"/>
    <w:rsid w:val="00C63872"/>
    <w:rsid w:val="00C73EAF"/>
    <w:rsid w:val="00C84948"/>
    <w:rsid w:val="00CC04FF"/>
    <w:rsid w:val="00CF1111"/>
    <w:rsid w:val="00D05706"/>
    <w:rsid w:val="00D27DC5"/>
    <w:rsid w:val="00D41DF0"/>
    <w:rsid w:val="00D47E36"/>
    <w:rsid w:val="00D72EA2"/>
    <w:rsid w:val="00E55D79"/>
    <w:rsid w:val="00E61DB9"/>
    <w:rsid w:val="00E75CA0"/>
    <w:rsid w:val="00EA13D7"/>
    <w:rsid w:val="00EB164A"/>
    <w:rsid w:val="00EF4761"/>
    <w:rsid w:val="00EF52EE"/>
    <w:rsid w:val="00F1563F"/>
    <w:rsid w:val="00F223FD"/>
    <w:rsid w:val="00F74FEC"/>
    <w:rsid w:val="00FC2DA7"/>
    <w:rsid w:val="00FD1CBB"/>
    <w:rsid w:val="00FE1989"/>
    <w:rsid w:val="00FE44E2"/>
    <w:rsid w:val="00FF2D90"/>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691A7E"/>
    <w:pPr>
      <w:spacing w:before="0" w:after="0" w:line="240"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691A7E"/>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6474">
      <w:bodyDiv w:val="1"/>
      <w:marLeft w:val="0"/>
      <w:marRight w:val="0"/>
      <w:marTop w:val="0"/>
      <w:marBottom w:val="0"/>
      <w:divBdr>
        <w:top w:val="none" w:sz="0" w:space="0" w:color="auto"/>
        <w:left w:val="none" w:sz="0" w:space="0" w:color="auto"/>
        <w:bottom w:val="none" w:sz="0" w:space="0" w:color="auto"/>
        <w:right w:val="none" w:sz="0" w:space="0" w:color="auto"/>
      </w:divBdr>
    </w:div>
    <w:div w:id="894657574">
      <w:bodyDiv w:val="1"/>
      <w:marLeft w:val="0"/>
      <w:marRight w:val="0"/>
      <w:marTop w:val="0"/>
      <w:marBottom w:val="0"/>
      <w:divBdr>
        <w:top w:val="none" w:sz="0" w:space="0" w:color="auto"/>
        <w:left w:val="none" w:sz="0" w:space="0" w:color="auto"/>
        <w:bottom w:val="none" w:sz="0" w:space="0" w:color="auto"/>
        <w:right w:val="none" w:sz="0" w:space="0" w:color="auto"/>
      </w:divBdr>
    </w:div>
    <w:div w:id="973828065">
      <w:bodyDiv w:val="1"/>
      <w:marLeft w:val="0"/>
      <w:marRight w:val="0"/>
      <w:marTop w:val="0"/>
      <w:marBottom w:val="0"/>
      <w:divBdr>
        <w:top w:val="none" w:sz="0" w:space="0" w:color="auto"/>
        <w:left w:val="none" w:sz="0" w:space="0" w:color="auto"/>
        <w:bottom w:val="none" w:sz="0" w:space="0" w:color="auto"/>
        <w:right w:val="none" w:sz="0" w:space="0" w:color="auto"/>
      </w:divBdr>
    </w:div>
    <w:div w:id="1346831042">
      <w:bodyDiv w:val="1"/>
      <w:marLeft w:val="0"/>
      <w:marRight w:val="0"/>
      <w:marTop w:val="0"/>
      <w:marBottom w:val="0"/>
      <w:divBdr>
        <w:top w:val="none" w:sz="0" w:space="0" w:color="auto"/>
        <w:left w:val="none" w:sz="0" w:space="0" w:color="auto"/>
        <w:bottom w:val="none" w:sz="0" w:space="0" w:color="auto"/>
        <w:right w:val="none" w:sz="0" w:space="0" w:color="auto"/>
      </w:divBdr>
    </w:div>
    <w:div w:id="20523438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8579</Characters>
  <DocSecurity>0</DocSecurity>
  <Lines>150</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2023-06-01T06:51:00Z</dcterms:created>
  <dcterms:modified xsi:type="dcterms:W3CDTF">2023-06-01T06:51:00Z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