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41ECFB9F" w:rsidR="00B17211" w:rsidRPr="00B17211" w:rsidRDefault="00B17211" w:rsidP="007F490F">
            <w:r w:rsidRPr="007F490F">
              <w:rPr>
                <w:rStyle w:val="Heading2Char"/>
              </w:rPr>
              <w:t>Our reference:</w:t>
            </w:r>
            <w:r>
              <w:t xml:space="preserve">  FOI 2</w:t>
            </w:r>
            <w:r w:rsidR="00EF0FBB">
              <w:t>5</w:t>
            </w:r>
            <w:r>
              <w:t>-</w:t>
            </w:r>
            <w:r w:rsidR="002411D4">
              <w:t>2773</w:t>
            </w:r>
          </w:p>
          <w:p w14:paraId="34BDABA6" w14:textId="3A2481AF" w:rsidR="00B17211" w:rsidRDefault="00456324" w:rsidP="00EE2373">
            <w:r w:rsidRPr="007F490F">
              <w:rPr>
                <w:rStyle w:val="Heading2Char"/>
              </w:rPr>
              <w:t>Respon</w:t>
            </w:r>
            <w:r w:rsidR="007D55F6">
              <w:rPr>
                <w:rStyle w:val="Heading2Char"/>
              </w:rPr>
              <w:t>ded to:</w:t>
            </w:r>
            <w:r w:rsidR="007F490F">
              <w:t xml:space="preserve">  </w:t>
            </w:r>
            <w:r w:rsidR="0031453B">
              <w:t>28</w:t>
            </w:r>
            <w:r w:rsidR="006D5799">
              <w:t xml:space="preserve"> </w:t>
            </w:r>
            <w:r w:rsidR="002411D4">
              <w:t>Octo</w:t>
            </w:r>
            <w:r w:rsidR="0034364D">
              <w:t>ber</w:t>
            </w:r>
            <w:r>
              <w:t xml:space="preserve"> 202</w:t>
            </w:r>
            <w:r w:rsidR="00EF0FBB">
              <w:t>5</w:t>
            </w:r>
          </w:p>
        </w:tc>
      </w:tr>
    </w:tbl>
    <w:p w14:paraId="34BDABA8" w14:textId="77777777" w:rsidR="00793DD5" w:rsidRDefault="00793DD5" w:rsidP="00375AA0">
      <w:pPr>
        <w:rPr>
          <w:b/>
        </w:rPr>
      </w:pPr>
      <w:r w:rsidRPr="00793DD5">
        <w:t xml:space="preserve">Your recent request for information is replicated below, together with </w:t>
      </w:r>
      <w:r w:rsidR="004341F0">
        <w:t>our</w:t>
      </w:r>
      <w:r w:rsidRPr="00793DD5">
        <w:t xml:space="preserve"> response.</w:t>
      </w:r>
    </w:p>
    <w:p w14:paraId="69DC0AD9" w14:textId="0F6E83FA" w:rsidR="002411D4" w:rsidRPr="002411D4" w:rsidRDefault="002411D4" w:rsidP="002411D4">
      <w:pPr>
        <w:pStyle w:val="Heading2"/>
      </w:pPr>
      <w:r w:rsidRPr="002411D4">
        <w:t>1.</w:t>
      </w:r>
      <w:r>
        <w:t xml:space="preserve"> </w:t>
      </w:r>
      <w:r w:rsidRPr="002411D4">
        <w:t>How many police escorts have there been for abnormal loads in each year since 2018?</w:t>
      </w:r>
    </w:p>
    <w:p w14:paraId="3999053E" w14:textId="628A5571" w:rsidR="002411D4" w:rsidRDefault="002411D4" w:rsidP="002411D4">
      <w:pPr>
        <w:pStyle w:val="Heading2"/>
      </w:pPr>
      <w:r w:rsidRPr="002411D4">
        <w:t>2.</w:t>
      </w:r>
      <w:r>
        <w:t xml:space="preserve"> </w:t>
      </w:r>
      <w:r w:rsidRPr="002411D4">
        <w:t xml:space="preserve">How many of these have been for the movement of renewables infrastructure, such as wind turbines? Please provide figures for each year since 2018, </w:t>
      </w:r>
      <w:r w:rsidRPr="003A4861">
        <w:t>including (if available) for how many hours officers were occupied with abnormal loads escorts.</w:t>
      </w:r>
    </w:p>
    <w:p w14:paraId="341F4FD8" w14:textId="77777777" w:rsidR="002411D4" w:rsidRDefault="002411D4" w:rsidP="002411D4">
      <w:r>
        <w:t>Figures are provided in the table below, broken down by Load Type and Financial Year.</w:t>
      </w:r>
    </w:p>
    <w:p w14:paraId="7C986E0A" w14:textId="77777777" w:rsidR="00807A21" w:rsidRDefault="00807A21" w:rsidP="00807A21">
      <w:r>
        <w:t xml:space="preserve">‘Non-Chargeable’ loads are not charged to the haulier.  Those are where officers escort loads for under an hour, including the time it would take officers from the nearest Roads Policing base to travel to meet the load, as well as escort it. </w:t>
      </w:r>
    </w:p>
    <w:p w14:paraId="7EC27E26" w14:textId="77777777" w:rsidR="00807A21" w:rsidRDefault="00807A21" w:rsidP="00807A21">
      <w:r>
        <w:t>If it will take less than one hour, then on shift officers will be used, assuming the haulier is content to wait until operational demands allow officers to attend.  If the load will take longer than one hour, or if a specific move time is required, then a chargeable escort will be arranged.</w:t>
      </w:r>
    </w:p>
    <w:p w14:paraId="066E7636" w14:textId="77777777" w:rsidR="00807A21" w:rsidRDefault="00807A21" w:rsidP="00807A21">
      <w:r>
        <w:t xml:space="preserve">Those recorded as Wind Farm loads, are only movements of components of the turbine i.e. tower sections, blades, nacelles, and hubs. </w:t>
      </w:r>
    </w:p>
    <w:p w14:paraId="796292A3" w14:textId="56B9B993" w:rsidR="002411D4" w:rsidRDefault="00807A21" w:rsidP="00807A21">
      <w:r>
        <w:t>Where loads are moving infrastructure such as groundwork machines, cabling, transformers etc. to wind farm sites - these are recorded under Abnormal Loads and not Wind Farm movements.</w:t>
      </w:r>
    </w:p>
    <w:p w14:paraId="09B2E2CB" w14:textId="77777777" w:rsidR="002411D4" w:rsidRDefault="002411D4" w:rsidP="002411D4"/>
    <w:p w14:paraId="64DC08A9" w14:textId="77777777" w:rsidR="00807A21" w:rsidRDefault="00807A21" w:rsidP="002411D4"/>
    <w:p w14:paraId="3DABC0C0" w14:textId="77777777" w:rsidR="003A4861" w:rsidRDefault="003A4861" w:rsidP="002411D4"/>
    <w:p w14:paraId="42291879" w14:textId="77777777" w:rsidR="00807A21" w:rsidRDefault="00807A21" w:rsidP="002411D4"/>
    <w:tbl>
      <w:tblPr>
        <w:tblStyle w:val="TableGrid"/>
        <w:tblW w:w="0" w:type="auto"/>
        <w:tblLook w:val="04A0" w:firstRow="1" w:lastRow="0" w:firstColumn="1" w:lastColumn="0" w:noHBand="0" w:noVBand="1"/>
        <w:tblCaption w:val="Police Scotland - police escorts for abnormal loads in each year since 2018"/>
        <w:tblDescription w:val="Police Scotland - police escorts for abnormal loads in each year since 2018"/>
      </w:tblPr>
      <w:tblGrid>
        <w:gridCol w:w="1084"/>
        <w:gridCol w:w="2070"/>
        <w:gridCol w:w="2110"/>
        <w:gridCol w:w="1456"/>
        <w:gridCol w:w="2177"/>
      </w:tblGrid>
      <w:tr w:rsidR="00807A21" w:rsidRPr="00557306" w14:paraId="0AA2E604" w14:textId="77777777" w:rsidTr="001E2C10">
        <w:trPr>
          <w:tblHeader/>
        </w:trPr>
        <w:tc>
          <w:tcPr>
            <w:tcW w:w="0" w:type="auto"/>
            <w:shd w:val="clear" w:color="auto" w:fill="D9D9D9" w:themeFill="background1" w:themeFillShade="D9"/>
          </w:tcPr>
          <w:p w14:paraId="4E887D1C" w14:textId="77777777" w:rsidR="00807A21" w:rsidRPr="00557306" w:rsidRDefault="00807A21" w:rsidP="003A4861">
            <w:pPr>
              <w:pStyle w:val="Heading2"/>
              <w:jc w:val="center"/>
            </w:pPr>
            <w:r>
              <w:lastRenderedPageBreak/>
              <w:t>Year</w:t>
            </w:r>
          </w:p>
        </w:tc>
        <w:tc>
          <w:tcPr>
            <w:tcW w:w="0" w:type="auto"/>
            <w:shd w:val="clear" w:color="auto" w:fill="D9D9D9" w:themeFill="background1" w:themeFillShade="D9"/>
          </w:tcPr>
          <w:p w14:paraId="65346A38" w14:textId="77777777" w:rsidR="00807A21" w:rsidRPr="00557306" w:rsidRDefault="00807A21" w:rsidP="003A4861">
            <w:pPr>
              <w:pStyle w:val="Heading2"/>
              <w:jc w:val="center"/>
            </w:pPr>
            <w:r>
              <w:t>Non-Chargeable</w:t>
            </w:r>
          </w:p>
        </w:tc>
        <w:tc>
          <w:tcPr>
            <w:tcW w:w="0" w:type="auto"/>
            <w:shd w:val="clear" w:color="auto" w:fill="D9D9D9" w:themeFill="background1" w:themeFillShade="D9"/>
          </w:tcPr>
          <w:p w14:paraId="26DBD863" w14:textId="77777777" w:rsidR="00807A21" w:rsidRPr="00557306" w:rsidRDefault="00807A21" w:rsidP="003A4861">
            <w:pPr>
              <w:pStyle w:val="Heading2"/>
              <w:jc w:val="center"/>
            </w:pPr>
            <w:r>
              <w:t>Abnormal Loads</w:t>
            </w:r>
          </w:p>
        </w:tc>
        <w:tc>
          <w:tcPr>
            <w:tcW w:w="0" w:type="auto"/>
            <w:shd w:val="clear" w:color="auto" w:fill="D9D9D9" w:themeFill="background1" w:themeFillShade="D9"/>
          </w:tcPr>
          <w:p w14:paraId="5B0912F9" w14:textId="77777777" w:rsidR="00807A21" w:rsidRPr="00557306" w:rsidRDefault="00807A21" w:rsidP="003A4861">
            <w:pPr>
              <w:pStyle w:val="Heading2"/>
              <w:jc w:val="center"/>
            </w:pPr>
            <w:r>
              <w:t>Wind Farm</w:t>
            </w:r>
          </w:p>
        </w:tc>
        <w:tc>
          <w:tcPr>
            <w:tcW w:w="0" w:type="auto"/>
            <w:shd w:val="clear" w:color="auto" w:fill="D9D9D9" w:themeFill="background1" w:themeFillShade="D9"/>
          </w:tcPr>
          <w:p w14:paraId="0629BF77" w14:textId="77777777" w:rsidR="00807A21" w:rsidRPr="00557306" w:rsidRDefault="00807A21" w:rsidP="003A4861">
            <w:pPr>
              <w:pStyle w:val="Heading2"/>
              <w:jc w:val="center"/>
            </w:pPr>
            <w:r>
              <w:t>Total Movements</w:t>
            </w:r>
          </w:p>
        </w:tc>
      </w:tr>
      <w:tr w:rsidR="00807A21" w:rsidRPr="004A5CE9" w14:paraId="3C1F112F" w14:textId="77777777" w:rsidTr="001E2C10">
        <w:tc>
          <w:tcPr>
            <w:tcW w:w="0" w:type="auto"/>
          </w:tcPr>
          <w:p w14:paraId="265EDA42" w14:textId="77777777" w:rsidR="00807A21" w:rsidRPr="005F3506" w:rsidRDefault="00807A21" w:rsidP="003A4861">
            <w:pPr>
              <w:tabs>
                <w:tab w:val="left" w:pos="5400"/>
              </w:tabs>
              <w:spacing w:line="240" w:lineRule="auto"/>
              <w:jc w:val="center"/>
            </w:pPr>
            <w:r w:rsidRPr="005F3506">
              <w:t>2017/18</w:t>
            </w:r>
          </w:p>
        </w:tc>
        <w:tc>
          <w:tcPr>
            <w:tcW w:w="0" w:type="auto"/>
            <w:vAlign w:val="bottom"/>
          </w:tcPr>
          <w:p w14:paraId="1FE7CF4D" w14:textId="77777777" w:rsidR="00807A21" w:rsidRPr="005F3506" w:rsidRDefault="00807A21" w:rsidP="003A4861">
            <w:pPr>
              <w:tabs>
                <w:tab w:val="left" w:pos="5400"/>
              </w:tabs>
              <w:spacing w:line="240" w:lineRule="auto"/>
              <w:jc w:val="center"/>
            </w:pPr>
            <w:r w:rsidRPr="005F3506">
              <w:t>422</w:t>
            </w:r>
          </w:p>
        </w:tc>
        <w:tc>
          <w:tcPr>
            <w:tcW w:w="0" w:type="auto"/>
          </w:tcPr>
          <w:p w14:paraId="1B086EBA" w14:textId="77777777" w:rsidR="00807A21" w:rsidRPr="004A5CE9" w:rsidRDefault="00807A21" w:rsidP="003A4861">
            <w:pPr>
              <w:tabs>
                <w:tab w:val="left" w:pos="5400"/>
              </w:tabs>
              <w:spacing w:line="240" w:lineRule="auto"/>
              <w:jc w:val="center"/>
            </w:pPr>
            <w:r w:rsidRPr="004A5CE9">
              <w:t>706</w:t>
            </w:r>
          </w:p>
        </w:tc>
        <w:tc>
          <w:tcPr>
            <w:tcW w:w="0" w:type="auto"/>
          </w:tcPr>
          <w:p w14:paraId="2D8CA06D" w14:textId="77777777" w:rsidR="00807A21" w:rsidRPr="004A5CE9" w:rsidRDefault="00807A21" w:rsidP="003A4861">
            <w:pPr>
              <w:tabs>
                <w:tab w:val="left" w:pos="5400"/>
              </w:tabs>
              <w:spacing w:line="240" w:lineRule="auto"/>
              <w:jc w:val="center"/>
            </w:pPr>
            <w:r w:rsidRPr="004A5CE9">
              <w:t>473</w:t>
            </w:r>
          </w:p>
        </w:tc>
        <w:tc>
          <w:tcPr>
            <w:tcW w:w="0" w:type="auto"/>
          </w:tcPr>
          <w:p w14:paraId="06F33AAF" w14:textId="77777777" w:rsidR="00807A21" w:rsidRPr="004A5CE9" w:rsidRDefault="00807A21" w:rsidP="003A4861">
            <w:pPr>
              <w:tabs>
                <w:tab w:val="left" w:pos="5400"/>
              </w:tabs>
              <w:spacing w:line="240" w:lineRule="auto"/>
              <w:jc w:val="center"/>
            </w:pPr>
            <w:r w:rsidRPr="004A5CE9">
              <w:t>1601</w:t>
            </w:r>
          </w:p>
        </w:tc>
      </w:tr>
      <w:tr w:rsidR="00807A21" w:rsidRPr="004A5CE9" w14:paraId="717325E4" w14:textId="77777777" w:rsidTr="001E2C10">
        <w:tc>
          <w:tcPr>
            <w:tcW w:w="0" w:type="auto"/>
          </w:tcPr>
          <w:p w14:paraId="0EE3081A" w14:textId="77777777" w:rsidR="00807A21" w:rsidRPr="005F3506" w:rsidRDefault="00807A21" w:rsidP="003A4861">
            <w:pPr>
              <w:tabs>
                <w:tab w:val="left" w:pos="5400"/>
              </w:tabs>
              <w:spacing w:line="240" w:lineRule="auto"/>
              <w:jc w:val="center"/>
            </w:pPr>
            <w:r w:rsidRPr="005F3506">
              <w:t>2018/19</w:t>
            </w:r>
          </w:p>
        </w:tc>
        <w:tc>
          <w:tcPr>
            <w:tcW w:w="0" w:type="auto"/>
            <w:vAlign w:val="bottom"/>
          </w:tcPr>
          <w:p w14:paraId="36BA809F" w14:textId="77777777" w:rsidR="00807A21" w:rsidRPr="004A5CE9" w:rsidRDefault="00807A21" w:rsidP="003A4861">
            <w:pPr>
              <w:tabs>
                <w:tab w:val="left" w:pos="5400"/>
              </w:tabs>
              <w:spacing w:line="240" w:lineRule="auto"/>
              <w:jc w:val="center"/>
            </w:pPr>
            <w:r w:rsidRPr="004A5CE9">
              <w:t>633</w:t>
            </w:r>
          </w:p>
        </w:tc>
        <w:tc>
          <w:tcPr>
            <w:tcW w:w="0" w:type="auto"/>
          </w:tcPr>
          <w:p w14:paraId="2BE52FED" w14:textId="77777777" w:rsidR="00807A21" w:rsidRPr="004A5CE9" w:rsidRDefault="00807A21" w:rsidP="003A4861">
            <w:pPr>
              <w:tabs>
                <w:tab w:val="left" w:pos="5400"/>
              </w:tabs>
              <w:spacing w:line="240" w:lineRule="auto"/>
              <w:jc w:val="center"/>
            </w:pPr>
            <w:r w:rsidRPr="004A5CE9">
              <w:t>606</w:t>
            </w:r>
          </w:p>
        </w:tc>
        <w:tc>
          <w:tcPr>
            <w:tcW w:w="0" w:type="auto"/>
          </w:tcPr>
          <w:p w14:paraId="126C5A9C" w14:textId="77777777" w:rsidR="00807A21" w:rsidRPr="004A5CE9" w:rsidRDefault="00807A21" w:rsidP="003A4861">
            <w:pPr>
              <w:tabs>
                <w:tab w:val="left" w:pos="5400"/>
              </w:tabs>
              <w:spacing w:line="240" w:lineRule="auto"/>
              <w:jc w:val="center"/>
            </w:pPr>
            <w:r w:rsidRPr="004A5CE9">
              <w:t>781</w:t>
            </w:r>
          </w:p>
        </w:tc>
        <w:tc>
          <w:tcPr>
            <w:tcW w:w="0" w:type="auto"/>
          </w:tcPr>
          <w:p w14:paraId="61DCDF66" w14:textId="77777777" w:rsidR="00807A21" w:rsidRPr="004A5CE9" w:rsidRDefault="00807A21" w:rsidP="003A4861">
            <w:pPr>
              <w:tabs>
                <w:tab w:val="left" w:pos="5400"/>
              </w:tabs>
              <w:spacing w:line="240" w:lineRule="auto"/>
              <w:jc w:val="center"/>
            </w:pPr>
            <w:r w:rsidRPr="004A5CE9">
              <w:t>2020</w:t>
            </w:r>
          </w:p>
        </w:tc>
      </w:tr>
      <w:tr w:rsidR="00807A21" w:rsidRPr="004A5CE9" w14:paraId="08195A39" w14:textId="77777777" w:rsidTr="001E2C10">
        <w:tc>
          <w:tcPr>
            <w:tcW w:w="0" w:type="auto"/>
          </w:tcPr>
          <w:p w14:paraId="698193DC" w14:textId="77777777" w:rsidR="00807A21" w:rsidRPr="005F3506" w:rsidRDefault="00807A21" w:rsidP="003A4861">
            <w:pPr>
              <w:tabs>
                <w:tab w:val="left" w:pos="5400"/>
              </w:tabs>
              <w:spacing w:line="240" w:lineRule="auto"/>
              <w:jc w:val="center"/>
            </w:pPr>
            <w:r w:rsidRPr="005F3506">
              <w:t>2019/20</w:t>
            </w:r>
          </w:p>
        </w:tc>
        <w:tc>
          <w:tcPr>
            <w:tcW w:w="0" w:type="auto"/>
            <w:vAlign w:val="bottom"/>
          </w:tcPr>
          <w:p w14:paraId="2B125ED3" w14:textId="77777777" w:rsidR="00807A21" w:rsidRPr="004A5CE9" w:rsidRDefault="00807A21" w:rsidP="003A4861">
            <w:pPr>
              <w:tabs>
                <w:tab w:val="left" w:pos="5400"/>
              </w:tabs>
              <w:spacing w:line="240" w:lineRule="auto"/>
              <w:jc w:val="center"/>
            </w:pPr>
            <w:r w:rsidRPr="004A5CE9">
              <w:t>1058</w:t>
            </w:r>
          </w:p>
        </w:tc>
        <w:tc>
          <w:tcPr>
            <w:tcW w:w="0" w:type="auto"/>
          </w:tcPr>
          <w:p w14:paraId="7ACCA0D0" w14:textId="77777777" w:rsidR="00807A21" w:rsidRPr="004A5CE9" w:rsidRDefault="00807A21" w:rsidP="003A4861">
            <w:pPr>
              <w:tabs>
                <w:tab w:val="left" w:pos="5400"/>
              </w:tabs>
              <w:spacing w:line="240" w:lineRule="auto"/>
              <w:jc w:val="center"/>
            </w:pPr>
            <w:r w:rsidRPr="004A5CE9">
              <w:t>928</w:t>
            </w:r>
          </w:p>
        </w:tc>
        <w:tc>
          <w:tcPr>
            <w:tcW w:w="0" w:type="auto"/>
          </w:tcPr>
          <w:p w14:paraId="17423570" w14:textId="77777777" w:rsidR="00807A21" w:rsidRPr="004A5CE9" w:rsidRDefault="00807A21" w:rsidP="003A4861">
            <w:pPr>
              <w:tabs>
                <w:tab w:val="left" w:pos="5400"/>
              </w:tabs>
              <w:spacing w:line="240" w:lineRule="auto"/>
              <w:jc w:val="center"/>
            </w:pPr>
            <w:r w:rsidRPr="004A5CE9">
              <w:t>236</w:t>
            </w:r>
          </w:p>
        </w:tc>
        <w:tc>
          <w:tcPr>
            <w:tcW w:w="0" w:type="auto"/>
          </w:tcPr>
          <w:p w14:paraId="6208D67D" w14:textId="77777777" w:rsidR="00807A21" w:rsidRPr="004A5CE9" w:rsidRDefault="00807A21" w:rsidP="003A4861">
            <w:pPr>
              <w:tabs>
                <w:tab w:val="left" w:pos="5400"/>
              </w:tabs>
              <w:spacing w:line="240" w:lineRule="auto"/>
              <w:jc w:val="center"/>
            </w:pPr>
            <w:r w:rsidRPr="004A5CE9">
              <w:t>2222</w:t>
            </w:r>
          </w:p>
        </w:tc>
      </w:tr>
      <w:tr w:rsidR="00807A21" w:rsidRPr="004A5CE9" w14:paraId="00B9F7DD" w14:textId="77777777" w:rsidTr="001E2C10">
        <w:tc>
          <w:tcPr>
            <w:tcW w:w="0" w:type="auto"/>
          </w:tcPr>
          <w:p w14:paraId="4FA6E3E5" w14:textId="77777777" w:rsidR="00807A21" w:rsidRPr="005F3506" w:rsidRDefault="00807A21" w:rsidP="003A4861">
            <w:pPr>
              <w:tabs>
                <w:tab w:val="left" w:pos="5400"/>
              </w:tabs>
              <w:spacing w:line="240" w:lineRule="auto"/>
              <w:jc w:val="center"/>
            </w:pPr>
            <w:r w:rsidRPr="005F3506">
              <w:t>2020/21</w:t>
            </w:r>
          </w:p>
        </w:tc>
        <w:tc>
          <w:tcPr>
            <w:tcW w:w="0" w:type="auto"/>
            <w:vAlign w:val="bottom"/>
          </w:tcPr>
          <w:p w14:paraId="5081A1F4" w14:textId="77777777" w:rsidR="00807A21" w:rsidRPr="004A5CE9" w:rsidRDefault="00807A21" w:rsidP="003A4861">
            <w:pPr>
              <w:tabs>
                <w:tab w:val="left" w:pos="5400"/>
              </w:tabs>
              <w:spacing w:line="240" w:lineRule="auto"/>
              <w:jc w:val="center"/>
            </w:pPr>
            <w:r w:rsidRPr="004A5CE9">
              <w:t>958</w:t>
            </w:r>
          </w:p>
        </w:tc>
        <w:tc>
          <w:tcPr>
            <w:tcW w:w="0" w:type="auto"/>
          </w:tcPr>
          <w:p w14:paraId="182EFEB6" w14:textId="77777777" w:rsidR="00807A21" w:rsidRPr="004A5CE9" w:rsidRDefault="00807A21" w:rsidP="003A4861">
            <w:pPr>
              <w:tabs>
                <w:tab w:val="left" w:pos="5400"/>
              </w:tabs>
              <w:spacing w:line="240" w:lineRule="auto"/>
              <w:jc w:val="center"/>
            </w:pPr>
            <w:r w:rsidRPr="004A5CE9">
              <w:t>941</w:t>
            </w:r>
          </w:p>
        </w:tc>
        <w:tc>
          <w:tcPr>
            <w:tcW w:w="0" w:type="auto"/>
          </w:tcPr>
          <w:p w14:paraId="5DEE4343" w14:textId="77777777" w:rsidR="00807A21" w:rsidRPr="004A5CE9" w:rsidRDefault="00807A21" w:rsidP="003A4861">
            <w:pPr>
              <w:tabs>
                <w:tab w:val="left" w:pos="5400"/>
              </w:tabs>
              <w:spacing w:line="240" w:lineRule="auto"/>
              <w:jc w:val="center"/>
            </w:pPr>
            <w:r w:rsidRPr="004A5CE9">
              <w:t>429</w:t>
            </w:r>
          </w:p>
        </w:tc>
        <w:tc>
          <w:tcPr>
            <w:tcW w:w="0" w:type="auto"/>
          </w:tcPr>
          <w:p w14:paraId="1897558E" w14:textId="77777777" w:rsidR="00807A21" w:rsidRPr="004A5CE9" w:rsidRDefault="00807A21" w:rsidP="003A4861">
            <w:pPr>
              <w:tabs>
                <w:tab w:val="left" w:pos="5400"/>
              </w:tabs>
              <w:spacing w:line="240" w:lineRule="auto"/>
              <w:jc w:val="center"/>
            </w:pPr>
            <w:r w:rsidRPr="004A5CE9">
              <w:t>2328</w:t>
            </w:r>
          </w:p>
        </w:tc>
      </w:tr>
      <w:tr w:rsidR="00807A21" w:rsidRPr="004A5CE9" w14:paraId="1E5A881A" w14:textId="77777777" w:rsidTr="001E2C10">
        <w:tc>
          <w:tcPr>
            <w:tcW w:w="0" w:type="auto"/>
          </w:tcPr>
          <w:p w14:paraId="79669380" w14:textId="77777777" w:rsidR="00807A21" w:rsidRPr="005F3506" w:rsidRDefault="00807A21" w:rsidP="003A4861">
            <w:pPr>
              <w:tabs>
                <w:tab w:val="left" w:pos="5400"/>
              </w:tabs>
              <w:spacing w:line="240" w:lineRule="auto"/>
              <w:jc w:val="center"/>
            </w:pPr>
            <w:r w:rsidRPr="005F3506">
              <w:t>2021/22</w:t>
            </w:r>
          </w:p>
        </w:tc>
        <w:tc>
          <w:tcPr>
            <w:tcW w:w="0" w:type="auto"/>
            <w:vAlign w:val="bottom"/>
          </w:tcPr>
          <w:p w14:paraId="6F359ADF" w14:textId="77777777" w:rsidR="00807A21" w:rsidRPr="004A5CE9" w:rsidRDefault="00807A21" w:rsidP="003A4861">
            <w:pPr>
              <w:tabs>
                <w:tab w:val="left" w:pos="5400"/>
              </w:tabs>
              <w:spacing w:line="240" w:lineRule="auto"/>
              <w:jc w:val="center"/>
            </w:pPr>
            <w:r w:rsidRPr="004A5CE9">
              <w:t>1374</w:t>
            </w:r>
          </w:p>
        </w:tc>
        <w:tc>
          <w:tcPr>
            <w:tcW w:w="0" w:type="auto"/>
          </w:tcPr>
          <w:p w14:paraId="76834EAD" w14:textId="77777777" w:rsidR="00807A21" w:rsidRPr="004A5CE9" w:rsidRDefault="00807A21" w:rsidP="003A4861">
            <w:pPr>
              <w:tabs>
                <w:tab w:val="left" w:pos="5400"/>
              </w:tabs>
              <w:spacing w:line="240" w:lineRule="auto"/>
              <w:jc w:val="center"/>
            </w:pPr>
            <w:r w:rsidRPr="004A5CE9">
              <w:t>1058</w:t>
            </w:r>
          </w:p>
        </w:tc>
        <w:tc>
          <w:tcPr>
            <w:tcW w:w="0" w:type="auto"/>
          </w:tcPr>
          <w:p w14:paraId="266E31D1" w14:textId="77777777" w:rsidR="00807A21" w:rsidRPr="004A5CE9" w:rsidRDefault="00807A21" w:rsidP="003A4861">
            <w:pPr>
              <w:tabs>
                <w:tab w:val="left" w:pos="5400"/>
              </w:tabs>
              <w:spacing w:line="240" w:lineRule="auto"/>
              <w:jc w:val="center"/>
            </w:pPr>
            <w:r w:rsidRPr="004A5CE9">
              <w:t>446</w:t>
            </w:r>
          </w:p>
        </w:tc>
        <w:tc>
          <w:tcPr>
            <w:tcW w:w="0" w:type="auto"/>
          </w:tcPr>
          <w:p w14:paraId="6C79F936" w14:textId="77777777" w:rsidR="00807A21" w:rsidRPr="004A5CE9" w:rsidRDefault="00807A21" w:rsidP="003A4861">
            <w:pPr>
              <w:tabs>
                <w:tab w:val="left" w:pos="5400"/>
              </w:tabs>
              <w:spacing w:line="240" w:lineRule="auto"/>
              <w:jc w:val="center"/>
            </w:pPr>
            <w:r w:rsidRPr="004A5CE9">
              <w:t>2878</w:t>
            </w:r>
          </w:p>
        </w:tc>
      </w:tr>
      <w:tr w:rsidR="00807A21" w:rsidRPr="004A5CE9" w14:paraId="6C141F05" w14:textId="77777777" w:rsidTr="001E2C10">
        <w:tc>
          <w:tcPr>
            <w:tcW w:w="0" w:type="auto"/>
          </w:tcPr>
          <w:p w14:paraId="12240E1D" w14:textId="77777777" w:rsidR="00807A21" w:rsidRPr="005F3506" w:rsidRDefault="00807A21" w:rsidP="003A4861">
            <w:pPr>
              <w:tabs>
                <w:tab w:val="left" w:pos="5400"/>
              </w:tabs>
              <w:spacing w:line="240" w:lineRule="auto"/>
              <w:jc w:val="center"/>
            </w:pPr>
            <w:r w:rsidRPr="005F3506">
              <w:t>2022/23</w:t>
            </w:r>
          </w:p>
        </w:tc>
        <w:tc>
          <w:tcPr>
            <w:tcW w:w="0" w:type="auto"/>
            <w:vAlign w:val="bottom"/>
          </w:tcPr>
          <w:p w14:paraId="0C3E18A6" w14:textId="77777777" w:rsidR="00807A21" w:rsidRPr="004A5CE9" w:rsidRDefault="00807A21" w:rsidP="003A4861">
            <w:pPr>
              <w:tabs>
                <w:tab w:val="left" w:pos="5400"/>
              </w:tabs>
              <w:spacing w:line="240" w:lineRule="auto"/>
              <w:jc w:val="center"/>
            </w:pPr>
            <w:r w:rsidRPr="004A5CE9">
              <w:t>1507</w:t>
            </w:r>
          </w:p>
        </w:tc>
        <w:tc>
          <w:tcPr>
            <w:tcW w:w="0" w:type="auto"/>
          </w:tcPr>
          <w:p w14:paraId="45444EED" w14:textId="77777777" w:rsidR="00807A21" w:rsidRPr="004A5CE9" w:rsidRDefault="00807A21" w:rsidP="003A4861">
            <w:pPr>
              <w:tabs>
                <w:tab w:val="left" w:pos="5400"/>
              </w:tabs>
              <w:spacing w:line="240" w:lineRule="auto"/>
              <w:jc w:val="center"/>
            </w:pPr>
            <w:r w:rsidRPr="004A5CE9">
              <w:t>985</w:t>
            </w:r>
          </w:p>
        </w:tc>
        <w:tc>
          <w:tcPr>
            <w:tcW w:w="0" w:type="auto"/>
          </w:tcPr>
          <w:p w14:paraId="6894C3E5" w14:textId="77777777" w:rsidR="00807A21" w:rsidRPr="004A5CE9" w:rsidRDefault="00807A21" w:rsidP="003A4861">
            <w:pPr>
              <w:tabs>
                <w:tab w:val="left" w:pos="5400"/>
              </w:tabs>
              <w:spacing w:line="240" w:lineRule="auto"/>
              <w:jc w:val="center"/>
            </w:pPr>
            <w:r w:rsidRPr="004A5CE9">
              <w:t>557</w:t>
            </w:r>
          </w:p>
        </w:tc>
        <w:tc>
          <w:tcPr>
            <w:tcW w:w="0" w:type="auto"/>
          </w:tcPr>
          <w:p w14:paraId="2E2C1450" w14:textId="77777777" w:rsidR="00807A21" w:rsidRPr="004A5CE9" w:rsidRDefault="00807A21" w:rsidP="003A4861">
            <w:pPr>
              <w:tabs>
                <w:tab w:val="left" w:pos="5400"/>
              </w:tabs>
              <w:spacing w:line="240" w:lineRule="auto"/>
              <w:jc w:val="center"/>
            </w:pPr>
            <w:r w:rsidRPr="004A5CE9">
              <w:t>3049</w:t>
            </w:r>
          </w:p>
        </w:tc>
      </w:tr>
      <w:tr w:rsidR="00807A21" w:rsidRPr="004A5CE9" w14:paraId="15BE78AC" w14:textId="77777777" w:rsidTr="001E2C10">
        <w:tc>
          <w:tcPr>
            <w:tcW w:w="0" w:type="auto"/>
          </w:tcPr>
          <w:p w14:paraId="5AF6FA7A" w14:textId="77777777" w:rsidR="00807A21" w:rsidRPr="005F3506" w:rsidRDefault="00807A21" w:rsidP="003A4861">
            <w:pPr>
              <w:tabs>
                <w:tab w:val="left" w:pos="5400"/>
              </w:tabs>
              <w:spacing w:line="240" w:lineRule="auto"/>
              <w:jc w:val="center"/>
            </w:pPr>
            <w:r w:rsidRPr="005F3506">
              <w:t>2023/24</w:t>
            </w:r>
          </w:p>
        </w:tc>
        <w:tc>
          <w:tcPr>
            <w:tcW w:w="0" w:type="auto"/>
            <w:vAlign w:val="bottom"/>
          </w:tcPr>
          <w:p w14:paraId="4FF3F74E" w14:textId="77777777" w:rsidR="00807A21" w:rsidRPr="004A5CE9" w:rsidRDefault="00807A21" w:rsidP="003A4861">
            <w:pPr>
              <w:tabs>
                <w:tab w:val="left" w:pos="5400"/>
              </w:tabs>
              <w:spacing w:line="240" w:lineRule="auto"/>
              <w:jc w:val="center"/>
            </w:pPr>
            <w:r w:rsidRPr="004A5CE9">
              <w:t>1878</w:t>
            </w:r>
          </w:p>
        </w:tc>
        <w:tc>
          <w:tcPr>
            <w:tcW w:w="0" w:type="auto"/>
          </w:tcPr>
          <w:p w14:paraId="5D635522" w14:textId="77777777" w:rsidR="00807A21" w:rsidRPr="004A5CE9" w:rsidRDefault="00807A21" w:rsidP="003A4861">
            <w:pPr>
              <w:tabs>
                <w:tab w:val="left" w:pos="5400"/>
              </w:tabs>
              <w:spacing w:line="240" w:lineRule="auto"/>
              <w:jc w:val="center"/>
            </w:pPr>
            <w:r w:rsidRPr="004A5CE9">
              <w:t>1045</w:t>
            </w:r>
          </w:p>
        </w:tc>
        <w:tc>
          <w:tcPr>
            <w:tcW w:w="0" w:type="auto"/>
          </w:tcPr>
          <w:p w14:paraId="46C5E579" w14:textId="77777777" w:rsidR="00807A21" w:rsidRPr="004A5CE9" w:rsidRDefault="00807A21" w:rsidP="003A4861">
            <w:pPr>
              <w:tabs>
                <w:tab w:val="left" w:pos="5400"/>
              </w:tabs>
              <w:spacing w:line="240" w:lineRule="auto"/>
              <w:jc w:val="center"/>
            </w:pPr>
            <w:r w:rsidRPr="004A5CE9">
              <w:t>389</w:t>
            </w:r>
          </w:p>
        </w:tc>
        <w:tc>
          <w:tcPr>
            <w:tcW w:w="0" w:type="auto"/>
          </w:tcPr>
          <w:p w14:paraId="310130EB" w14:textId="77777777" w:rsidR="00807A21" w:rsidRPr="004A5CE9" w:rsidRDefault="00807A21" w:rsidP="003A4861">
            <w:pPr>
              <w:tabs>
                <w:tab w:val="left" w:pos="5400"/>
              </w:tabs>
              <w:spacing w:line="240" w:lineRule="auto"/>
              <w:jc w:val="center"/>
            </w:pPr>
            <w:r w:rsidRPr="004A5CE9">
              <w:t>3312</w:t>
            </w:r>
          </w:p>
        </w:tc>
      </w:tr>
      <w:tr w:rsidR="00807A21" w:rsidRPr="004A5CE9" w14:paraId="6E39F4E9" w14:textId="77777777" w:rsidTr="001E2C10">
        <w:tc>
          <w:tcPr>
            <w:tcW w:w="0" w:type="auto"/>
          </w:tcPr>
          <w:p w14:paraId="47281508" w14:textId="77777777" w:rsidR="00807A21" w:rsidRPr="005F3506" w:rsidRDefault="00807A21" w:rsidP="003A4861">
            <w:pPr>
              <w:tabs>
                <w:tab w:val="left" w:pos="5400"/>
              </w:tabs>
              <w:spacing w:line="240" w:lineRule="auto"/>
              <w:jc w:val="center"/>
            </w:pPr>
            <w:r w:rsidRPr="005F3506">
              <w:t>2024/25</w:t>
            </w:r>
          </w:p>
        </w:tc>
        <w:tc>
          <w:tcPr>
            <w:tcW w:w="0" w:type="auto"/>
            <w:vAlign w:val="bottom"/>
          </w:tcPr>
          <w:p w14:paraId="67BBB6BC" w14:textId="77777777" w:rsidR="00807A21" w:rsidRPr="004A5CE9" w:rsidRDefault="00807A21" w:rsidP="003A4861">
            <w:pPr>
              <w:tabs>
                <w:tab w:val="left" w:pos="5400"/>
              </w:tabs>
              <w:spacing w:line="240" w:lineRule="auto"/>
              <w:jc w:val="center"/>
            </w:pPr>
            <w:r w:rsidRPr="004A5CE9">
              <w:t>1552</w:t>
            </w:r>
          </w:p>
        </w:tc>
        <w:tc>
          <w:tcPr>
            <w:tcW w:w="0" w:type="auto"/>
          </w:tcPr>
          <w:p w14:paraId="275E3A8B" w14:textId="77777777" w:rsidR="00807A21" w:rsidRPr="004A5CE9" w:rsidRDefault="00807A21" w:rsidP="003A4861">
            <w:pPr>
              <w:tabs>
                <w:tab w:val="left" w:pos="5400"/>
              </w:tabs>
              <w:spacing w:line="240" w:lineRule="auto"/>
              <w:jc w:val="center"/>
            </w:pPr>
            <w:r w:rsidRPr="004A5CE9">
              <w:t>991</w:t>
            </w:r>
          </w:p>
        </w:tc>
        <w:tc>
          <w:tcPr>
            <w:tcW w:w="0" w:type="auto"/>
          </w:tcPr>
          <w:p w14:paraId="64F89DB7" w14:textId="77777777" w:rsidR="00807A21" w:rsidRPr="004A5CE9" w:rsidRDefault="00807A21" w:rsidP="003A4861">
            <w:pPr>
              <w:tabs>
                <w:tab w:val="left" w:pos="5400"/>
              </w:tabs>
              <w:spacing w:line="240" w:lineRule="auto"/>
              <w:jc w:val="center"/>
            </w:pPr>
            <w:r w:rsidRPr="004A5CE9">
              <w:t>325</w:t>
            </w:r>
          </w:p>
        </w:tc>
        <w:tc>
          <w:tcPr>
            <w:tcW w:w="0" w:type="auto"/>
          </w:tcPr>
          <w:p w14:paraId="30C770AA" w14:textId="77777777" w:rsidR="00807A21" w:rsidRPr="004A5CE9" w:rsidRDefault="00807A21" w:rsidP="003A4861">
            <w:pPr>
              <w:tabs>
                <w:tab w:val="left" w:pos="5400"/>
              </w:tabs>
              <w:spacing w:line="240" w:lineRule="auto"/>
              <w:jc w:val="center"/>
            </w:pPr>
            <w:r w:rsidRPr="004A5CE9">
              <w:t>2868</w:t>
            </w:r>
          </w:p>
        </w:tc>
      </w:tr>
    </w:tbl>
    <w:p w14:paraId="3CA52D92" w14:textId="77777777" w:rsidR="00807A21" w:rsidRDefault="00807A21" w:rsidP="002411D4"/>
    <w:p w14:paraId="434B72CB" w14:textId="14AC525D" w:rsidR="003A4861" w:rsidRDefault="003A4861" w:rsidP="003A4861">
      <w:pPr>
        <w:tabs>
          <w:tab w:val="left" w:pos="5400"/>
        </w:tabs>
      </w:pPr>
      <w:r>
        <w:rPr>
          <w:rFonts w:eastAsiaTheme="majorEastAsia" w:cstheme="majorBidi"/>
          <w:bCs/>
          <w:color w:val="000000" w:themeColor="text1"/>
          <w:szCs w:val="26"/>
        </w:rPr>
        <w:t xml:space="preserve">Chargeable escorts are resourced by officers on days off.  Figures are provided in the table below for total number of overtime hours worked by officers in relation to abnormal loads.  </w:t>
      </w:r>
    </w:p>
    <w:tbl>
      <w:tblPr>
        <w:tblStyle w:val="TableGrid"/>
        <w:tblW w:w="0" w:type="auto"/>
        <w:tblLook w:val="04A0" w:firstRow="1" w:lastRow="0" w:firstColumn="1" w:lastColumn="0" w:noHBand="0" w:noVBand="1"/>
        <w:tblCaption w:val="Police Scotland - total number of overtime hours worked by officers in relation to abnormal loads"/>
        <w:tblDescription w:val="Police Scotland - total number of overtime hours worked by officers in relation to abnormal loads"/>
      </w:tblPr>
      <w:tblGrid>
        <w:gridCol w:w="2405"/>
        <w:gridCol w:w="6237"/>
      </w:tblGrid>
      <w:tr w:rsidR="003A4861" w14:paraId="26C23E7F" w14:textId="77777777" w:rsidTr="003A4861">
        <w:trPr>
          <w:tblHeader/>
        </w:trPr>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67F9CB" w14:textId="77777777" w:rsidR="003A4861" w:rsidRDefault="003A4861" w:rsidP="003A4861">
            <w:pPr>
              <w:pStyle w:val="Heading2"/>
              <w:jc w:val="center"/>
            </w:pPr>
            <w:r>
              <w:t>Year</w:t>
            </w:r>
          </w:p>
        </w:tc>
        <w:tc>
          <w:tcPr>
            <w:tcW w:w="62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E6A7DB" w14:textId="1B68E72E" w:rsidR="003A4861" w:rsidRDefault="003A4861" w:rsidP="003A4861">
            <w:pPr>
              <w:pStyle w:val="Heading2"/>
              <w:jc w:val="center"/>
            </w:pPr>
            <w:r>
              <w:t>Total overtime hours</w:t>
            </w:r>
          </w:p>
        </w:tc>
      </w:tr>
      <w:tr w:rsidR="003A4861" w14:paraId="4D72AAE9" w14:textId="77777777" w:rsidTr="003A4861">
        <w:tc>
          <w:tcPr>
            <w:tcW w:w="2405" w:type="dxa"/>
            <w:tcBorders>
              <w:top w:val="single" w:sz="4" w:space="0" w:color="auto"/>
              <w:left w:val="single" w:sz="4" w:space="0" w:color="auto"/>
              <w:bottom w:val="single" w:sz="4" w:space="0" w:color="auto"/>
              <w:right w:val="single" w:sz="4" w:space="0" w:color="auto"/>
            </w:tcBorders>
            <w:hideMark/>
          </w:tcPr>
          <w:p w14:paraId="04E461FC" w14:textId="77777777" w:rsidR="003A4861" w:rsidRPr="003A4861" w:rsidRDefault="003A4861" w:rsidP="003A4861">
            <w:pPr>
              <w:tabs>
                <w:tab w:val="left" w:pos="5400"/>
              </w:tabs>
              <w:spacing w:line="240" w:lineRule="auto"/>
              <w:jc w:val="center"/>
            </w:pPr>
            <w:r w:rsidRPr="003A4861">
              <w:t>2016/17</w:t>
            </w:r>
          </w:p>
        </w:tc>
        <w:tc>
          <w:tcPr>
            <w:tcW w:w="6237" w:type="dxa"/>
            <w:tcBorders>
              <w:top w:val="single" w:sz="4" w:space="0" w:color="auto"/>
              <w:left w:val="single" w:sz="4" w:space="0" w:color="auto"/>
              <w:bottom w:val="single" w:sz="4" w:space="0" w:color="auto"/>
              <w:right w:val="single" w:sz="4" w:space="0" w:color="auto"/>
            </w:tcBorders>
            <w:hideMark/>
          </w:tcPr>
          <w:p w14:paraId="488FBDD7" w14:textId="77777777" w:rsidR="003A4861" w:rsidRDefault="003A4861" w:rsidP="003A4861">
            <w:pPr>
              <w:tabs>
                <w:tab w:val="left" w:pos="5400"/>
              </w:tabs>
              <w:spacing w:line="240" w:lineRule="auto"/>
              <w:jc w:val="center"/>
            </w:pPr>
            <w:r>
              <w:t>7341</w:t>
            </w:r>
          </w:p>
        </w:tc>
      </w:tr>
      <w:tr w:rsidR="003A4861" w14:paraId="2722E6F0" w14:textId="77777777" w:rsidTr="003A4861">
        <w:tc>
          <w:tcPr>
            <w:tcW w:w="2405" w:type="dxa"/>
            <w:tcBorders>
              <w:top w:val="single" w:sz="4" w:space="0" w:color="auto"/>
              <w:left w:val="single" w:sz="4" w:space="0" w:color="auto"/>
              <w:bottom w:val="single" w:sz="4" w:space="0" w:color="auto"/>
              <w:right w:val="single" w:sz="4" w:space="0" w:color="auto"/>
            </w:tcBorders>
            <w:hideMark/>
          </w:tcPr>
          <w:p w14:paraId="43138343" w14:textId="77777777" w:rsidR="003A4861" w:rsidRPr="003A4861" w:rsidRDefault="003A4861" w:rsidP="003A4861">
            <w:pPr>
              <w:tabs>
                <w:tab w:val="left" w:pos="5400"/>
              </w:tabs>
              <w:spacing w:line="240" w:lineRule="auto"/>
              <w:jc w:val="center"/>
            </w:pPr>
            <w:r w:rsidRPr="003A4861">
              <w:t>2017/18</w:t>
            </w:r>
          </w:p>
        </w:tc>
        <w:tc>
          <w:tcPr>
            <w:tcW w:w="6237" w:type="dxa"/>
            <w:tcBorders>
              <w:top w:val="single" w:sz="4" w:space="0" w:color="auto"/>
              <w:left w:val="single" w:sz="4" w:space="0" w:color="auto"/>
              <w:bottom w:val="single" w:sz="4" w:space="0" w:color="auto"/>
              <w:right w:val="single" w:sz="4" w:space="0" w:color="auto"/>
            </w:tcBorders>
            <w:hideMark/>
          </w:tcPr>
          <w:p w14:paraId="5E9F7A47" w14:textId="77777777" w:rsidR="003A4861" w:rsidRDefault="003A4861" w:rsidP="003A4861">
            <w:pPr>
              <w:tabs>
                <w:tab w:val="left" w:pos="5400"/>
              </w:tabs>
              <w:spacing w:line="240" w:lineRule="auto"/>
              <w:jc w:val="center"/>
            </w:pPr>
            <w:r>
              <w:t>6189</w:t>
            </w:r>
          </w:p>
        </w:tc>
      </w:tr>
      <w:tr w:rsidR="003A4861" w14:paraId="084D48D4" w14:textId="77777777" w:rsidTr="003A4861">
        <w:tc>
          <w:tcPr>
            <w:tcW w:w="2405" w:type="dxa"/>
            <w:tcBorders>
              <w:top w:val="single" w:sz="4" w:space="0" w:color="auto"/>
              <w:left w:val="single" w:sz="4" w:space="0" w:color="auto"/>
              <w:bottom w:val="single" w:sz="4" w:space="0" w:color="auto"/>
              <w:right w:val="single" w:sz="4" w:space="0" w:color="auto"/>
            </w:tcBorders>
            <w:hideMark/>
          </w:tcPr>
          <w:p w14:paraId="0102434F" w14:textId="77777777" w:rsidR="003A4861" w:rsidRPr="003A4861" w:rsidRDefault="003A4861" w:rsidP="003A4861">
            <w:pPr>
              <w:tabs>
                <w:tab w:val="left" w:pos="5400"/>
              </w:tabs>
              <w:spacing w:line="240" w:lineRule="auto"/>
              <w:jc w:val="center"/>
            </w:pPr>
            <w:r w:rsidRPr="003A4861">
              <w:t>2018/19</w:t>
            </w:r>
          </w:p>
        </w:tc>
        <w:tc>
          <w:tcPr>
            <w:tcW w:w="6237" w:type="dxa"/>
            <w:tcBorders>
              <w:top w:val="single" w:sz="4" w:space="0" w:color="auto"/>
              <w:left w:val="single" w:sz="4" w:space="0" w:color="auto"/>
              <w:bottom w:val="single" w:sz="4" w:space="0" w:color="auto"/>
              <w:right w:val="single" w:sz="4" w:space="0" w:color="auto"/>
            </w:tcBorders>
            <w:hideMark/>
          </w:tcPr>
          <w:p w14:paraId="4EDCD111" w14:textId="77777777" w:rsidR="003A4861" w:rsidRDefault="003A4861" w:rsidP="003A4861">
            <w:pPr>
              <w:tabs>
                <w:tab w:val="left" w:pos="5400"/>
              </w:tabs>
              <w:spacing w:line="240" w:lineRule="auto"/>
              <w:jc w:val="center"/>
            </w:pPr>
            <w:r>
              <w:t>8789</w:t>
            </w:r>
          </w:p>
        </w:tc>
      </w:tr>
      <w:tr w:rsidR="003A4861" w14:paraId="2C61A860" w14:textId="77777777" w:rsidTr="003A4861">
        <w:tc>
          <w:tcPr>
            <w:tcW w:w="2405" w:type="dxa"/>
            <w:tcBorders>
              <w:top w:val="single" w:sz="4" w:space="0" w:color="auto"/>
              <w:left w:val="single" w:sz="4" w:space="0" w:color="auto"/>
              <w:bottom w:val="single" w:sz="4" w:space="0" w:color="auto"/>
              <w:right w:val="single" w:sz="4" w:space="0" w:color="auto"/>
            </w:tcBorders>
            <w:hideMark/>
          </w:tcPr>
          <w:p w14:paraId="17EFAF2E" w14:textId="77777777" w:rsidR="003A4861" w:rsidRPr="003A4861" w:rsidRDefault="003A4861" w:rsidP="003A4861">
            <w:pPr>
              <w:tabs>
                <w:tab w:val="left" w:pos="5400"/>
              </w:tabs>
              <w:spacing w:line="240" w:lineRule="auto"/>
              <w:jc w:val="center"/>
            </w:pPr>
            <w:r w:rsidRPr="003A4861">
              <w:t>2019/20</w:t>
            </w:r>
          </w:p>
        </w:tc>
        <w:tc>
          <w:tcPr>
            <w:tcW w:w="6237" w:type="dxa"/>
            <w:tcBorders>
              <w:top w:val="single" w:sz="4" w:space="0" w:color="auto"/>
              <w:left w:val="single" w:sz="4" w:space="0" w:color="auto"/>
              <w:bottom w:val="single" w:sz="4" w:space="0" w:color="auto"/>
              <w:right w:val="single" w:sz="4" w:space="0" w:color="auto"/>
            </w:tcBorders>
            <w:hideMark/>
          </w:tcPr>
          <w:p w14:paraId="61203A19" w14:textId="77777777" w:rsidR="003A4861" w:rsidRDefault="003A4861" w:rsidP="003A4861">
            <w:pPr>
              <w:tabs>
                <w:tab w:val="left" w:pos="5400"/>
              </w:tabs>
              <w:spacing w:line="240" w:lineRule="auto"/>
              <w:jc w:val="center"/>
            </w:pPr>
            <w:r>
              <w:t>3915</w:t>
            </w:r>
          </w:p>
        </w:tc>
      </w:tr>
      <w:tr w:rsidR="003A4861" w14:paraId="01FF4B52" w14:textId="77777777" w:rsidTr="003A4861">
        <w:tc>
          <w:tcPr>
            <w:tcW w:w="2405" w:type="dxa"/>
            <w:tcBorders>
              <w:top w:val="single" w:sz="4" w:space="0" w:color="auto"/>
              <w:left w:val="single" w:sz="4" w:space="0" w:color="auto"/>
              <w:bottom w:val="single" w:sz="4" w:space="0" w:color="auto"/>
              <w:right w:val="single" w:sz="4" w:space="0" w:color="auto"/>
            </w:tcBorders>
            <w:hideMark/>
          </w:tcPr>
          <w:p w14:paraId="398535CE" w14:textId="77777777" w:rsidR="003A4861" w:rsidRPr="003A4861" w:rsidRDefault="003A4861" w:rsidP="003A4861">
            <w:pPr>
              <w:tabs>
                <w:tab w:val="left" w:pos="5400"/>
              </w:tabs>
              <w:spacing w:line="240" w:lineRule="auto"/>
              <w:jc w:val="center"/>
            </w:pPr>
            <w:r w:rsidRPr="003A4861">
              <w:t>2020/21</w:t>
            </w:r>
          </w:p>
        </w:tc>
        <w:tc>
          <w:tcPr>
            <w:tcW w:w="6237" w:type="dxa"/>
            <w:tcBorders>
              <w:top w:val="single" w:sz="4" w:space="0" w:color="auto"/>
              <w:left w:val="single" w:sz="4" w:space="0" w:color="auto"/>
              <w:bottom w:val="single" w:sz="4" w:space="0" w:color="auto"/>
              <w:right w:val="single" w:sz="4" w:space="0" w:color="auto"/>
            </w:tcBorders>
            <w:hideMark/>
          </w:tcPr>
          <w:p w14:paraId="466DEBE3" w14:textId="77777777" w:rsidR="003A4861" w:rsidRDefault="003A4861" w:rsidP="003A4861">
            <w:pPr>
              <w:tabs>
                <w:tab w:val="left" w:pos="5400"/>
              </w:tabs>
              <w:spacing w:line="240" w:lineRule="auto"/>
              <w:jc w:val="center"/>
            </w:pPr>
            <w:r>
              <w:t>5401</w:t>
            </w:r>
          </w:p>
        </w:tc>
      </w:tr>
      <w:tr w:rsidR="003A4861" w14:paraId="60170B0B" w14:textId="77777777" w:rsidTr="003A4861">
        <w:tc>
          <w:tcPr>
            <w:tcW w:w="2405" w:type="dxa"/>
            <w:tcBorders>
              <w:top w:val="single" w:sz="4" w:space="0" w:color="auto"/>
              <w:left w:val="single" w:sz="4" w:space="0" w:color="auto"/>
              <w:bottom w:val="single" w:sz="4" w:space="0" w:color="auto"/>
              <w:right w:val="single" w:sz="4" w:space="0" w:color="auto"/>
            </w:tcBorders>
            <w:hideMark/>
          </w:tcPr>
          <w:p w14:paraId="39F932D3" w14:textId="77777777" w:rsidR="003A4861" w:rsidRPr="003A4861" w:rsidRDefault="003A4861" w:rsidP="003A4861">
            <w:pPr>
              <w:tabs>
                <w:tab w:val="left" w:pos="5400"/>
              </w:tabs>
              <w:spacing w:line="240" w:lineRule="auto"/>
              <w:jc w:val="center"/>
            </w:pPr>
            <w:r w:rsidRPr="003A4861">
              <w:t>2021/22</w:t>
            </w:r>
          </w:p>
        </w:tc>
        <w:tc>
          <w:tcPr>
            <w:tcW w:w="6237" w:type="dxa"/>
            <w:tcBorders>
              <w:top w:val="single" w:sz="4" w:space="0" w:color="auto"/>
              <w:left w:val="single" w:sz="4" w:space="0" w:color="auto"/>
              <w:bottom w:val="single" w:sz="4" w:space="0" w:color="auto"/>
              <w:right w:val="single" w:sz="4" w:space="0" w:color="auto"/>
            </w:tcBorders>
            <w:hideMark/>
          </w:tcPr>
          <w:p w14:paraId="281F9EAD" w14:textId="77777777" w:rsidR="003A4861" w:rsidRDefault="003A4861" w:rsidP="003A4861">
            <w:pPr>
              <w:tabs>
                <w:tab w:val="left" w:pos="5400"/>
              </w:tabs>
              <w:spacing w:line="240" w:lineRule="auto"/>
              <w:jc w:val="center"/>
            </w:pPr>
            <w:r>
              <w:t>4866</w:t>
            </w:r>
          </w:p>
        </w:tc>
      </w:tr>
      <w:tr w:rsidR="003A4861" w14:paraId="1DC1EFFF" w14:textId="77777777" w:rsidTr="003A4861">
        <w:tc>
          <w:tcPr>
            <w:tcW w:w="2405" w:type="dxa"/>
            <w:tcBorders>
              <w:top w:val="single" w:sz="4" w:space="0" w:color="auto"/>
              <w:left w:val="single" w:sz="4" w:space="0" w:color="auto"/>
              <w:bottom w:val="single" w:sz="4" w:space="0" w:color="auto"/>
              <w:right w:val="single" w:sz="4" w:space="0" w:color="auto"/>
            </w:tcBorders>
            <w:hideMark/>
          </w:tcPr>
          <w:p w14:paraId="6F0F87AD" w14:textId="77777777" w:rsidR="003A4861" w:rsidRPr="003A4861" w:rsidRDefault="003A4861" w:rsidP="003A4861">
            <w:pPr>
              <w:tabs>
                <w:tab w:val="left" w:pos="5400"/>
              </w:tabs>
              <w:spacing w:line="240" w:lineRule="auto"/>
              <w:jc w:val="center"/>
            </w:pPr>
            <w:r w:rsidRPr="003A4861">
              <w:t>2022/23</w:t>
            </w:r>
          </w:p>
        </w:tc>
        <w:tc>
          <w:tcPr>
            <w:tcW w:w="6237" w:type="dxa"/>
            <w:tcBorders>
              <w:top w:val="single" w:sz="4" w:space="0" w:color="auto"/>
              <w:left w:val="single" w:sz="4" w:space="0" w:color="auto"/>
              <w:bottom w:val="single" w:sz="4" w:space="0" w:color="auto"/>
              <w:right w:val="single" w:sz="4" w:space="0" w:color="auto"/>
            </w:tcBorders>
            <w:hideMark/>
          </w:tcPr>
          <w:p w14:paraId="41D4DA27" w14:textId="77777777" w:rsidR="003A4861" w:rsidRDefault="003A4861" w:rsidP="003A4861">
            <w:pPr>
              <w:tabs>
                <w:tab w:val="left" w:pos="5400"/>
              </w:tabs>
              <w:spacing w:line="240" w:lineRule="auto"/>
              <w:jc w:val="center"/>
            </w:pPr>
            <w:r>
              <w:t>4234</w:t>
            </w:r>
          </w:p>
        </w:tc>
      </w:tr>
      <w:tr w:rsidR="003A4861" w14:paraId="7A706014" w14:textId="77777777" w:rsidTr="003A4861">
        <w:tc>
          <w:tcPr>
            <w:tcW w:w="2405" w:type="dxa"/>
            <w:tcBorders>
              <w:top w:val="single" w:sz="4" w:space="0" w:color="auto"/>
              <w:left w:val="single" w:sz="4" w:space="0" w:color="auto"/>
              <w:bottom w:val="single" w:sz="4" w:space="0" w:color="auto"/>
              <w:right w:val="single" w:sz="4" w:space="0" w:color="auto"/>
            </w:tcBorders>
            <w:hideMark/>
          </w:tcPr>
          <w:p w14:paraId="3420DDB5" w14:textId="77777777" w:rsidR="003A4861" w:rsidRPr="003A4861" w:rsidRDefault="003A4861" w:rsidP="003A4861">
            <w:pPr>
              <w:tabs>
                <w:tab w:val="left" w:pos="5400"/>
              </w:tabs>
              <w:spacing w:line="240" w:lineRule="auto"/>
              <w:jc w:val="center"/>
            </w:pPr>
            <w:r w:rsidRPr="003A4861">
              <w:t>2023/24</w:t>
            </w:r>
          </w:p>
        </w:tc>
        <w:tc>
          <w:tcPr>
            <w:tcW w:w="6237" w:type="dxa"/>
            <w:tcBorders>
              <w:top w:val="single" w:sz="4" w:space="0" w:color="auto"/>
              <w:left w:val="single" w:sz="4" w:space="0" w:color="auto"/>
              <w:bottom w:val="single" w:sz="4" w:space="0" w:color="auto"/>
              <w:right w:val="single" w:sz="4" w:space="0" w:color="auto"/>
            </w:tcBorders>
            <w:hideMark/>
          </w:tcPr>
          <w:p w14:paraId="6BE63AF3" w14:textId="77777777" w:rsidR="003A4861" w:rsidRDefault="003A4861" w:rsidP="003A4861">
            <w:pPr>
              <w:tabs>
                <w:tab w:val="left" w:pos="5400"/>
              </w:tabs>
              <w:spacing w:line="240" w:lineRule="auto"/>
              <w:jc w:val="center"/>
            </w:pPr>
            <w:r>
              <w:t>4761</w:t>
            </w:r>
          </w:p>
        </w:tc>
      </w:tr>
      <w:tr w:rsidR="003A4861" w14:paraId="1708E507" w14:textId="77777777" w:rsidTr="003A4861">
        <w:tc>
          <w:tcPr>
            <w:tcW w:w="2405" w:type="dxa"/>
            <w:tcBorders>
              <w:top w:val="single" w:sz="4" w:space="0" w:color="auto"/>
              <w:left w:val="single" w:sz="4" w:space="0" w:color="auto"/>
              <w:bottom w:val="single" w:sz="4" w:space="0" w:color="auto"/>
              <w:right w:val="single" w:sz="4" w:space="0" w:color="auto"/>
            </w:tcBorders>
            <w:hideMark/>
          </w:tcPr>
          <w:p w14:paraId="4422DD5F" w14:textId="77777777" w:rsidR="003A4861" w:rsidRPr="003A4861" w:rsidRDefault="003A4861" w:rsidP="003A4861">
            <w:pPr>
              <w:tabs>
                <w:tab w:val="left" w:pos="5400"/>
              </w:tabs>
              <w:spacing w:line="240" w:lineRule="auto"/>
              <w:jc w:val="center"/>
            </w:pPr>
            <w:r w:rsidRPr="003A4861">
              <w:t>2024/25</w:t>
            </w:r>
          </w:p>
        </w:tc>
        <w:tc>
          <w:tcPr>
            <w:tcW w:w="6237" w:type="dxa"/>
            <w:tcBorders>
              <w:top w:val="single" w:sz="4" w:space="0" w:color="auto"/>
              <w:left w:val="single" w:sz="4" w:space="0" w:color="auto"/>
              <w:bottom w:val="single" w:sz="4" w:space="0" w:color="auto"/>
              <w:right w:val="single" w:sz="4" w:space="0" w:color="auto"/>
            </w:tcBorders>
            <w:hideMark/>
          </w:tcPr>
          <w:p w14:paraId="089353F7" w14:textId="77777777" w:rsidR="003A4861" w:rsidRDefault="003A4861" w:rsidP="003A4861">
            <w:pPr>
              <w:tabs>
                <w:tab w:val="left" w:pos="5400"/>
              </w:tabs>
              <w:spacing w:line="240" w:lineRule="auto"/>
              <w:jc w:val="center"/>
            </w:pPr>
            <w:r>
              <w:t>5126</w:t>
            </w:r>
          </w:p>
        </w:tc>
      </w:tr>
    </w:tbl>
    <w:p w14:paraId="2F059618" w14:textId="77777777" w:rsidR="002411D4" w:rsidRPr="002411D4" w:rsidRDefault="002411D4" w:rsidP="002411D4"/>
    <w:p w14:paraId="2CC8A797" w14:textId="77777777" w:rsidR="00E66AE6" w:rsidRDefault="00E66AE6" w:rsidP="002411D4">
      <w:pPr>
        <w:pStyle w:val="Heading2"/>
      </w:pPr>
    </w:p>
    <w:p w14:paraId="3E6AF045" w14:textId="6BC2D740" w:rsidR="002411D4" w:rsidRDefault="002411D4" w:rsidP="002411D4">
      <w:pPr>
        <w:pStyle w:val="Heading2"/>
      </w:pPr>
      <w:r w:rsidRPr="002411D4">
        <w:t>3.</w:t>
      </w:r>
      <w:r>
        <w:t xml:space="preserve"> </w:t>
      </w:r>
      <w:r w:rsidRPr="002411D4">
        <w:t>Which policing staff carry out these escorts, and what do their duties entail?</w:t>
      </w:r>
    </w:p>
    <w:p w14:paraId="7353D699" w14:textId="00B1708D" w:rsidR="002411D4" w:rsidRDefault="002411D4" w:rsidP="002411D4">
      <w:r w:rsidRPr="00E66AE6">
        <w:t>Specially trained police officers carry out these escorts.</w:t>
      </w:r>
    </w:p>
    <w:p w14:paraId="165A42B8" w14:textId="77777777" w:rsidR="00FB01AC" w:rsidRDefault="00FB01AC" w:rsidP="00FB01AC">
      <w:r w:rsidRPr="00FB01AC">
        <w:lastRenderedPageBreak/>
        <w:t>Public safety is of paramount importance, as the size and weight of abnormal loads can pose a risk to other road users.</w:t>
      </w:r>
    </w:p>
    <w:p w14:paraId="6B4FE294" w14:textId="77777777" w:rsidR="00FB01AC" w:rsidRDefault="002411D4" w:rsidP="002411D4">
      <w:r>
        <w:t>The duties of a road policing officer carrying out abnormal load duties a</w:t>
      </w:r>
      <w:r w:rsidR="00EC5287">
        <w:t xml:space="preserve">re </w:t>
      </w:r>
      <w:r w:rsidR="00FB01AC">
        <w:t>as follows:</w:t>
      </w:r>
    </w:p>
    <w:p w14:paraId="7279C9D3" w14:textId="77777777" w:rsidR="002411D4" w:rsidRDefault="002411D4" w:rsidP="002411D4">
      <w:r>
        <w:t>•</w:t>
      </w:r>
      <w:r>
        <w:tab/>
        <w:t xml:space="preserve">Should receive instruction on relevant legislation </w:t>
      </w:r>
    </w:p>
    <w:p w14:paraId="5956F746" w14:textId="77777777" w:rsidR="002411D4" w:rsidRDefault="002411D4" w:rsidP="002411D4">
      <w:r>
        <w:t>•</w:t>
      </w:r>
      <w:r>
        <w:tab/>
        <w:t xml:space="preserve">Should be pro-active in regulating and enforcing abnormal load movements </w:t>
      </w:r>
    </w:p>
    <w:p w14:paraId="0D74C35A" w14:textId="77777777" w:rsidR="002411D4" w:rsidRDefault="002411D4" w:rsidP="002411D4">
      <w:r>
        <w:t>•</w:t>
      </w:r>
      <w:r>
        <w:tab/>
        <w:t xml:space="preserve">Should conduct prescribed pre-movement checks  </w:t>
      </w:r>
    </w:p>
    <w:p w14:paraId="198BA6F3" w14:textId="77777777" w:rsidR="002411D4" w:rsidRDefault="002411D4" w:rsidP="002411D4">
      <w:r>
        <w:t>•</w:t>
      </w:r>
      <w:r>
        <w:tab/>
        <w:t xml:space="preserve">Should be conversant with the proposed route and have carried out an appropriate briefing with those involved </w:t>
      </w:r>
    </w:p>
    <w:p w14:paraId="4BF7F4F4" w14:textId="77777777" w:rsidR="002411D4" w:rsidRDefault="002411D4" w:rsidP="002411D4">
      <w:r>
        <w:t>•</w:t>
      </w:r>
      <w:r>
        <w:tab/>
        <w:t xml:space="preserve">Should ensure the load, vehicle and route have been risk-assessed </w:t>
      </w:r>
    </w:p>
    <w:p w14:paraId="5D9039D0" w14:textId="4FD34229" w:rsidR="002411D4" w:rsidRDefault="002411D4" w:rsidP="002411D4">
      <w:r>
        <w:t>•</w:t>
      </w:r>
      <w:r>
        <w:tab/>
        <w:t xml:space="preserve">Should work with the police force’s abnormal loads team and road and bridge authorities if there is any requirement to divert from the notified route or, if not available, a </w:t>
      </w:r>
      <w:r w:rsidR="0030733F">
        <w:t>traffic movement order</w:t>
      </w:r>
      <w:r>
        <w:t xml:space="preserve"> for the police force or local authority to ensure the alternative route is suitable.</w:t>
      </w:r>
    </w:p>
    <w:p w14:paraId="2F4852FB" w14:textId="13034FA5" w:rsidR="00FB01AC" w:rsidRDefault="00FB01AC" w:rsidP="00FB01AC">
      <w:r>
        <w:t xml:space="preserve">Further detail can be found in NPCC Abnormal Loads guidance </w:t>
      </w:r>
      <w:hyperlink r:id="rId11" w:history="1">
        <w:r w:rsidRPr="00EC5287">
          <w:rPr>
            <w:color w:val="0000FF"/>
            <w:u w:val="single"/>
          </w:rPr>
          <w:t>Microsoft Word - Abnormal Load Guidance NPCC 2025</w:t>
        </w:r>
      </w:hyperlink>
    </w:p>
    <w:p w14:paraId="53FD4372" w14:textId="77777777" w:rsidR="00F31AC9" w:rsidRPr="002411D4" w:rsidRDefault="00F31AC9" w:rsidP="002411D4"/>
    <w:p w14:paraId="27904B41" w14:textId="59D6E05F" w:rsidR="002411D4" w:rsidRDefault="002411D4" w:rsidP="002411D4">
      <w:pPr>
        <w:pStyle w:val="Heading2"/>
      </w:pPr>
      <w:r w:rsidRPr="002411D4">
        <w:t>4.</w:t>
      </w:r>
      <w:r>
        <w:t xml:space="preserve"> </w:t>
      </w:r>
      <w:r w:rsidRPr="002411D4">
        <w:t>How much do these escorts cost per trip/per mile?</w:t>
      </w:r>
    </w:p>
    <w:p w14:paraId="41C8928B" w14:textId="77777777" w:rsidR="00935971" w:rsidRDefault="008C5EDC" w:rsidP="008C5EDC">
      <w:r w:rsidRPr="00935971">
        <w:t xml:space="preserve">The costs associated with abnormal loads movements is not charged per mile or trip. </w:t>
      </w:r>
    </w:p>
    <w:p w14:paraId="1F06E610" w14:textId="77777777" w:rsidR="00935971" w:rsidRDefault="008C5EDC" w:rsidP="008C5EDC">
      <w:r w:rsidRPr="00935971">
        <w:t xml:space="preserve">The cost is recorded and subsequently recharged to hauliers based on </w:t>
      </w:r>
      <w:r w:rsidR="00935971">
        <w:t xml:space="preserve">the </w:t>
      </w:r>
      <w:r w:rsidRPr="00935971">
        <w:t xml:space="preserve">officers time involved in the escort, with a minimum of 5.5 hours charged per movement in line with the relevant Services of Police rate applicable for the rank involved. </w:t>
      </w:r>
    </w:p>
    <w:p w14:paraId="3F75A1E9" w14:textId="46AABC4E" w:rsidR="008C5EDC" w:rsidRPr="00935971" w:rsidRDefault="008C5EDC" w:rsidP="008C5EDC">
      <w:r w:rsidRPr="00935971">
        <w:t>If the officers time exceeds 5.5 hours then the charge becomes the officer</w:t>
      </w:r>
      <w:r w:rsidR="00935971">
        <w:t>’</w:t>
      </w:r>
      <w:r w:rsidRPr="00935971">
        <w:t xml:space="preserve">s hourly rate thereafter. </w:t>
      </w:r>
    </w:p>
    <w:p w14:paraId="0D93BF00" w14:textId="77777777" w:rsidR="008C5EDC" w:rsidRPr="008C5EDC" w:rsidRDefault="008C5EDC" w:rsidP="008C5EDC"/>
    <w:p w14:paraId="65A3BB54" w14:textId="46176EB2" w:rsidR="002411D4" w:rsidRDefault="002411D4" w:rsidP="002411D4">
      <w:pPr>
        <w:pStyle w:val="Heading2"/>
      </w:pPr>
      <w:r w:rsidRPr="002411D4">
        <w:t>5.</w:t>
      </w:r>
      <w:r>
        <w:t xml:space="preserve"> </w:t>
      </w:r>
      <w:r w:rsidRPr="002411D4">
        <w:t>Who is responsible for fulfilling these costs?</w:t>
      </w:r>
    </w:p>
    <w:p w14:paraId="6B397976" w14:textId="7EC6ACF5" w:rsidR="008C5EDC" w:rsidRDefault="008C5EDC" w:rsidP="008C5EDC">
      <w:r>
        <w:t>The Hauliers are responsible for fulfilling these costs.</w:t>
      </w:r>
    </w:p>
    <w:p w14:paraId="1DCF8B4A" w14:textId="77777777" w:rsidR="00935971" w:rsidRPr="008C5EDC" w:rsidRDefault="00935971" w:rsidP="008C5EDC"/>
    <w:p w14:paraId="6C17802C" w14:textId="77777777" w:rsidR="002411D4" w:rsidRDefault="002411D4" w:rsidP="002411D4">
      <w:pPr>
        <w:pStyle w:val="Heading2"/>
      </w:pPr>
      <w:r w:rsidRPr="002411D4">
        <w:lastRenderedPageBreak/>
        <w:t>6.</w:t>
      </w:r>
      <w:r>
        <w:t xml:space="preserve"> </w:t>
      </w:r>
      <w:r w:rsidRPr="002411D4">
        <w:t xml:space="preserve">What provision is put in place for local police forces carrying out standard duties when officers are occupied with carrying out police escorts? For example, are more officers on duty during busy times for abnormal loads? </w:t>
      </w:r>
    </w:p>
    <w:p w14:paraId="0D492E24" w14:textId="0FB85FE1" w:rsidR="002411D4" w:rsidRDefault="008C5EDC" w:rsidP="008C5EDC">
      <w:r w:rsidRPr="008C5EDC">
        <w:t>Escorting Abnormal Loads is not a core part of Police Scotland and is reliant on specially trained officers undertaking these tasks on rest days.</w:t>
      </w:r>
    </w:p>
    <w:p w14:paraId="6A872E89" w14:textId="77777777" w:rsidR="002411D4" w:rsidRDefault="002411D4" w:rsidP="002411D4">
      <w:pPr>
        <w:tabs>
          <w:tab w:val="left" w:pos="5400"/>
        </w:tabs>
        <w:rPr>
          <w:rFonts w:eastAsiaTheme="majorEastAsia" w:cstheme="majorBidi"/>
          <w:b/>
          <w:color w:val="000000" w:themeColor="text1"/>
          <w:szCs w:val="26"/>
        </w:rPr>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4696B731"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82D5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58314F54"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82D5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2E07DC01"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82D5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5547F8A7"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82D56">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43F69787"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82D56">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25C44BCA"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82D56">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82D56"/>
    <w:rsid w:val="00090F3B"/>
    <w:rsid w:val="000E2F19"/>
    <w:rsid w:val="000E6526"/>
    <w:rsid w:val="001160E2"/>
    <w:rsid w:val="00141533"/>
    <w:rsid w:val="001570E9"/>
    <w:rsid w:val="00167528"/>
    <w:rsid w:val="00195CC4"/>
    <w:rsid w:val="001F2261"/>
    <w:rsid w:val="00207326"/>
    <w:rsid w:val="002411D4"/>
    <w:rsid w:val="00253DF6"/>
    <w:rsid w:val="00255F1E"/>
    <w:rsid w:val="0030733F"/>
    <w:rsid w:val="0031453B"/>
    <w:rsid w:val="0034364D"/>
    <w:rsid w:val="0036503B"/>
    <w:rsid w:val="00375AA0"/>
    <w:rsid w:val="00376A4A"/>
    <w:rsid w:val="00381234"/>
    <w:rsid w:val="003A4861"/>
    <w:rsid w:val="003D6D03"/>
    <w:rsid w:val="003E12CA"/>
    <w:rsid w:val="004010DC"/>
    <w:rsid w:val="004341F0"/>
    <w:rsid w:val="00456324"/>
    <w:rsid w:val="00475460"/>
    <w:rsid w:val="00490317"/>
    <w:rsid w:val="00491644"/>
    <w:rsid w:val="00496A08"/>
    <w:rsid w:val="004E1605"/>
    <w:rsid w:val="004F653C"/>
    <w:rsid w:val="00540A52"/>
    <w:rsid w:val="00557306"/>
    <w:rsid w:val="00645CFA"/>
    <w:rsid w:val="00685219"/>
    <w:rsid w:val="006D5799"/>
    <w:rsid w:val="007440EA"/>
    <w:rsid w:val="00750D83"/>
    <w:rsid w:val="007840F5"/>
    <w:rsid w:val="00785DBC"/>
    <w:rsid w:val="00793DD5"/>
    <w:rsid w:val="007D55F6"/>
    <w:rsid w:val="007D6471"/>
    <w:rsid w:val="007F490F"/>
    <w:rsid w:val="00807A21"/>
    <w:rsid w:val="0086779C"/>
    <w:rsid w:val="00874BFD"/>
    <w:rsid w:val="008964EF"/>
    <w:rsid w:val="008C5EDC"/>
    <w:rsid w:val="00915E01"/>
    <w:rsid w:val="00935971"/>
    <w:rsid w:val="009631A4"/>
    <w:rsid w:val="00977296"/>
    <w:rsid w:val="00982CC0"/>
    <w:rsid w:val="009D2AA5"/>
    <w:rsid w:val="009D2F57"/>
    <w:rsid w:val="00A25E93"/>
    <w:rsid w:val="00A320FF"/>
    <w:rsid w:val="00A70AC0"/>
    <w:rsid w:val="00A84EA9"/>
    <w:rsid w:val="00AC443C"/>
    <w:rsid w:val="00B01343"/>
    <w:rsid w:val="00B033D6"/>
    <w:rsid w:val="00B11A55"/>
    <w:rsid w:val="00B1246E"/>
    <w:rsid w:val="00B17211"/>
    <w:rsid w:val="00B461B2"/>
    <w:rsid w:val="00B654B6"/>
    <w:rsid w:val="00B71B3C"/>
    <w:rsid w:val="00BC389E"/>
    <w:rsid w:val="00BE1888"/>
    <w:rsid w:val="00BF6B81"/>
    <w:rsid w:val="00C077A8"/>
    <w:rsid w:val="00C14FF4"/>
    <w:rsid w:val="00C1679F"/>
    <w:rsid w:val="00C426ED"/>
    <w:rsid w:val="00C606A2"/>
    <w:rsid w:val="00C63872"/>
    <w:rsid w:val="00C84948"/>
    <w:rsid w:val="00C94ED8"/>
    <w:rsid w:val="00CE7D6D"/>
    <w:rsid w:val="00CF1111"/>
    <w:rsid w:val="00D05706"/>
    <w:rsid w:val="00D27DC5"/>
    <w:rsid w:val="00D47E36"/>
    <w:rsid w:val="00E55D79"/>
    <w:rsid w:val="00E66AE6"/>
    <w:rsid w:val="00EC5287"/>
    <w:rsid w:val="00EE2373"/>
    <w:rsid w:val="00EF0FBB"/>
    <w:rsid w:val="00EF4761"/>
    <w:rsid w:val="00F31AC9"/>
    <w:rsid w:val="00FB01AC"/>
    <w:rsid w:val="00FC2DA7"/>
    <w:rsid w:val="00FE176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customStyle="1" w:styleId="uv3um">
    <w:name w:val="uv3um"/>
    <w:basedOn w:val="DefaultParagraphFont"/>
    <w:rsid w:val="00157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577670">
      <w:bodyDiv w:val="1"/>
      <w:marLeft w:val="0"/>
      <w:marRight w:val="0"/>
      <w:marTop w:val="0"/>
      <w:marBottom w:val="0"/>
      <w:divBdr>
        <w:top w:val="none" w:sz="0" w:space="0" w:color="auto"/>
        <w:left w:val="none" w:sz="0" w:space="0" w:color="auto"/>
        <w:bottom w:val="none" w:sz="0" w:space="0" w:color="auto"/>
        <w:right w:val="none" w:sz="0" w:space="0" w:color="auto"/>
      </w:divBdr>
    </w:div>
    <w:div w:id="951127792">
      <w:bodyDiv w:val="1"/>
      <w:marLeft w:val="0"/>
      <w:marRight w:val="0"/>
      <w:marTop w:val="0"/>
      <w:marBottom w:val="0"/>
      <w:divBdr>
        <w:top w:val="none" w:sz="0" w:space="0" w:color="auto"/>
        <w:left w:val="none" w:sz="0" w:space="0" w:color="auto"/>
        <w:bottom w:val="none" w:sz="0" w:space="0" w:color="auto"/>
        <w:right w:val="none" w:sz="0" w:space="0" w:color="auto"/>
      </w:divBdr>
    </w:div>
    <w:div w:id="1310750737">
      <w:bodyDiv w:val="1"/>
      <w:marLeft w:val="0"/>
      <w:marRight w:val="0"/>
      <w:marTop w:val="0"/>
      <w:marBottom w:val="0"/>
      <w:divBdr>
        <w:top w:val="none" w:sz="0" w:space="0" w:color="auto"/>
        <w:left w:val="none" w:sz="0" w:space="0" w:color="auto"/>
        <w:bottom w:val="none" w:sz="0" w:space="0" w:color="auto"/>
        <w:right w:val="none" w:sz="0" w:space="0" w:color="auto"/>
      </w:divBdr>
    </w:div>
    <w:div w:id="1500777970">
      <w:bodyDiv w:val="1"/>
      <w:marLeft w:val="0"/>
      <w:marRight w:val="0"/>
      <w:marTop w:val="0"/>
      <w:marBottom w:val="0"/>
      <w:divBdr>
        <w:top w:val="none" w:sz="0" w:space="0" w:color="auto"/>
        <w:left w:val="none" w:sz="0" w:space="0" w:color="auto"/>
        <w:bottom w:val="none" w:sz="0" w:space="0" w:color="auto"/>
        <w:right w:val="none" w:sz="0" w:space="0" w:color="auto"/>
      </w:divBdr>
    </w:div>
    <w:div w:id="1658800589">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i.scot/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pcc.police.uk/SysSiteAssets/media/downloads/publications/publications-log/operations/2025/npcc-abnormal-load-guidance-2025.pdf"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foi.sco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4</Pages>
  <Words>815</Words>
  <Characters>4647</Characters>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2024-01-26T13:56:00Z</dcterms:created>
  <dcterms:modified xsi:type="dcterms:W3CDTF">2025-10-28T14:21:00Z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