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70D15">
              <w:t>0840</w:t>
            </w:r>
          </w:p>
          <w:p w:rsidR="00B17211" w:rsidRDefault="00456324" w:rsidP="00155160">
            <w:r w:rsidRPr="007F490F">
              <w:rPr>
                <w:rStyle w:val="Heading2Char"/>
              </w:rPr>
              <w:t>Respon</w:t>
            </w:r>
            <w:r w:rsidR="007D55F6">
              <w:rPr>
                <w:rStyle w:val="Heading2Char"/>
              </w:rPr>
              <w:t>ded to:</w:t>
            </w:r>
            <w:r w:rsidR="007F490F">
              <w:t xml:space="preserve">  </w:t>
            </w:r>
            <w:r w:rsidR="00670D15">
              <w:t xml:space="preserve">April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70D15" w:rsidRDefault="00670D15" w:rsidP="00670D15">
      <w:pPr>
        <w:rPr>
          <w:rFonts w:eastAsia="Times New Roman"/>
          <w:b/>
        </w:rPr>
      </w:pPr>
      <w:r w:rsidRPr="00670D15">
        <w:rPr>
          <w:rFonts w:eastAsia="Times New Roman"/>
          <w:b/>
        </w:rPr>
        <w:t>Cost of repairs and damages to police service vehicles in the North Highland, South Highland and Inverness command areas, in each of 2020, 2021 and 2022, which were attributed to road surface conditions or defects.</w:t>
      </w:r>
    </w:p>
    <w:p w:rsidR="00813903" w:rsidRDefault="00813903" w:rsidP="00670D15">
      <w:r>
        <w:rPr>
          <w:rFonts w:eastAsia="Times New Roman"/>
        </w:rPr>
        <w:t>In response to your request I can advise that there are two incidents of relevance with the cause of accident recorded as ‘</w:t>
      </w:r>
      <w:r>
        <w:t>S</w:t>
      </w:r>
      <w:r w:rsidRPr="00715172">
        <w:t>trike object on/</w:t>
      </w:r>
      <w:proofErr w:type="gramStart"/>
      <w:r w:rsidRPr="00715172">
        <w:t>hole</w:t>
      </w:r>
      <w:proofErr w:type="gramEnd"/>
      <w:r w:rsidRPr="00715172">
        <w:t xml:space="preserve"> in road</w:t>
      </w:r>
      <w:r>
        <w:t>’.</w:t>
      </w:r>
    </w:p>
    <w:p w:rsidR="00255F1E" w:rsidRPr="00813903" w:rsidRDefault="00813903" w:rsidP="00813903">
      <w:pPr>
        <w:rPr>
          <w:rFonts w:eastAsia="Times New Roman"/>
        </w:rPr>
      </w:pPr>
      <w:r>
        <w:rPr>
          <w:rFonts w:eastAsia="Times New Roman"/>
        </w:rPr>
        <w:t>Both involved one police vehicle and occurred in 2022:</w:t>
      </w:r>
    </w:p>
    <w:tbl>
      <w:tblPr>
        <w:tblStyle w:val="TableGrid"/>
        <w:tblW w:w="7728" w:type="dxa"/>
        <w:tblLook w:val="04A0" w:firstRow="1" w:lastRow="0" w:firstColumn="1" w:lastColumn="0" w:noHBand="0" w:noVBand="1"/>
        <w:tblCaption w:val="Example table"/>
        <w:tblDescription w:val="Example table"/>
      </w:tblPr>
      <w:tblGrid>
        <w:gridCol w:w="1519"/>
        <w:gridCol w:w="4765"/>
        <w:gridCol w:w="1444"/>
      </w:tblGrid>
      <w:tr w:rsidR="00813903" w:rsidRPr="00813903" w:rsidTr="00813903">
        <w:trPr>
          <w:tblHeader/>
        </w:trPr>
        <w:tc>
          <w:tcPr>
            <w:tcW w:w="1519" w:type="dxa"/>
            <w:shd w:val="clear" w:color="auto" w:fill="D9D9D9" w:themeFill="background1" w:themeFillShade="D9"/>
          </w:tcPr>
          <w:p w:rsidR="00813903" w:rsidRPr="00813903" w:rsidRDefault="00813903" w:rsidP="00D05706">
            <w:pPr>
              <w:rPr>
                <w:b/>
              </w:rPr>
            </w:pPr>
            <w:r w:rsidRPr="00813903">
              <w:rPr>
                <w:b/>
              </w:rPr>
              <w:t xml:space="preserve">Division     </w:t>
            </w:r>
          </w:p>
        </w:tc>
        <w:tc>
          <w:tcPr>
            <w:tcW w:w="4765" w:type="dxa"/>
            <w:shd w:val="clear" w:color="auto" w:fill="D9D9D9" w:themeFill="background1" w:themeFillShade="D9"/>
          </w:tcPr>
          <w:p w:rsidR="00813903" w:rsidRPr="00813903" w:rsidRDefault="00813903" w:rsidP="00D05706">
            <w:pPr>
              <w:rPr>
                <w:b/>
              </w:rPr>
            </w:pPr>
            <w:r w:rsidRPr="00813903">
              <w:rPr>
                <w:b/>
              </w:rPr>
              <w:t xml:space="preserve">Location     </w:t>
            </w:r>
          </w:p>
        </w:tc>
        <w:tc>
          <w:tcPr>
            <w:tcW w:w="1444" w:type="dxa"/>
            <w:shd w:val="clear" w:color="auto" w:fill="D9D9D9" w:themeFill="background1" w:themeFillShade="D9"/>
          </w:tcPr>
          <w:p w:rsidR="00813903" w:rsidRPr="00813903" w:rsidRDefault="00813903" w:rsidP="00670D15">
            <w:pPr>
              <w:rPr>
                <w:b/>
              </w:rPr>
            </w:pPr>
            <w:r w:rsidRPr="00813903">
              <w:rPr>
                <w:b/>
              </w:rPr>
              <w:t xml:space="preserve">Total Paid     </w:t>
            </w:r>
          </w:p>
        </w:tc>
      </w:tr>
      <w:tr w:rsidR="00813903" w:rsidTr="00813903">
        <w:tc>
          <w:tcPr>
            <w:tcW w:w="1519" w:type="dxa"/>
          </w:tcPr>
          <w:p w:rsidR="00813903" w:rsidRDefault="00813903" w:rsidP="00715172">
            <w:pPr>
              <w:tabs>
                <w:tab w:val="left" w:pos="5400"/>
              </w:tabs>
            </w:pPr>
            <w:proofErr w:type="spellStart"/>
            <w:r>
              <w:t>Dingwall</w:t>
            </w:r>
            <w:proofErr w:type="spellEnd"/>
          </w:p>
        </w:tc>
        <w:tc>
          <w:tcPr>
            <w:tcW w:w="4765" w:type="dxa"/>
          </w:tcPr>
          <w:p w:rsidR="00813903" w:rsidRDefault="00813903" w:rsidP="00813903">
            <w:pPr>
              <w:tabs>
                <w:tab w:val="left" w:pos="5400"/>
              </w:tabs>
            </w:pPr>
            <w:r>
              <w:t>U</w:t>
            </w:r>
            <w:r w:rsidRPr="00715172">
              <w:t xml:space="preserve">nclassified road, </w:t>
            </w:r>
            <w:proofErr w:type="spellStart"/>
            <w:r>
              <w:t>R</w:t>
            </w:r>
            <w:r w:rsidRPr="00715172">
              <w:t>edcastle</w:t>
            </w:r>
            <w:proofErr w:type="spellEnd"/>
            <w:r w:rsidRPr="00715172">
              <w:t xml:space="preserve">, </w:t>
            </w:r>
            <w:r>
              <w:t>M</w:t>
            </w:r>
            <w:r w:rsidRPr="00715172">
              <w:t xml:space="preserve">uir or </w:t>
            </w:r>
            <w:r>
              <w:t>O</w:t>
            </w:r>
            <w:r w:rsidRPr="00715172">
              <w:t xml:space="preserve">rd </w:t>
            </w:r>
          </w:p>
        </w:tc>
        <w:tc>
          <w:tcPr>
            <w:tcW w:w="1444" w:type="dxa"/>
          </w:tcPr>
          <w:p w:rsidR="00813903" w:rsidRDefault="00813903" w:rsidP="00255F1E">
            <w:pPr>
              <w:tabs>
                <w:tab w:val="left" w:pos="5400"/>
              </w:tabs>
            </w:pPr>
            <w:r>
              <w:t>£</w:t>
            </w:r>
            <w:r w:rsidRPr="00715172">
              <w:t>2577.46</w:t>
            </w:r>
          </w:p>
        </w:tc>
      </w:tr>
      <w:tr w:rsidR="00813903" w:rsidTr="00813903">
        <w:tc>
          <w:tcPr>
            <w:tcW w:w="1519" w:type="dxa"/>
          </w:tcPr>
          <w:p w:rsidR="00813903" w:rsidRDefault="00813903" w:rsidP="00255F1E">
            <w:pPr>
              <w:tabs>
                <w:tab w:val="left" w:pos="5400"/>
              </w:tabs>
            </w:pPr>
            <w:r>
              <w:t>Stornoway</w:t>
            </w:r>
          </w:p>
        </w:tc>
        <w:tc>
          <w:tcPr>
            <w:tcW w:w="4765" w:type="dxa"/>
          </w:tcPr>
          <w:p w:rsidR="00813903" w:rsidRDefault="00813903" w:rsidP="00813903">
            <w:pPr>
              <w:tabs>
                <w:tab w:val="left" w:pos="5400"/>
              </w:tabs>
            </w:pPr>
            <w:r>
              <w:t>F</w:t>
            </w:r>
            <w:r w:rsidRPr="00715172">
              <w:t xml:space="preserve">ord </w:t>
            </w:r>
            <w:r>
              <w:t>V</w:t>
            </w:r>
            <w:r w:rsidRPr="00715172">
              <w:t xml:space="preserve">iew, </w:t>
            </w:r>
            <w:r>
              <w:t>T</w:t>
            </w:r>
            <w:r w:rsidRPr="00715172">
              <w:t xml:space="preserve">ong, </w:t>
            </w:r>
            <w:r>
              <w:t>I</w:t>
            </w:r>
            <w:r w:rsidRPr="00715172">
              <w:t xml:space="preserve">sle of </w:t>
            </w:r>
            <w:r>
              <w:t>L</w:t>
            </w:r>
            <w:r w:rsidRPr="00715172">
              <w:t>ewis</w:t>
            </w:r>
          </w:p>
        </w:tc>
        <w:tc>
          <w:tcPr>
            <w:tcW w:w="1444" w:type="dxa"/>
          </w:tcPr>
          <w:p w:rsidR="00813903" w:rsidRDefault="00813903" w:rsidP="00255F1E">
            <w:pPr>
              <w:tabs>
                <w:tab w:val="left" w:pos="5400"/>
              </w:tabs>
            </w:pPr>
            <w:r>
              <w:t>0</w:t>
            </w:r>
          </w:p>
        </w:tc>
        <w:bookmarkStart w:id="0" w:name="_GoBack"/>
        <w:bookmarkEnd w:id="0"/>
      </w:tr>
    </w:tbl>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17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17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1517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70D15"/>
    <w:rsid w:val="00715172"/>
    <w:rsid w:val="00750D83"/>
    <w:rsid w:val="00793DD5"/>
    <w:rsid w:val="007D55F6"/>
    <w:rsid w:val="007F490F"/>
    <w:rsid w:val="00813903"/>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103">
      <w:bodyDiv w:val="1"/>
      <w:marLeft w:val="0"/>
      <w:marRight w:val="0"/>
      <w:marTop w:val="0"/>
      <w:marBottom w:val="0"/>
      <w:divBdr>
        <w:top w:val="none" w:sz="0" w:space="0" w:color="auto"/>
        <w:left w:val="none" w:sz="0" w:space="0" w:color="auto"/>
        <w:bottom w:val="none" w:sz="0" w:space="0" w:color="auto"/>
        <w:right w:val="none" w:sz="0" w:space="0" w:color="auto"/>
      </w:divBdr>
    </w:div>
    <w:div w:id="266081407">
      <w:bodyDiv w:val="1"/>
      <w:marLeft w:val="0"/>
      <w:marRight w:val="0"/>
      <w:marTop w:val="0"/>
      <w:marBottom w:val="0"/>
      <w:divBdr>
        <w:top w:val="none" w:sz="0" w:space="0" w:color="auto"/>
        <w:left w:val="none" w:sz="0" w:space="0" w:color="auto"/>
        <w:bottom w:val="none" w:sz="0" w:space="0" w:color="auto"/>
        <w:right w:val="none" w:sz="0" w:space="0" w:color="auto"/>
      </w:divBdr>
    </w:div>
    <w:div w:id="368728325">
      <w:bodyDiv w:val="1"/>
      <w:marLeft w:val="0"/>
      <w:marRight w:val="0"/>
      <w:marTop w:val="0"/>
      <w:marBottom w:val="0"/>
      <w:divBdr>
        <w:top w:val="none" w:sz="0" w:space="0" w:color="auto"/>
        <w:left w:val="none" w:sz="0" w:space="0" w:color="auto"/>
        <w:bottom w:val="none" w:sz="0" w:space="0" w:color="auto"/>
        <w:right w:val="none" w:sz="0" w:space="0" w:color="auto"/>
      </w:divBdr>
    </w:div>
    <w:div w:id="1293440983">
      <w:bodyDiv w:val="1"/>
      <w:marLeft w:val="0"/>
      <w:marRight w:val="0"/>
      <w:marTop w:val="0"/>
      <w:marBottom w:val="0"/>
      <w:divBdr>
        <w:top w:val="none" w:sz="0" w:space="0" w:color="auto"/>
        <w:left w:val="none" w:sz="0" w:space="0" w:color="auto"/>
        <w:bottom w:val="none" w:sz="0" w:space="0" w:color="auto"/>
        <w:right w:val="none" w:sz="0" w:space="0" w:color="auto"/>
      </w:divBdr>
    </w:div>
    <w:div w:id="1615139488">
      <w:bodyDiv w:val="1"/>
      <w:marLeft w:val="0"/>
      <w:marRight w:val="0"/>
      <w:marTop w:val="0"/>
      <w:marBottom w:val="0"/>
      <w:divBdr>
        <w:top w:val="none" w:sz="0" w:space="0" w:color="auto"/>
        <w:left w:val="none" w:sz="0" w:space="0" w:color="auto"/>
        <w:bottom w:val="none" w:sz="0" w:space="0" w:color="auto"/>
        <w:right w:val="none" w:sz="0" w:space="0" w:color="auto"/>
      </w:divBdr>
    </w:div>
    <w:div w:id="1734622030">
      <w:bodyDiv w:val="1"/>
      <w:marLeft w:val="0"/>
      <w:marRight w:val="0"/>
      <w:marTop w:val="0"/>
      <w:marBottom w:val="0"/>
      <w:divBdr>
        <w:top w:val="none" w:sz="0" w:space="0" w:color="auto"/>
        <w:left w:val="none" w:sz="0" w:space="0" w:color="auto"/>
        <w:bottom w:val="none" w:sz="0" w:space="0" w:color="auto"/>
        <w:right w:val="none" w:sz="0" w:space="0" w:color="auto"/>
      </w:divBdr>
    </w:div>
    <w:div w:id="2060932868">
      <w:bodyDiv w:val="1"/>
      <w:marLeft w:val="0"/>
      <w:marRight w:val="0"/>
      <w:marTop w:val="0"/>
      <w:marBottom w:val="0"/>
      <w:divBdr>
        <w:top w:val="none" w:sz="0" w:space="0" w:color="auto"/>
        <w:left w:val="none" w:sz="0" w:space="0" w:color="auto"/>
        <w:bottom w:val="none" w:sz="0" w:space="0" w:color="auto"/>
        <w:right w:val="none" w:sz="0" w:space="0" w:color="auto"/>
      </w:divBdr>
    </w:div>
    <w:div w:id="20973575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289</Words>
  <Characters>1653</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