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17D197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C1400">
              <w:t>25</w:t>
            </w:r>
            <w:r w:rsidR="00B337CE">
              <w:t>61</w:t>
            </w:r>
          </w:p>
          <w:p w14:paraId="34BDABA6" w14:textId="5EDD098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86C13">
              <w:t>18</w:t>
            </w:r>
            <w:r w:rsidR="006D5799">
              <w:t xml:space="preserve"> </w:t>
            </w:r>
            <w:r w:rsidR="00B949C2">
              <w:t xml:space="preserve">September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DD222EB" w14:textId="77777777" w:rsidR="003476CA" w:rsidRPr="003476CA" w:rsidRDefault="003476CA" w:rsidP="003476C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476CA">
        <w:rPr>
          <w:rFonts w:eastAsiaTheme="majorEastAsia" w:cstheme="majorBidi"/>
          <w:b/>
          <w:color w:val="000000" w:themeColor="text1"/>
          <w:szCs w:val="26"/>
        </w:rPr>
        <w:t>Thank you for your response to FOI request 25-2149 dated 6 August 2025.</w:t>
      </w:r>
    </w:p>
    <w:p w14:paraId="5F4C21B2" w14:textId="77777777" w:rsidR="003476CA" w:rsidRPr="003476CA" w:rsidRDefault="003476CA" w:rsidP="003476C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476CA">
        <w:rPr>
          <w:rFonts w:eastAsiaTheme="majorEastAsia" w:cstheme="majorBidi"/>
          <w:b/>
          <w:color w:val="000000" w:themeColor="text1"/>
          <w:szCs w:val="26"/>
        </w:rPr>
        <w:t>I write in honour and lawful standing to respectfully seek further clarification regarding Police Scotland’s procurement practices, data protection oversight, and corporate governance.</w:t>
      </w:r>
    </w:p>
    <w:p w14:paraId="7FE9B659" w14:textId="77777777" w:rsidR="003476CA" w:rsidRPr="003476CA" w:rsidRDefault="003476CA" w:rsidP="003476CA">
      <w:pPr>
        <w:tabs>
          <w:tab w:val="left" w:pos="5400"/>
        </w:tabs>
        <w:ind w:left="142" w:hanging="142"/>
        <w:rPr>
          <w:rFonts w:eastAsiaTheme="majorEastAsia" w:cstheme="majorBidi"/>
          <w:b/>
          <w:color w:val="000000" w:themeColor="text1"/>
          <w:szCs w:val="26"/>
        </w:rPr>
      </w:pPr>
      <w:r w:rsidRPr="003476CA">
        <w:rPr>
          <w:rFonts w:eastAsiaTheme="majorEastAsia" w:cstheme="majorBidi"/>
          <w:b/>
          <w:color w:val="000000" w:themeColor="text1"/>
          <w:szCs w:val="26"/>
        </w:rPr>
        <w:t>1. Data Protection Impact Assessments (DPIAs)  </w:t>
      </w:r>
    </w:p>
    <w:p w14:paraId="44055F08" w14:textId="77777777" w:rsidR="003476CA" w:rsidRPr="003476CA" w:rsidRDefault="003476CA" w:rsidP="003476C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476CA">
        <w:rPr>
          <w:rFonts w:eastAsiaTheme="majorEastAsia" w:cstheme="majorBidi"/>
          <w:b/>
          <w:color w:val="000000" w:themeColor="text1"/>
          <w:szCs w:val="26"/>
        </w:rPr>
        <w:t>Your response confirms that lower-value contracts are not routinely assessed for harm prior to publication. I respectfully ask:</w:t>
      </w:r>
    </w:p>
    <w:p w14:paraId="436C7AD2" w14:textId="365B46AF" w:rsidR="003476CA" w:rsidRPr="003476CA" w:rsidRDefault="003476CA" w:rsidP="003476CA">
      <w:pPr>
        <w:tabs>
          <w:tab w:val="left" w:pos="5400"/>
        </w:tabs>
        <w:ind w:left="142" w:hanging="142"/>
        <w:rPr>
          <w:rFonts w:eastAsiaTheme="majorEastAsia" w:cstheme="majorBidi"/>
          <w:b/>
          <w:color w:val="000000" w:themeColor="text1"/>
          <w:szCs w:val="26"/>
        </w:rPr>
      </w:pPr>
      <w:r w:rsidRPr="003476CA">
        <w:rPr>
          <w:rFonts w:eastAsiaTheme="majorEastAsia" w:cstheme="majorBidi"/>
          <w:b/>
          <w:color w:val="000000" w:themeColor="text1"/>
          <w:szCs w:val="26"/>
        </w:rPr>
        <w:t>Has Police Scotland conducted DPIAs for contracts involving:</w:t>
      </w:r>
    </w:p>
    <w:p w14:paraId="33B0A015" w14:textId="77777777" w:rsidR="003476CA" w:rsidRPr="003476CA" w:rsidRDefault="003476CA" w:rsidP="003476CA">
      <w:pPr>
        <w:tabs>
          <w:tab w:val="left" w:pos="5400"/>
        </w:tabs>
        <w:ind w:left="709" w:hanging="709"/>
        <w:rPr>
          <w:rFonts w:eastAsiaTheme="majorEastAsia" w:cstheme="majorBidi"/>
          <w:b/>
          <w:color w:val="000000" w:themeColor="text1"/>
          <w:szCs w:val="26"/>
        </w:rPr>
      </w:pPr>
      <w:r w:rsidRPr="003476CA">
        <w:rPr>
          <w:rFonts w:eastAsiaTheme="majorEastAsia" w:cstheme="majorBidi"/>
          <w:b/>
          <w:color w:val="000000" w:themeColor="text1"/>
          <w:szCs w:val="26"/>
        </w:rPr>
        <w:t>  - Surveillance technology (e.g. facial recognition, ANPR, biometric systems)  </w:t>
      </w:r>
    </w:p>
    <w:p w14:paraId="19FA1EA5" w14:textId="77777777" w:rsidR="003476CA" w:rsidRPr="003476CA" w:rsidRDefault="003476CA" w:rsidP="003476CA">
      <w:pPr>
        <w:tabs>
          <w:tab w:val="left" w:pos="5400"/>
        </w:tabs>
        <w:ind w:left="709" w:hanging="709"/>
        <w:rPr>
          <w:rFonts w:eastAsiaTheme="majorEastAsia" w:cstheme="majorBidi"/>
          <w:b/>
          <w:color w:val="000000" w:themeColor="text1"/>
          <w:szCs w:val="26"/>
        </w:rPr>
      </w:pPr>
      <w:r w:rsidRPr="003476CA">
        <w:rPr>
          <w:rFonts w:eastAsiaTheme="majorEastAsia" w:cstheme="majorBidi"/>
          <w:b/>
          <w:color w:val="000000" w:themeColor="text1"/>
          <w:szCs w:val="26"/>
        </w:rPr>
        <w:t>  - Cloud platforms, data analytics, or third-party IT infrastructure  </w:t>
      </w:r>
    </w:p>
    <w:p w14:paraId="2B7671B1" w14:textId="77777777" w:rsidR="003476CA" w:rsidRPr="003476CA" w:rsidRDefault="003476CA" w:rsidP="003476CA">
      <w:pPr>
        <w:tabs>
          <w:tab w:val="left" w:pos="5400"/>
        </w:tabs>
        <w:ind w:left="709" w:hanging="709"/>
        <w:rPr>
          <w:rFonts w:eastAsiaTheme="majorEastAsia" w:cstheme="majorBidi"/>
          <w:b/>
          <w:color w:val="000000" w:themeColor="text1"/>
          <w:szCs w:val="26"/>
        </w:rPr>
      </w:pPr>
      <w:r w:rsidRPr="003476CA">
        <w:rPr>
          <w:rFonts w:eastAsiaTheme="majorEastAsia" w:cstheme="majorBidi"/>
          <w:b/>
          <w:color w:val="000000" w:themeColor="text1"/>
          <w:szCs w:val="26"/>
        </w:rPr>
        <w:t>  - Community engagement or training systems involving personal data  </w:t>
      </w:r>
    </w:p>
    <w:p w14:paraId="1A8FD54C" w14:textId="3D63B240" w:rsidR="0097651E" w:rsidRDefault="005577ED" w:rsidP="0097651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We have conducted a search of our Data Protection Impact Assessment (DPIA) register using the following key words: Surveillance Cloud, Community, Facial Recognition, ANPR, Biometric Systems, Data analytics, Training</w:t>
      </w:r>
      <w:r w:rsidR="006A1CA0">
        <w:rPr>
          <w:rFonts w:eastAsiaTheme="majorEastAsia" w:cstheme="majorBidi"/>
          <w:bCs/>
          <w:color w:val="000000" w:themeColor="text1"/>
          <w:szCs w:val="26"/>
        </w:rPr>
        <w:t xml:space="preserve"> and can confirm we have DPIAs registered against each term. </w:t>
      </w:r>
      <w:r w:rsidR="0097651E" w:rsidRPr="0097651E">
        <w:rPr>
          <w:rFonts w:eastAsiaTheme="majorEastAsia" w:cstheme="majorBidi"/>
          <w:bCs/>
          <w:color w:val="000000" w:themeColor="text1"/>
          <w:szCs w:val="26"/>
        </w:rPr>
        <w:t xml:space="preserve">This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provides </w:t>
      </w:r>
      <w:r w:rsidR="0097651E" w:rsidRPr="0097651E">
        <w:rPr>
          <w:rFonts w:eastAsiaTheme="majorEastAsia" w:cstheme="majorBidi"/>
          <w:bCs/>
          <w:color w:val="000000" w:themeColor="text1"/>
          <w:szCs w:val="26"/>
        </w:rPr>
        <w:t>evidence that the examples quoted are subject to the same Data Protection governance as any other, and that the same Lawful Bases apply w</w:t>
      </w:r>
      <w:r w:rsidR="00B949C2">
        <w:rPr>
          <w:rFonts w:eastAsiaTheme="majorEastAsia" w:cstheme="majorBidi"/>
          <w:bCs/>
          <w:color w:val="000000" w:themeColor="text1"/>
          <w:szCs w:val="26"/>
        </w:rPr>
        <w:t xml:space="preserve">ith regard to: </w:t>
      </w:r>
      <w:hyperlink r:id="rId11" w:history="1">
        <w:r w:rsidR="0097651E" w:rsidRPr="0097651E">
          <w:rPr>
            <w:rStyle w:val="Hyperlink"/>
            <w:rFonts w:eastAsiaTheme="majorEastAsia" w:cstheme="majorBidi"/>
            <w:bCs/>
            <w:szCs w:val="26"/>
          </w:rPr>
          <w:t>UK GDPR Article 6</w:t>
        </w:r>
      </w:hyperlink>
      <w:r w:rsidR="0097651E" w:rsidRPr="0097651E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7346BA16" w14:textId="77777777" w:rsidR="00943F1F" w:rsidRPr="0097651E" w:rsidRDefault="00943F1F" w:rsidP="0097651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79F44D4B" w14:textId="17816A5D" w:rsidR="003476CA" w:rsidRPr="003476CA" w:rsidRDefault="003476CA" w:rsidP="0097651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476CA">
        <w:rPr>
          <w:rFonts w:eastAsiaTheme="majorEastAsia" w:cstheme="majorBidi"/>
          <w:b/>
          <w:color w:val="000000" w:themeColor="text1"/>
          <w:szCs w:val="26"/>
        </w:rPr>
        <w:t>If DPIAs have not been conducted, please confirm the lawful basis under GDPR</w:t>
      </w:r>
      <w:r w:rsidR="0097651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3476CA">
        <w:rPr>
          <w:rFonts w:eastAsiaTheme="majorEastAsia" w:cstheme="majorBidi"/>
          <w:b/>
          <w:color w:val="000000" w:themeColor="text1"/>
          <w:szCs w:val="26"/>
        </w:rPr>
        <w:t>Article 6 and Article 35 for processing personal data via these systems.</w:t>
      </w:r>
    </w:p>
    <w:p w14:paraId="27AC3959" w14:textId="3B1A9371" w:rsidR="0097651E" w:rsidRPr="0097651E" w:rsidRDefault="005577ED" w:rsidP="0097651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Please note, </w:t>
      </w:r>
      <w:r w:rsidR="0097651E" w:rsidRPr="0097651E">
        <w:rPr>
          <w:rFonts w:eastAsiaTheme="majorEastAsia" w:cstheme="majorBidi"/>
          <w:bCs/>
          <w:color w:val="000000" w:themeColor="text1"/>
          <w:szCs w:val="26"/>
        </w:rPr>
        <w:t xml:space="preserve">the published guidance for the initiation of a DPIA makes no mention at all of the value of a Contract, but does mention risk to the data protection rights of any person </w:t>
      </w:r>
      <w:r w:rsidR="0097651E" w:rsidRPr="0097651E">
        <w:rPr>
          <w:rFonts w:eastAsiaTheme="majorEastAsia" w:cstheme="majorBidi"/>
          <w:bCs/>
          <w:color w:val="000000" w:themeColor="text1"/>
          <w:szCs w:val="26"/>
        </w:rPr>
        <w:lastRenderedPageBreak/>
        <w:t>whose data is being processed by P</w:t>
      </w:r>
      <w:r>
        <w:rPr>
          <w:rFonts w:eastAsiaTheme="majorEastAsia" w:cstheme="majorBidi"/>
          <w:bCs/>
          <w:color w:val="000000" w:themeColor="text1"/>
          <w:szCs w:val="26"/>
        </w:rPr>
        <w:t>olice Service of Scotland (P</w:t>
      </w:r>
      <w:r w:rsidR="0097651E" w:rsidRPr="0097651E">
        <w:rPr>
          <w:rFonts w:eastAsiaTheme="majorEastAsia" w:cstheme="majorBidi"/>
          <w:bCs/>
          <w:color w:val="000000" w:themeColor="text1"/>
          <w:szCs w:val="26"/>
        </w:rPr>
        <w:t>SoS</w:t>
      </w:r>
      <w:r>
        <w:rPr>
          <w:rFonts w:eastAsiaTheme="majorEastAsia" w:cstheme="majorBidi"/>
          <w:bCs/>
          <w:color w:val="000000" w:themeColor="text1"/>
          <w:szCs w:val="26"/>
        </w:rPr>
        <w:t>)</w:t>
      </w:r>
      <w:r w:rsidR="0097651E" w:rsidRPr="0097651E">
        <w:rPr>
          <w:rFonts w:eastAsiaTheme="majorEastAsia" w:cstheme="majorBidi"/>
          <w:bCs/>
          <w:color w:val="000000" w:themeColor="text1"/>
          <w:szCs w:val="26"/>
        </w:rPr>
        <w:t>, and adherence to the Data Protection Principles.  The published guidance may be seen here:</w:t>
      </w:r>
    </w:p>
    <w:p w14:paraId="293B63B6" w14:textId="77777777" w:rsidR="0097651E" w:rsidRPr="0097651E" w:rsidRDefault="0097651E" w:rsidP="0097651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7651E">
        <w:rPr>
          <w:rFonts w:eastAsiaTheme="majorEastAsia" w:cstheme="majorBidi"/>
          <w:bCs/>
          <w:color w:val="000000" w:themeColor="text1"/>
          <w:szCs w:val="26"/>
        </w:rPr>
        <w:t xml:space="preserve">DPIAs - Section 7.6 of </w:t>
      </w:r>
      <w:hyperlink r:id="rId12" w:history="1">
        <w:r w:rsidRPr="0097651E">
          <w:rPr>
            <w:rStyle w:val="Hyperlink"/>
            <w:rFonts w:eastAsiaTheme="majorEastAsia" w:cstheme="majorBidi"/>
            <w:bCs/>
            <w:szCs w:val="26"/>
          </w:rPr>
          <w:t>Information Sharing SOP</w:t>
        </w:r>
      </w:hyperlink>
    </w:p>
    <w:p w14:paraId="7F422743" w14:textId="77777777" w:rsidR="0097651E" w:rsidRPr="0097651E" w:rsidRDefault="0097651E" w:rsidP="0097651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7651E">
        <w:rPr>
          <w:rFonts w:eastAsiaTheme="majorEastAsia" w:cstheme="majorBidi"/>
          <w:bCs/>
          <w:color w:val="000000" w:themeColor="text1"/>
          <w:szCs w:val="26"/>
        </w:rPr>
        <w:t xml:space="preserve">DPIAs - Section 13 of </w:t>
      </w:r>
      <w:hyperlink r:id="rId13" w:history="1">
        <w:r w:rsidRPr="0097651E">
          <w:rPr>
            <w:rStyle w:val="Hyperlink"/>
            <w:rFonts w:eastAsiaTheme="majorEastAsia" w:cstheme="majorBidi"/>
            <w:bCs/>
            <w:szCs w:val="26"/>
          </w:rPr>
          <w:t>Data Protection SOP</w:t>
        </w:r>
      </w:hyperlink>
    </w:p>
    <w:p w14:paraId="390E235D" w14:textId="611B9A68" w:rsidR="0097651E" w:rsidRPr="0097651E" w:rsidRDefault="0097651E" w:rsidP="0097651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D</w:t>
      </w:r>
      <w:r w:rsidRPr="0097651E">
        <w:rPr>
          <w:rFonts w:eastAsiaTheme="majorEastAsia" w:cstheme="majorBidi"/>
          <w:bCs/>
          <w:color w:val="000000" w:themeColor="text1"/>
          <w:szCs w:val="26"/>
        </w:rPr>
        <w:t xml:space="preserve">ata Protection Principles – Section 5 of </w:t>
      </w:r>
      <w:hyperlink r:id="rId14" w:history="1">
        <w:r w:rsidRPr="0097651E">
          <w:rPr>
            <w:rStyle w:val="Hyperlink"/>
            <w:rFonts w:eastAsiaTheme="majorEastAsia" w:cstheme="majorBidi"/>
            <w:bCs/>
            <w:szCs w:val="26"/>
          </w:rPr>
          <w:t>Data Protection SOP</w:t>
        </w:r>
      </w:hyperlink>
    </w:p>
    <w:p w14:paraId="45AE291F" w14:textId="48B780EA" w:rsidR="0097651E" w:rsidRDefault="0097651E" w:rsidP="0097651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7651E">
        <w:rPr>
          <w:rFonts w:eastAsiaTheme="majorEastAsia" w:cstheme="majorBidi"/>
          <w:bCs/>
          <w:color w:val="000000" w:themeColor="text1"/>
          <w:szCs w:val="26"/>
        </w:rPr>
        <w:t xml:space="preserve">I should note that </w:t>
      </w:r>
      <w:hyperlink r:id="rId15" w:history="1">
        <w:r w:rsidRPr="0097651E">
          <w:rPr>
            <w:rStyle w:val="Hyperlink"/>
            <w:rFonts w:eastAsiaTheme="majorEastAsia" w:cstheme="majorBidi"/>
            <w:bCs/>
            <w:szCs w:val="26"/>
          </w:rPr>
          <w:t>UK GDPR Article 35</w:t>
        </w:r>
      </w:hyperlink>
      <w:r w:rsidRPr="0097651E">
        <w:rPr>
          <w:rFonts w:eastAsiaTheme="majorEastAsia" w:cstheme="majorBidi"/>
          <w:bCs/>
          <w:color w:val="000000" w:themeColor="text1"/>
          <w:szCs w:val="26"/>
        </w:rPr>
        <w:t xml:space="preserve"> does</w:t>
      </w:r>
      <w:r w:rsidR="00B949C2">
        <w:rPr>
          <w:rFonts w:eastAsiaTheme="majorEastAsia" w:cstheme="majorBidi"/>
          <w:bCs/>
          <w:color w:val="000000" w:themeColor="text1"/>
          <w:szCs w:val="26"/>
        </w:rPr>
        <w:t xml:space="preserve"> not </w:t>
      </w:r>
      <w:r w:rsidRPr="0097651E">
        <w:rPr>
          <w:rFonts w:eastAsiaTheme="majorEastAsia" w:cstheme="majorBidi"/>
          <w:bCs/>
          <w:color w:val="000000" w:themeColor="text1"/>
          <w:szCs w:val="26"/>
        </w:rPr>
        <w:t>provide Lawful Bases for processing as it states the obligation and requirements to conduct a DPIA.</w:t>
      </w:r>
    </w:p>
    <w:p w14:paraId="45500916" w14:textId="77777777" w:rsidR="006A1CA0" w:rsidRDefault="006A1CA0" w:rsidP="003476CA">
      <w:pPr>
        <w:tabs>
          <w:tab w:val="left" w:pos="5400"/>
        </w:tabs>
        <w:ind w:left="142" w:hanging="142"/>
        <w:rPr>
          <w:rFonts w:eastAsiaTheme="majorEastAsia" w:cstheme="majorBidi"/>
          <w:b/>
          <w:color w:val="000000" w:themeColor="text1"/>
          <w:szCs w:val="26"/>
        </w:rPr>
      </w:pPr>
    </w:p>
    <w:p w14:paraId="1A4806AF" w14:textId="7912122C" w:rsidR="003476CA" w:rsidRPr="003476CA" w:rsidRDefault="003476CA" w:rsidP="003476CA">
      <w:pPr>
        <w:tabs>
          <w:tab w:val="left" w:pos="5400"/>
        </w:tabs>
        <w:ind w:left="142" w:hanging="142"/>
        <w:rPr>
          <w:rFonts w:eastAsiaTheme="majorEastAsia" w:cstheme="majorBidi"/>
          <w:b/>
          <w:color w:val="000000" w:themeColor="text1"/>
          <w:szCs w:val="26"/>
        </w:rPr>
      </w:pPr>
      <w:r w:rsidRPr="003476CA">
        <w:rPr>
          <w:rFonts w:eastAsiaTheme="majorEastAsia" w:cstheme="majorBidi"/>
          <w:b/>
          <w:color w:val="000000" w:themeColor="text1"/>
          <w:szCs w:val="26"/>
        </w:rPr>
        <w:t>2. Corporate Identity and Legal Personality  </w:t>
      </w:r>
    </w:p>
    <w:p w14:paraId="583536FF" w14:textId="6FC2105B" w:rsidR="003476CA" w:rsidRPr="003476CA" w:rsidRDefault="003476CA" w:rsidP="003476CA">
      <w:pPr>
        <w:tabs>
          <w:tab w:val="left" w:pos="5400"/>
        </w:tabs>
        <w:ind w:left="142" w:hanging="142"/>
        <w:rPr>
          <w:rFonts w:eastAsiaTheme="majorEastAsia" w:cstheme="majorBidi"/>
          <w:b/>
          <w:color w:val="000000" w:themeColor="text1"/>
          <w:szCs w:val="26"/>
        </w:rPr>
      </w:pPr>
      <w:r w:rsidRPr="003476CA">
        <w:rPr>
          <w:rFonts w:eastAsiaTheme="majorEastAsia" w:cstheme="majorBidi"/>
          <w:b/>
          <w:color w:val="000000" w:themeColor="text1"/>
          <w:szCs w:val="26"/>
        </w:rPr>
        <w:t>Ple</w:t>
      </w:r>
      <w:r>
        <w:rPr>
          <w:rFonts w:eastAsiaTheme="majorEastAsia" w:cstheme="majorBidi"/>
          <w:b/>
          <w:color w:val="000000" w:themeColor="text1"/>
          <w:szCs w:val="26"/>
        </w:rPr>
        <w:t>a</w:t>
      </w:r>
      <w:r w:rsidRPr="003476CA">
        <w:rPr>
          <w:rFonts w:eastAsiaTheme="majorEastAsia" w:cstheme="majorBidi"/>
          <w:b/>
          <w:color w:val="000000" w:themeColor="text1"/>
          <w:szCs w:val="26"/>
        </w:rPr>
        <w:t>se confirm:</w:t>
      </w:r>
    </w:p>
    <w:p w14:paraId="68CAAC4C" w14:textId="0F907565" w:rsidR="003476CA" w:rsidRDefault="003476CA" w:rsidP="005342F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476CA">
        <w:rPr>
          <w:rFonts w:eastAsiaTheme="majorEastAsia" w:cstheme="majorBidi"/>
          <w:b/>
          <w:color w:val="000000" w:themeColor="text1"/>
          <w:szCs w:val="26"/>
        </w:rPr>
        <w:t>Whether Police Scotland or the Scottish Police Authority holds a Legal Entity</w:t>
      </w:r>
      <w:r w:rsidR="005342FC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3476CA">
        <w:rPr>
          <w:rFonts w:eastAsiaTheme="majorEastAsia" w:cstheme="majorBidi"/>
          <w:b/>
          <w:color w:val="000000" w:themeColor="text1"/>
          <w:szCs w:val="26"/>
        </w:rPr>
        <w:t>Identifier (LEI), D-U-N-S® number, or Companies House registration  </w:t>
      </w:r>
    </w:p>
    <w:p w14:paraId="2FCE068F" w14:textId="251E7DB6" w:rsidR="006A1CA0" w:rsidRPr="00593FBA" w:rsidRDefault="005342FC" w:rsidP="006A1CA0">
      <w:pPr>
        <w:tabs>
          <w:tab w:val="left" w:pos="5400"/>
        </w:tabs>
        <w:rPr>
          <w:rFonts w:eastAsiaTheme="majorEastAsia" w:cstheme="majorBidi"/>
          <w:bCs/>
          <w:szCs w:val="26"/>
        </w:rPr>
      </w:pPr>
      <w:r w:rsidRPr="005342FC">
        <w:rPr>
          <w:rFonts w:eastAsiaTheme="majorEastAsia" w:cstheme="majorBidi"/>
          <w:bCs/>
          <w:color w:val="000000" w:themeColor="text1"/>
          <w:szCs w:val="26"/>
        </w:rPr>
        <w:t xml:space="preserve">Neither </w:t>
      </w:r>
      <w:r w:rsidR="006A1CA0" w:rsidRPr="006A1CA0">
        <w:rPr>
          <w:rFonts w:eastAsiaTheme="majorEastAsia" w:cstheme="majorBidi"/>
          <w:bCs/>
          <w:color w:val="000000" w:themeColor="text1"/>
          <w:szCs w:val="26"/>
        </w:rPr>
        <w:t xml:space="preserve">Police Scotland nor </w:t>
      </w:r>
      <w:r w:rsidRPr="005342FC">
        <w:rPr>
          <w:rFonts w:eastAsiaTheme="majorEastAsia" w:cstheme="majorBidi"/>
          <w:bCs/>
          <w:color w:val="000000" w:themeColor="text1"/>
          <w:szCs w:val="26"/>
        </w:rPr>
        <w:t>the Scottish Police Authority hold a Legal Entity</w:t>
      </w:r>
      <w:r w:rsidRPr="006A1CA0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5342FC">
        <w:rPr>
          <w:rFonts w:eastAsiaTheme="majorEastAsia" w:cstheme="majorBidi"/>
          <w:bCs/>
          <w:color w:val="000000" w:themeColor="text1"/>
          <w:szCs w:val="26"/>
        </w:rPr>
        <w:t>Identifier</w:t>
      </w:r>
      <w:r w:rsidR="006A1CA0">
        <w:rPr>
          <w:rFonts w:eastAsiaTheme="majorEastAsia" w:cstheme="majorBidi"/>
          <w:bCs/>
          <w:color w:val="000000" w:themeColor="text1"/>
          <w:szCs w:val="26"/>
        </w:rPr>
        <w:t xml:space="preserve">, nor </w:t>
      </w:r>
      <w:r w:rsidR="006A1CA0" w:rsidRPr="00593FBA">
        <w:rPr>
          <w:rFonts w:eastAsiaTheme="majorEastAsia" w:cstheme="majorBidi"/>
          <w:bCs/>
          <w:szCs w:val="26"/>
        </w:rPr>
        <w:t>are they registered on Companies House.</w:t>
      </w:r>
    </w:p>
    <w:p w14:paraId="749C814A" w14:textId="0175B462" w:rsidR="00FA5628" w:rsidRDefault="00FA5628" w:rsidP="00FA5628">
      <w:pPr>
        <w:tabs>
          <w:tab w:val="left" w:pos="5400"/>
        </w:tabs>
        <w:rPr>
          <w:rFonts w:eastAsiaTheme="majorEastAsia" w:cstheme="majorBidi"/>
          <w:bCs/>
          <w:szCs w:val="26"/>
        </w:rPr>
      </w:pPr>
      <w:r w:rsidRPr="00593FBA">
        <w:rPr>
          <w:rFonts w:eastAsiaTheme="majorEastAsia" w:cstheme="majorBidi"/>
          <w:bCs/>
          <w:szCs w:val="26"/>
        </w:rPr>
        <w:t xml:space="preserve">We </w:t>
      </w:r>
      <w:r w:rsidR="00593FBA">
        <w:rPr>
          <w:rFonts w:eastAsiaTheme="majorEastAsia" w:cstheme="majorBidi"/>
          <w:bCs/>
          <w:szCs w:val="26"/>
        </w:rPr>
        <w:t xml:space="preserve">do not hold any information </w:t>
      </w:r>
      <w:r w:rsidRPr="00593FBA">
        <w:rPr>
          <w:rFonts w:eastAsiaTheme="majorEastAsia" w:cstheme="majorBidi"/>
          <w:bCs/>
          <w:szCs w:val="26"/>
        </w:rPr>
        <w:t>in relation to this part of your request and section 17 of the Act</w:t>
      </w:r>
      <w:r w:rsidR="00593FBA">
        <w:rPr>
          <w:rFonts w:eastAsiaTheme="majorEastAsia" w:cstheme="majorBidi"/>
          <w:bCs/>
          <w:szCs w:val="26"/>
        </w:rPr>
        <w:t xml:space="preserve"> therefore</w:t>
      </w:r>
      <w:r w:rsidRPr="00593FBA">
        <w:rPr>
          <w:rFonts w:eastAsiaTheme="majorEastAsia" w:cstheme="majorBidi"/>
          <w:bCs/>
          <w:szCs w:val="26"/>
        </w:rPr>
        <w:t xml:space="preserve"> applies. </w:t>
      </w:r>
    </w:p>
    <w:p w14:paraId="59E8A415" w14:textId="77777777" w:rsidR="00943F1F" w:rsidRPr="00593FBA" w:rsidRDefault="00943F1F" w:rsidP="00FA5628">
      <w:pPr>
        <w:tabs>
          <w:tab w:val="left" w:pos="5400"/>
        </w:tabs>
        <w:rPr>
          <w:rFonts w:eastAsiaTheme="majorEastAsia" w:cstheme="majorBidi"/>
          <w:bCs/>
          <w:szCs w:val="26"/>
        </w:rPr>
      </w:pPr>
    </w:p>
    <w:p w14:paraId="50ABCCDA" w14:textId="77777777" w:rsidR="005342FC" w:rsidRDefault="003476CA" w:rsidP="005342F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476CA">
        <w:rPr>
          <w:rFonts w:eastAsiaTheme="majorEastAsia" w:cstheme="majorBidi"/>
          <w:b/>
          <w:color w:val="000000" w:themeColor="text1"/>
          <w:szCs w:val="26"/>
        </w:rPr>
        <w:t>Whether enforcement actions are carried out under statutory authority or delegated commercial contract  </w:t>
      </w:r>
    </w:p>
    <w:p w14:paraId="4173677E" w14:textId="290A6256" w:rsidR="003B609A" w:rsidRPr="003B609A" w:rsidRDefault="006A1CA0" w:rsidP="003B609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6A1CA0">
        <w:rPr>
          <w:rFonts w:eastAsiaTheme="majorEastAsia" w:cstheme="majorBidi"/>
          <w:bCs/>
          <w:color w:val="000000" w:themeColor="text1"/>
          <w:szCs w:val="26"/>
        </w:rPr>
        <w:t>P</w:t>
      </w:r>
      <w:r w:rsidR="003B609A" w:rsidRPr="003B609A">
        <w:rPr>
          <w:rFonts w:eastAsiaTheme="majorEastAsia" w:cstheme="majorBidi"/>
          <w:bCs/>
          <w:color w:val="000000" w:themeColor="text1"/>
          <w:szCs w:val="26"/>
        </w:rPr>
        <w:t xml:space="preserve">olice </w:t>
      </w:r>
      <w:r w:rsidR="00B949C2">
        <w:rPr>
          <w:rFonts w:eastAsiaTheme="majorEastAsia" w:cstheme="majorBidi"/>
          <w:bCs/>
          <w:color w:val="000000" w:themeColor="text1"/>
          <w:szCs w:val="26"/>
        </w:rPr>
        <w:t>O</w:t>
      </w:r>
      <w:r w:rsidR="003B609A" w:rsidRPr="003B609A">
        <w:rPr>
          <w:rFonts w:eastAsiaTheme="majorEastAsia" w:cstheme="majorBidi"/>
          <w:bCs/>
          <w:color w:val="000000" w:themeColor="text1"/>
          <w:szCs w:val="26"/>
        </w:rPr>
        <w:t xml:space="preserve">fficers of Police Scotland </w:t>
      </w:r>
      <w:r w:rsidRPr="006A1CA0">
        <w:rPr>
          <w:rFonts w:eastAsiaTheme="majorEastAsia" w:cstheme="majorBidi"/>
          <w:bCs/>
          <w:color w:val="000000" w:themeColor="text1"/>
          <w:szCs w:val="26"/>
        </w:rPr>
        <w:t xml:space="preserve">conducting enforcement action such as </w:t>
      </w:r>
      <w:r w:rsidR="003B609A" w:rsidRPr="003B609A">
        <w:rPr>
          <w:rFonts w:eastAsiaTheme="majorEastAsia" w:cstheme="majorBidi"/>
          <w:bCs/>
          <w:color w:val="000000" w:themeColor="text1"/>
          <w:szCs w:val="26"/>
        </w:rPr>
        <w:t xml:space="preserve">arresting/ charging </w:t>
      </w:r>
      <w:r w:rsidRPr="006A1CA0">
        <w:rPr>
          <w:rFonts w:eastAsiaTheme="majorEastAsia" w:cstheme="majorBidi"/>
          <w:bCs/>
          <w:color w:val="000000" w:themeColor="text1"/>
          <w:szCs w:val="26"/>
        </w:rPr>
        <w:t>individuals, would</w:t>
      </w:r>
      <w:r w:rsidR="003B609A" w:rsidRPr="003B609A">
        <w:rPr>
          <w:rFonts w:eastAsiaTheme="majorEastAsia" w:cstheme="majorBidi"/>
          <w:bCs/>
          <w:color w:val="000000" w:themeColor="text1"/>
          <w:szCs w:val="26"/>
        </w:rPr>
        <w:t xml:space="preserve"> do so under their common law or statutory powers depending on the nature of the offence.</w:t>
      </w:r>
    </w:p>
    <w:p w14:paraId="186DC53B" w14:textId="1BCAD644" w:rsidR="003B609A" w:rsidRDefault="006A1CA0" w:rsidP="003B609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6A1CA0">
        <w:rPr>
          <w:rFonts w:eastAsiaTheme="majorEastAsia" w:cstheme="majorBidi"/>
          <w:bCs/>
          <w:color w:val="000000" w:themeColor="text1"/>
          <w:szCs w:val="26"/>
        </w:rPr>
        <w:t xml:space="preserve">In regards to enforcement action such as </w:t>
      </w:r>
      <w:r w:rsidR="003B609A" w:rsidRPr="003B609A">
        <w:rPr>
          <w:rFonts w:eastAsiaTheme="majorEastAsia" w:cstheme="majorBidi"/>
          <w:bCs/>
          <w:color w:val="000000" w:themeColor="text1"/>
          <w:szCs w:val="26"/>
        </w:rPr>
        <w:t>making an arrestment of funds / charging (presumably for services) then arrestment could be under statute by Police Scotland and charging for services would be by the S</w:t>
      </w:r>
      <w:r w:rsidRPr="006A1CA0">
        <w:rPr>
          <w:rFonts w:eastAsiaTheme="majorEastAsia" w:cstheme="majorBidi"/>
          <w:bCs/>
          <w:color w:val="000000" w:themeColor="text1"/>
          <w:szCs w:val="26"/>
        </w:rPr>
        <w:t>cottish Police Authority (S</w:t>
      </w:r>
      <w:r w:rsidR="003B609A" w:rsidRPr="003B609A">
        <w:rPr>
          <w:rFonts w:eastAsiaTheme="majorEastAsia" w:cstheme="majorBidi"/>
          <w:bCs/>
          <w:color w:val="000000" w:themeColor="text1"/>
          <w:szCs w:val="26"/>
        </w:rPr>
        <w:t>PA</w:t>
      </w:r>
      <w:r w:rsidRPr="006A1CA0">
        <w:rPr>
          <w:rFonts w:eastAsiaTheme="majorEastAsia" w:cstheme="majorBidi"/>
          <w:bCs/>
          <w:color w:val="000000" w:themeColor="text1"/>
          <w:szCs w:val="26"/>
        </w:rPr>
        <w:t xml:space="preserve">) </w:t>
      </w:r>
      <w:r w:rsidR="003B609A" w:rsidRPr="003B609A">
        <w:rPr>
          <w:rFonts w:eastAsiaTheme="majorEastAsia" w:cstheme="majorBidi"/>
          <w:bCs/>
          <w:color w:val="000000" w:themeColor="text1"/>
          <w:szCs w:val="26"/>
        </w:rPr>
        <w:t>under s</w:t>
      </w:r>
      <w:r w:rsidR="00B949C2">
        <w:rPr>
          <w:rFonts w:eastAsiaTheme="majorEastAsia" w:cstheme="majorBidi"/>
          <w:bCs/>
          <w:color w:val="000000" w:themeColor="text1"/>
          <w:szCs w:val="26"/>
        </w:rPr>
        <w:t xml:space="preserve">ection </w:t>
      </w:r>
      <w:r w:rsidR="003B609A" w:rsidRPr="003B609A">
        <w:rPr>
          <w:rFonts w:eastAsiaTheme="majorEastAsia" w:cstheme="majorBidi"/>
          <w:bCs/>
          <w:color w:val="000000" w:themeColor="text1"/>
          <w:szCs w:val="26"/>
        </w:rPr>
        <w:t>86 or 87 of the Police and Fire Reform (Scotland) Act 2012 or other relevant statute.</w:t>
      </w:r>
    </w:p>
    <w:p w14:paraId="04E13022" w14:textId="77777777" w:rsidR="00943F1F" w:rsidRPr="003B609A" w:rsidRDefault="00943F1F" w:rsidP="003B609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776EE36E" w14:textId="77777777" w:rsidR="00943F1F" w:rsidRDefault="00943F1F" w:rsidP="005342F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A0B6BF2" w14:textId="4E002A98" w:rsidR="003476CA" w:rsidRPr="003476CA" w:rsidRDefault="003476CA" w:rsidP="005342F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476CA">
        <w:rPr>
          <w:rFonts w:eastAsiaTheme="majorEastAsia" w:cstheme="majorBidi"/>
          <w:b/>
          <w:color w:val="000000" w:themeColor="text1"/>
          <w:szCs w:val="26"/>
        </w:rPr>
        <w:lastRenderedPageBreak/>
        <w:t>Whether individuals engaging with Police Scotland are presumed to be interacting with a statutory body or a corporate entity operating under limited liability</w:t>
      </w:r>
    </w:p>
    <w:p w14:paraId="1F1E22FD" w14:textId="1B95D16C" w:rsidR="005342FC" w:rsidRPr="005342FC" w:rsidRDefault="005342FC" w:rsidP="005342F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5342FC">
        <w:rPr>
          <w:rFonts w:eastAsiaTheme="majorEastAsia" w:cstheme="majorBidi"/>
          <w:bCs/>
          <w:color w:val="000000" w:themeColor="text1"/>
          <w:szCs w:val="26"/>
        </w:rPr>
        <w:t>The Scottish Police Authority is a body corporate established under Section 1 of the Police and Fire Reform (Scotland) Act 2012.  It is also the contracting authority for itself and the Police Service of Scotland – as per section 4 of the 2012 Act and the Schedule to the Procurement Reform (Scotland) Act 2014.</w:t>
      </w:r>
      <w:r w:rsidR="003B609A" w:rsidRPr="006A1CA0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5342FC">
        <w:rPr>
          <w:rFonts w:eastAsiaTheme="majorEastAsia" w:cstheme="majorBidi"/>
          <w:bCs/>
          <w:color w:val="000000" w:themeColor="text1"/>
          <w:szCs w:val="26"/>
        </w:rPr>
        <w:t>It is not a limited liability corporate entity.</w:t>
      </w:r>
    </w:p>
    <w:p w14:paraId="33390825" w14:textId="0D21D089" w:rsidR="003476CA" w:rsidRPr="003476CA" w:rsidRDefault="005342FC" w:rsidP="005342F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6A1CA0">
        <w:rPr>
          <w:rFonts w:eastAsiaTheme="majorEastAsia" w:cstheme="majorBidi"/>
          <w:bCs/>
          <w:color w:val="000000" w:themeColor="text1"/>
          <w:szCs w:val="26"/>
        </w:rPr>
        <w:t>The Police Service of Scotland (“Police Scotland”) is a constabulary established under section 6 of the 2012 Act. The Chief Constable and Scottish Police Authority’s liabilities for unlawful conduct are as defined by Section 24 of the 2012 Act.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7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8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9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38E"/>
    <w:multiLevelType w:val="hybridMultilevel"/>
    <w:tmpl w:val="B232D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9081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04226"/>
    <w:rsid w:val="001323A2"/>
    <w:rsid w:val="0013699E"/>
    <w:rsid w:val="00141533"/>
    <w:rsid w:val="00151DD0"/>
    <w:rsid w:val="00167528"/>
    <w:rsid w:val="00195CC4"/>
    <w:rsid w:val="001C4938"/>
    <w:rsid w:val="00207326"/>
    <w:rsid w:val="00253DF6"/>
    <w:rsid w:val="00255F1E"/>
    <w:rsid w:val="002F5274"/>
    <w:rsid w:val="0033715C"/>
    <w:rsid w:val="003476CA"/>
    <w:rsid w:val="0035402E"/>
    <w:rsid w:val="0036503B"/>
    <w:rsid w:val="00376A4A"/>
    <w:rsid w:val="003B609A"/>
    <w:rsid w:val="003D6D03"/>
    <w:rsid w:val="003E12CA"/>
    <w:rsid w:val="004010DC"/>
    <w:rsid w:val="004341F0"/>
    <w:rsid w:val="00447F47"/>
    <w:rsid w:val="00455E14"/>
    <w:rsid w:val="00456324"/>
    <w:rsid w:val="00475460"/>
    <w:rsid w:val="00490317"/>
    <w:rsid w:val="00491644"/>
    <w:rsid w:val="00496A08"/>
    <w:rsid w:val="004E1605"/>
    <w:rsid w:val="004F653C"/>
    <w:rsid w:val="005342FC"/>
    <w:rsid w:val="00540A52"/>
    <w:rsid w:val="00557306"/>
    <w:rsid w:val="005577ED"/>
    <w:rsid w:val="00593FBA"/>
    <w:rsid w:val="0060085E"/>
    <w:rsid w:val="00645CFA"/>
    <w:rsid w:val="00685219"/>
    <w:rsid w:val="006A1CA0"/>
    <w:rsid w:val="006D5799"/>
    <w:rsid w:val="007440EA"/>
    <w:rsid w:val="00750D83"/>
    <w:rsid w:val="00771AC8"/>
    <w:rsid w:val="00785DBC"/>
    <w:rsid w:val="00793DD5"/>
    <w:rsid w:val="007C1400"/>
    <w:rsid w:val="007D55F6"/>
    <w:rsid w:val="007F490F"/>
    <w:rsid w:val="0082788C"/>
    <w:rsid w:val="0086779C"/>
    <w:rsid w:val="00874BFD"/>
    <w:rsid w:val="008846B0"/>
    <w:rsid w:val="008964EF"/>
    <w:rsid w:val="00915E01"/>
    <w:rsid w:val="00943F1F"/>
    <w:rsid w:val="009631A4"/>
    <w:rsid w:val="0097651E"/>
    <w:rsid w:val="00976B5E"/>
    <w:rsid w:val="00977296"/>
    <w:rsid w:val="00987250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337CE"/>
    <w:rsid w:val="00B461B2"/>
    <w:rsid w:val="00B654B6"/>
    <w:rsid w:val="00B71B3C"/>
    <w:rsid w:val="00B8042C"/>
    <w:rsid w:val="00B86C13"/>
    <w:rsid w:val="00B949C2"/>
    <w:rsid w:val="00BB13B3"/>
    <w:rsid w:val="00BC389E"/>
    <w:rsid w:val="00BE1888"/>
    <w:rsid w:val="00BE4F44"/>
    <w:rsid w:val="00BF6B81"/>
    <w:rsid w:val="00C049D1"/>
    <w:rsid w:val="00C077A8"/>
    <w:rsid w:val="00C14FF4"/>
    <w:rsid w:val="00C1679F"/>
    <w:rsid w:val="00C22FF9"/>
    <w:rsid w:val="00C606A2"/>
    <w:rsid w:val="00C63872"/>
    <w:rsid w:val="00C84948"/>
    <w:rsid w:val="00C94ED8"/>
    <w:rsid w:val="00CF1111"/>
    <w:rsid w:val="00D05706"/>
    <w:rsid w:val="00D27DC5"/>
    <w:rsid w:val="00D47E36"/>
    <w:rsid w:val="00D47F5A"/>
    <w:rsid w:val="00D77D25"/>
    <w:rsid w:val="00DA1167"/>
    <w:rsid w:val="00DF3689"/>
    <w:rsid w:val="00E25AB4"/>
    <w:rsid w:val="00E55D79"/>
    <w:rsid w:val="00E574A6"/>
    <w:rsid w:val="00EE2373"/>
    <w:rsid w:val="00EF0FBB"/>
    <w:rsid w:val="00EF4761"/>
    <w:rsid w:val="00F5090C"/>
    <w:rsid w:val="00FA5628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76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pi.spnet.local/policescotland/guidance/Standard%20Operating%20Procedures/Data%20Protection%20SOP.pdf" TargetMode="External"/><Relationship Id="rId18" Type="http://schemas.openxmlformats.org/officeDocument/2006/relationships/hyperlink" Target="mailto:enquiries@foi.sco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spi.spnet.local/policescotland/guidance/Standard%20Operating%20Procedures/Information%20Sharing%20SOP.pdf" TargetMode="External"/><Relationship Id="rId17" Type="http://schemas.openxmlformats.org/officeDocument/2006/relationships/hyperlink" Target="https://www.foi.scot/appea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foi@scotland.police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eur/2016/679/article/6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legislation.gov.uk/eur/2016/679/article/35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scotland.police.uk/access-to-information/freedom-of-information/disclosure-lo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pi.spnet.local/policescotland/guidance/Standard%20Operating%20Procedures/Data%20Protection%20SOP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851</Words>
  <Characters>4853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2025-08-28T10:34:00Z</dcterms:created>
  <dcterms:modified xsi:type="dcterms:W3CDTF">2025-09-18T11:16:00Z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