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44EEC4D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613046">
              <w:t>1835</w:t>
            </w:r>
          </w:p>
          <w:p w14:paraId="3F5C4352" w14:textId="5FE45EA6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13046">
              <w:t>16 June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0DD9000A" w14:textId="6A728CF9" w:rsidR="00613046" w:rsidRDefault="00613046" w:rsidP="00613046">
      <w:r>
        <w:t xml:space="preserve">Your request is technically a Subject Access Request (SAR) and it will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  <w:r>
        <w:t xml:space="preserve"> The request is being processed by our</w:t>
      </w:r>
      <w:r>
        <w:t xml:space="preserve"> Data Protection team will </w:t>
      </w:r>
      <w:r>
        <w:t>respond</w:t>
      </w:r>
      <w:r>
        <w:t xml:space="preserve"> separately in relation to your SAR.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7EA420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0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627560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0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48409F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0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730682E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0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517F8B3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0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4EB2854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0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13046"/>
    <w:rsid w:val="00620927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9F55AA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6F5B"/>
    <w:rsid w:val="00D27DC5"/>
    <w:rsid w:val="00D47E36"/>
    <w:rsid w:val="00DB435F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2025-06-16T12:43:00Z</dcterms:created>
  <dcterms:modified xsi:type="dcterms:W3CDTF">2025-06-16T12:45:00Z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