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73CA7B5F" w14:textId="77777777" w:rsidTr="00540A52">
        <w:trPr>
          <w:trHeight w:val="2552"/>
          <w:tblHeader/>
        </w:trPr>
        <w:tc>
          <w:tcPr>
            <w:tcW w:w="2269" w:type="dxa"/>
          </w:tcPr>
          <w:p w14:paraId="43E497D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0A5E188B" wp14:editId="56E04F68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3A2CF6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07FA8AC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1AA4278" w14:textId="777777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65178B">
              <w:t>3</w:t>
            </w:r>
            <w:r>
              <w:t>-</w:t>
            </w:r>
            <w:r w:rsidR="0065178B">
              <w:t>2816</w:t>
            </w:r>
          </w:p>
          <w:p w14:paraId="6BC4B116" w14:textId="33778D9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341A8">
              <w:t>30</w:t>
            </w:r>
            <w:r w:rsidR="006D5799">
              <w:t xml:space="preserve"> </w:t>
            </w:r>
            <w:r w:rsidR="00B654B6">
              <w:t>January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9EBD862" w14:textId="77777777" w:rsidR="0065178B" w:rsidRPr="0065178B" w:rsidRDefault="0065178B" w:rsidP="0065178B">
      <w:pPr>
        <w:tabs>
          <w:tab w:val="left" w:pos="5400"/>
        </w:tabs>
        <w:outlineLvl w:val="0"/>
        <w:rPr>
          <w:b/>
        </w:rPr>
      </w:pPr>
      <w:r w:rsidRPr="007D1918">
        <w:t>Please, first of all, accept my sincere apologies for the delay in providing a response to your request.</w:t>
      </w:r>
    </w:p>
    <w:p w14:paraId="27D8FE98" w14:textId="77777777" w:rsidR="0065178B" w:rsidRDefault="0065178B" w:rsidP="0065178B">
      <w:r>
        <w:t xml:space="preserve">Tackling domestic abuse is a priority for Police Scotland and we are committed to working with our partners to reduce the harm it causes and ultimately eradicate it. </w:t>
      </w:r>
    </w:p>
    <w:p w14:paraId="4AABE2A3" w14:textId="77777777" w:rsidR="0065178B" w:rsidRDefault="0065178B" w:rsidP="0065178B">
      <w:r>
        <w:t xml:space="preserve">Domestic abuse is a despicable and debilitating crime which affects all of our communities and has no respect for ability, age, ethnicity, gender, race, religion or sexual orientation. </w:t>
      </w:r>
    </w:p>
    <w:p w14:paraId="3F2263C0" w14:textId="77777777" w:rsidR="0065178B" w:rsidRDefault="0065178B" w:rsidP="0065178B">
      <w:r>
        <w:t xml:space="preserve">Police Scotland will not tolerate it. </w:t>
      </w:r>
    </w:p>
    <w:p w14:paraId="2559A31B" w14:textId="77777777" w:rsidR="0065178B" w:rsidRDefault="0065178B" w:rsidP="0065178B">
      <w:r>
        <w:t xml:space="preserve">Police Scotland will proactively target perpetrators and support victims to prevent domestic abuse from damaging the lives of victims and their families. </w:t>
      </w:r>
    </w:p>
    <w:p w14:paraId="7AD2FAED" w14:textId="77777777" w:rsidR="0065178B" w:rsidRDefault="0065178B" w:rsidP="0065178B">
      <w:r>
        <w:t>Police Scotland defines domestic abuse as:</w:t>
      </w:r>
    </w:p>
    <w:p w14:paraId="0AF1582D" w14:textId="77777777" w:rsidR="0065178B" w:rsidRDefault="0065178B" w:rsidP="0065178B">
      <w:r>
        <w:t>“Any form of physical, verbal, sexual, psychological or financial abuse which might amount to criminal conduct and which takes place within the context of a relationship.  The relationship will be between partners (married, cohabiting, civil partnership or otherwise) or ex-partners.  The abuse may be committed in the home or elsewhere including online”</w:t>
      </w:r>
    </w:p>
    <w:p w14:paraId="67D07669" w14:textId="77777777" w:rsidR="0065178B" w:rsidRDefault="0065178B" w:rsidP="0036503B">
      <w:r>
        <w:t xml:space="preserve">This definition is included in the Joint Protocol between Police Scotland and the Crown Office and Procurator Fiscal Service (COPFS), “In partnership challenging domestic abuse” which is a public document that can be found at the Police Scotland website on </w:t>
      </w:r>
      <w:hyperlink r:id="rId11" w:history="1">
        <w:r>
          <w:rPr>
            <w:rStyle w:val="Hyperlink"/>
          </w:rPr>
          <w:t>Police Scotland (scotland.police.uk)</w:t>
        </w:r>
      </w:hyperlink>
      <w:r>
        <w:t xml:space="preserve"> </w:t>
      </w:r>
      <w:r w:rsidRPr="000A456A">
        <w:t>or on the COPFS website on</w:t>
      </w:r>
      <w:r>
        <w:t xml:space="preserve"> </w:t>
      </w:r>
      <w:hyperlink r:id="rId12" w:history="1">
        <w:r w:rsidRPr="000A456A">
          <w:rPr>
            <w:rStyle w:val="Hyperlink"/>
          </w:rPr>
          <w:t>Crown Office and Procurator Fiscal Service (copfs.gov.uk)</w:t>
        </w:r>
      </w:hyperlink>
    </w:p>
    <w:p w14:paraId="435B7F99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83AE82D" w14:textId="77777777" w:rsidR="000F6506" w:rsidRPr="000F6506" w:rsidRDefault="000F6506" w:rsidP="000F650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F6506">
        <w:rPr>
          <w:rFonts w:eastAsiaTheme="majorEastAsia" w:cstheme="majorBidi"/>
          <w:b/>
          <w:color w:val="000000" w:themeColor="text1"/>
          <w:szCs w:val="26"/>
        </w:rPr>
        <w:t>I would like to request information relating to Intimate Partner Violence/Domestic Abuse incidents.</w:t>
      </w:r>
    </w:p>
    <w:p w14:paraId="76E9C6C8" w14:textId="77777777" w:rsidR="000F6506" w:rsidRDefault="000F6506" w:rsidP="000F6506">
      <w:pPr>
        <w:pStyle w:val="Heading2"/>
      </w:pPr>
      <w:r w:rsidRPr="000F6506">
        <w:lastRenderedPageBreak/>
        <w:t>1. How many 999 calls have been made relating to IPV/DA in 2018, 2019, 2020, 2021, 2022 and 2023.</w:t>
      </w:r>
    </w:p>
    <w:p w14:paraId="017BEEF4" w14:textId="77777777" w:rsidR="00DC15AA" w:rsidRDefault="00DC15AA" w:rsidP="003D6573">
      <w:r w:rsidRPr="00DC15AA">
        <w:t>Recorded Domestic Incidents Source '999/999 Mobile'</w:t>
      </w:r>
      <w:r>
        <w:t xml:space="preserve">. </w:t>
      </w:r>
      <w:r w:rsidRPr="00DC15AA">
        <w:t>1st January 2018 - 31st October 2023* (Calendar Years)</w:t>
      </w:r>
      <w:r>
        <w:t>.</w:t>
      </w:r>
    </w:p>
    <w:tbl>
      <w:tblPr>
        <w:tblStyle w:val="TableGrid"/>
        <w:tblW w:w="9628" w:type="dxa"/>
        <w:tblLook w:val="04A0" w:firstRow="1" w:lastRow="0" w:firstColumn="1" w:lastColumn="0" w:noHBand="0" w:noVBand="1"/>
        <w:tblCaption w:val="Table of incidents by year"/>
        <w:tblDescription w:val="Table of incidents by year"/>
      </w:tblPr>
      <w:tblGrid>
        <w:gridCol w:w="3681"/>
        <w:gridCol w:w="992"/>
        <w:gridCol w:w="992"/>
        <w:gridCol w:w="993"/>
        <w:gridCol w:w="992"/>
        <w:gridCol w:w="994"/>
        <w:gridCol w:w="984"/>
      </w:tblGrid>
      <w:tr w:rsidR="00DC15AA" w:rsidRPr="003D6573" w14:paraId="00F186F6" w14:textId="77777777" w:rsidTr="00DC15AA">
        <w:trPr>
          <w:tblHeader/>
        </w:trPr>
        <w:tc>
          <w:tcPr>
            <w:tcW w:w="3681" w:type="dxa"/>
            <w:shd w:val="clear" w:color="auto" w:fill="D9D9D9" w:themeFill="background1" w:themeFillShade="D9"/>
          </w:tcPr>
          <w:p w14:paraId="0A8AC9B4" w14:textId="77777777" w:rsidR="00DC15AA" w:rsidRPr="003D6573" w:rsidRDefault="00DC15AA" w:rsidP="003D6573">
            <w:pPr>
              <w:spacing w:line="276" w:lineRule="auto"/>
              <w:rPr>
                <w:b/>
              </w:rPr>
            </w:pPr>
            <w:r w:rsidRPr="003D6573">
              <w:rPr>
                <w:b/>
              </w:rPr>
              <w:t>Initial Incident Type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968C7AD" w14:textId="77777777" w:rsidR="00DC15AA" w:rsidRPr="003D6573" w:rsidRDefault="00DC15AA" w:rsidP="003D6573">
            <w:pPr>
              <w:spacing w:line="276" w:lineRule="auto"/>
              <w:rPr>
                <w:b/>
              </w:rPr>
            </w:pPr>
            <w:r w:rsidRPr="003D6573">
              <w:rPr>
                <w:b/>
              </w:rPr>
              <w:t>2018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3C0E931" w14:textId="77777777" w:rsidR="00DC15AA" w:rsidRPr="003D6573" w:rsidRDefault="00DC15AA" w:rsidP="003D6573">
            <w:pPr>
              <w:spacing w:line="276" w:lineRule="auto"/>
              <w:rPr>
                <w:b/>
              </w:rPr>
            </w:pPr>
            <w:r w:rsidRPr="003D6573">
              <w:rPr>
                <w:b/>
              </w:rPr>
              <w:t>2019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6ABEB482" w14:textId="77777777" w:rsidR="00DC15AA" w:rsidRPr="003D6573" w:rsidRDefault="00DC15AA" w:rsidP="003D6573">
            <w:pPr>
              <w:spacing w:line="276" w:lineRule="auto"/>
              <w:rPr>
                <w:b/>
              </w:rPr>
            </w:pPr>
            <w:r w:rsidRPr="003D6573">
              <w:rPr>
                <w:b/>
              </w:rPr>
              <w:t>2020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11FCE29" w14:textId="77777777" w:rsidR="00DC15AA" w:rsidRPr="003D6573" w:rsidRDefault="00DC15AA" w:rsidP="003D6573">
            <w:pPr>
              <w:spacing w:line="276" w:lineRule="auto"/>
              <w:rPr>
                <w:b/>
              </w:rPr>
            </w:pPr>
            <w:r w:rsidRPr="003D6573">
              <w:rPr>
                <w:b/>
              </w:rPr>
              <w:t>2021</w:t>
            </w:r>
          </w:p>
        </w:tc>
        <w:tc>
          <w:tcPr>
            <w:tcW w:w="994" w:type="dxa"/>
            <w:shd w:val="clear" w:color="auto" w:fill="D9D9D9" w:themeFill="background1" w:themeFillShade="D9"/>
          </w:tcPr>
          <w:p w14:paraId="2C34BE7B" w14:textId="77777777" w:rsidR="00DC15AA" w:rsidRPr="003D6573" w:rsidRDefault="00DC15AA" w:rsidP="003D6573">
            <w:pPr>
              <w:spacing w:line="276" w:lineRule="auto"/>
              <w:rPr>
                <w:b/>
              </w:rPr>
            </w:pPr>
            <w:r w:rsidRPr="003D6573">
              <w:rPr>
                <w:b/>
              </w:rPr>
              <w:t>2022</w:t>
            </w:r>
          </w:p>
        </w:tc>
        <w:tc>
          <w:tcPr>
            <w:tcW w:w="984" w:type="dxa"/>
            <w:shd w:val="clear" w:color="auto" w:fill="D9D9D9" w:themeFill="background1" w:themeFillShade="D9"/>
          </w:tcPr>
          <w:p w14:paraId="7E7C4860" w14:textId="77777777" w:rsidR="00DC15AA" w:rsidRPr="003D6573" w:rsidRDefault="00DC15AA" w:rsidP="003D6573">
            <w:pPr>
              <w:spacing w:line="276" w:lineRule="auto"/>
              <w:rPr>
                <w:b/>
              </w:rPr>
            </w:pPr>
            <w:r w:rsidRPr="003D6573">
              <w:rPr>
                <w:b/>
              </w:rPr>
              <w:t>2023</w:t>
            </w:r>
          </w:p>
        </w:tc>
      </w:tr>
      <w:tr w:rsidR="00DC15AA" w:rsidRPr="00DC15AA" w14:paraId="13FB73E7" w14:textId="77777777" w:rsidTr="00DC15AA">
        <w:trPr>
          <w:trHeight w:val="300"/>
        </w:trPr>
        <w:tc>
          <w:tcPr>
            <w:tcW w:w="3681" w:type="dxa"/>
            <w:noWrap/>
            <w:hideMark/>
          </w:tcPr>
          <w:p w14:paraId="4CD3370D" w14:textId="698BE9B8" w:rsidR="00DC15AA" w:rsidRPr="00DC15AA" w:rsidRDefault="003D6573" w:rsidP="003D6573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Domestic Incident</w:t>
            </w:r>
          </w:p>
        </w:tc>
        <w:tc>
          <w:tcPr>
            <w:tcW w:w="992" w:type="dxa"/>
            <w:noWrap/>
            <w:hideMark/>
          </w:tcPr>
          <w:p w14:paraId="5DF3C397" w14:textId="77777777" w:rsidR="00DC15AA" w:rsidRPr="00DC15AA" w:rsidRDefault="00DC15AA" w:rsidP="003D6573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DC15AA">
              <w:rPr>
                <w:rFonts w:eastAsia="Times New Roman"/>
                <w:color w:val="000000"/>
                <w:lang w:eastAsia="en-GB"/>
              </w:rPr>
              <w:t>26276</w:t>
            </w:r>
          </w:p>
        </w:tc>
        <w:tc>
          <w:tcPr>
            <w:tcW w:w="992" w:type="dxa"/>
            <w:noWrap/>
            <w:hideMark/>
          </w:tcPr>
          <w:p w14:paraId="6BA3634D" w14:textId="77777777" w:rsidR="00DC15AA" w:rsidRPr="00DC15AA" w:rsidRDefault="00DC15AA" w:rsidP="003D6573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DC15AA">
              <w:rPr>
                <w:rFonts w:eastAsia="Times New Roman"/>
                <w:color w:val="000000"/>
                <w:lang w:eastAsia="en-GB"/>
              </w:rPr>
              <w:t>28226</w:t>
            </w:r>
          </w:p>
        </w:tc>
        <w:tc>
          <w:tcPr>
            <w:tcW w:w="993" w:type="dxa"/>
            <w:noWrap/>
            <w:hideMark/>
          </w:tcPr>
          <w:p w14:paraId="76256CF1" w14:textId="77777777" w:rsidR="00DC15AA" w:rsidRPr="00DC15AA" w:rsidRDefault="00DC15AA" w:rsidP="003D6573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DC15AA">
              <w:rPr>
                <w:rFonts w:eastAsia="Times New Roman"/>
                <w:color w:val="000000"/>
                <w:lang w:eastAsia="en-GB"/>
              </w:rPr>
              <w:t>28799</w:t>
            </w:r>
          </w:p>
        </w:tc>
        <w:tc>
          <w:tcPr>
            <w:tcW w:w="992" w:type="dxa"/>
            <w:noWrap/>
            <w:hideMark/>
          </w:tcPr>
          <w:p w14:paraId="14D15004" w14:textId="77777777" w:rsidR="00DC15AA" w:rsidRPr="00DC15AA" w:rsidRDefault="00DC15AA" w:rsidP="003D6573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DC15AA">
              <w:rPr>
                <w:rFonts w:eastAsia="Times New Roman"/>
                <w:color w:val="000000"/>
                <w:lang w:eastAsia="en-GB"/>
              </w:rPr>
              <w:t>28146</w:t>
            </w:r>
          </w:p>
        </w:tc>
        <w:tc>
          <w:tcPr>
            <w:tcW w:w="994" w:type="dxa"/>
            <w:noWrap/>
            <w:hideMark/>
          </w:tcPr>
          <w:p w14:paraId="3CF763AC" w14:textId="77777777" w:rsidR="00DC15AA" w:rsidRPr="00DC15AA" w:rsidRDefault="00DC15AA" w:rsidP="003D6573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DC15AA">
              <w:rPr>
                <w:rFonts w:eastAsia="Times New Roman"/>
                <w:color w:val="000000"/>
                <w:lang w:eastAsia="en-GB"/>
              </w:rPr>
              <w:t>28564</w:t>
            </w:r>
          </w:p>
        </w:tc>
        <w:tc>
          <w:tcPr>
            <w:tcW w:w="984" w:type="dxa"/>
            <w:noWrap/>
            <w:hideMark/>
          </w:tcPr>
          <w:p w14:paraId="79B79C7E" w14:textId="77777777" w:rsidR="00DC15AA" w:rsidRPr="00DC15AA" w:rsidRDefault="00DC15AA" w:rsidP="003D6573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DC15AA">
              <w:rPr>
                <w:rFonts w:eastAsia="Times New Roman"/>
                <w:color w:val="000000"/>
                <w:lang w:eastAsia="en-GB"/>
              </w:rPr>
              <w:t>24585</w:t>
            </w:r>
          </w:p>
        </w:tc>
      </w:tr>
    </w:tbl>
    <w:p w14:paraId="791FB166" w14:textId="77777777" w:rsidR="003D6573" w:rsidRDefault="0065178B" w:rsidP="003D6573">
      <w:pPr>
        <w:rPr>
          <w:rFonts w:eastAsiaTheme="majorEastAsia" w:cstheme="majorBidi"/>
          <w:bCs/>
          <w:color w:val="000000" w:themeColor="text1"/>
          <w:szCs w:val="26"/>
        </w:rPr>
      </w:pPr>
      <w:r w:rsidRPr="00DC15AA">
        <w:rPr>
          <w:rFonts w:eastAsiaTheme="majorEastAsia" w:cstheme="majorBidi"/>
          <w:bCs/>
          <w:color w:val="000000" w:themeColor="text1"/>
          <w:szCs w:val="26"/>
        </w:rPr>
        <w:t xml:space="preserve">All statistics are provisional and should be treated as management information. </w:t>
      </w:r>
    </w:p>
    <w:p w14:paraId="309A2E93" w14:textId="4A45F6F3" w:rsidR="000F6506" w:rsidRDefault="0065178B" w:rsidP="003D6573">
      <w:pPr>
        <w:rPr>
          <w:rFonts w:eastAsiaTheme="majorEastAsia" w:cstheme="majorBidi"/>
          <w:bCs/>
          <w:color w:val="000000" w:themeColor="text1"/>
          <w:szCs w:val="26"/>
        </w:rPr>
      </w:pPr>
      <w:r w:rsidRPr="00DC15AA">
        <w:rPr>
          <w:rFonts w:eastAsiaTheme="majorEastAsia" w:cstheme="majorBidi"/>
          <w:bCs/>
          <w:color w:val="000000" w:themeColor="text1"/>
          <w:szCs w:val="26"/>
        </w:rPr>
        <w:t>All data have been extracted from Police Scotland internal systems and are correct as at 28 November 2023.</w:t>
      </w:r>
    </w:p>
    <w:p w14:paraId="34D95E46" w14:textId="77777777" w:rsidR="003D6573" w:rsidRPr="000F6506" w:rsidRDefault="003D6573" w:rsidP="003D6573">
      <w:pPr>
        <w:rPr>
          <w:rFonts w:eastAsiaTheme="majorEastAsia" w:cstheme="majorBidi"/>
          <w:bCs/>
          <w:color w:val="000000" w:themeColor="text1"/>
          <w:szCs w:val="26"/>
        </w:rPr>
      </w:pPr>
    </w:p>
    <w:p w14:paraId="25F98616" w14:textId="77777777" w:rsidR="000F6506" w:rsidRPr="000F6506" w:rsidRDefault="000F6506" w:rsidP="000F6506">
      <w:pPr>
        <w:pStyle w:val="Heading2"/>
      </w:pPr>
      <w:r w:rsidRPr="000F6506">
        <w:t>2. How many of these calls led to an arrest?</w:t>
      </w:r>
    </w:p>
    <w:p w14:paraId="7099B4CF" w14:textId="77777777" w:rsidR="000F6506" w:rsidRDefault="000F6506" w:rsidP="000F6506">
      <w:r>
        <w:t>T</w:t>
      </w:r>
      <w:r w:rsidRPr="00A732CA">
        <w:t>he Criminal Justice (Scotland) Act 2016 removed the separate concepts of arrest</w:t>
      </w:r>
      <w:r>
        <w:t xml:space="preserve"> and detention and replaced them with a power of arrest without warrant - where there are reasonable grounds for suspecting a person has committed, or is committing, an offence. </w:t>
      </w:r>
    </w:p>
    <w:p w14:paraId="53BA5997" w14:textId="77777777" w:rsidR="000F6506" w:rsidRDefault="000F6506" w:rsidP="000F6506">
      <w:r>
        <w:t xml:space="preserve">When a person is arrested, a statement of arrest should be read over as soon as reasonably practical and details recorded in the arresting officer’s notebook.  </w:t>
      </w:r>
    </w:p>
    <w:p w14:paraId="2F0BE161" w14:textId="77777777" w:rsidR="000F6506" w:rsidRDefault="000F6506" w:rsidP="000F6506">
      <w:r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charged.  They are ‘Officially Accused’ once arrested </w:t>
      </w:r>
      <w:r>
        <w:rPr>
          <w:i/>
        </w:rPr>
        <w:t>and</w:t>
      </w:r>
      <w:r>
        <w:t xml:space="preserve"> cautioned and charged.</w:t>
      </w:r>
    </w:p>
    <w:p w14:paraId="75D212D0" w14:textId="77777777" w:rsidR="000F6506" w:rsidRPr="00A732CA" w:rsidRDefault="000F6506" w:rsidP="000F6506">
      <w:r w:rsidRPr="00A732CA">
        <w:t xml:space="preserve">If conveyed to a police station, the arrested person will have their details recorded in </w:t>
      </w:r>
      <w:r>
        <w:t>our</w:t>
      </w:r>
      <w:r w:rsidRPr="00A732CA">
        <w:t xml:space="preserve"> National Custody System.  </w:t>
      </w:r>
    </w:p>
    <w:p w14:paraId="1728A7D5" w14:textId="77777777" w:rsidR="000F6506" w:rsidRPr="00A732CA" w:rsidRDefault="000F6506" w:rsidP="000F6506">
      <w:r w:rsidRPr="00A732CA">
        <w:t>The</w:t>
      </w:r>
      <w:r>
        <w:t xml:space="preserve">re are </w:t>
      </w:r>
      <w:r w:rsidRPr="00A732CA">
        <w:t xml:space="preserve">situations </w:t>
      </w:r>
      <w:r>
        <w:t xml:space="preserve">however </w:t>
      </w:r>
      <w:r w:rsidRPr="00A732CA">
        <w:t>whereby a person must be released from police custody prior to their arrival at a police station - effectively</w:t>
      </w:r>
      <w:r>
        <w:t xml:space="preserve"> they are</w:t>
      </w:r>
      <w:r w:rsidRPr="00A732CA">
        <w:t xml:space="preserve"> ‘de-arrest</w:t>
      </w:r>
      <w:r>
        <w:t>ed</w:t>
      </w:r>
      <w:r w:rsidRPr="00A732CA">
        <w:t xml:space="preserve">’ where the reasonable grounds for suspicion no longer exist. </w:t>
      </w:r>
      <w:r>
        <w:t xml:space="preserve"> </w:t>
      </w:r>
      <w:r w:rsidRPr="00A732CA">
        <w:t xml:space="preserve">In those circumstances, the details of an arrested person are not held electronically. </w:t>
      </w:r>
    </w:p>
    <w:p w14:paraId="0DBB4A02" w14:textId="77777777" w:rsidR="000F6506" w:rsidRPr="00A732CA" w:rsidRDefault="000F6506" w:rsidP="000F6506">
      <w:pPr>
        <w:rPr>
          <w:b/>
        </w:rPr>
      </w:pPr>
      <w:r w:rsidRPr="00A732CA"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</w:t>
      </w:r>
      <w:r>
        <w:t>,</w:t>
      </w:r>
      <w:r w:rsidRPr="00A732CA">
        <w:t xml:space="preserve"> as case by 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Pr="00F76704">
        <w:t>.</w:t>
      </w:r>
    </w:p>
    <w:p w14:paraId="6512E7F8" w14:textId="77777777" w:rsidR="000F6506" w:rsidRPr="00453F0A" w:rsidRDefault="000F6506" w:rsidP="000F6506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6F14663A" w14:textId="357DE21D" w:rsidR="0065178B" w:rsidRPr="0065178B" w:rsidRDefault="000F6506" w:rsidP="0065178B">
      <w:pPr>
        <w:pStyle w:val="Heading2"/>
      </w:pPr>
      <w:r w:rsidRPr="000F6506">
        <w:lastRenderedPageBreak/>
        <w:t>3. How many of the arrests led to charges?</w:t>
      </w:r>
      <w:r w:rsidR="003D6573">
        <w:br/>
      </w:r>
      <w:r w:rsidR="0065178B" w:rsidRPr="000F6506">
        <w:t>I would also request that this information be provided as relates to the sex of the victim and of the offender.</w:t>
      </w:r>
    </w:p>
    <w:p w14:paraId="7CA2AE8F" w14:textId="77777777" w:rsidR="00DA424A" w:rsidRDefault="00DA424A" w:rsidP="00DA424A">
      <w:r>
        <w:t>Police Scotland produce data based on recorded and detected crimes, broken down by Scottish Government Justice Department (SGJD) classification</w:t>
      </w:r>
      <w:r w:rsidR="0065178B">
        <w:t xml:space="preserve"> and data from this dat</w:t>
      </w:r>
      <w:r w:rsidR="003B7CF5">
        <w:t>e</w:t>
      </w:r>
      <w:r w:rsidR="0065178B">
        <w:t xml:space="preserve"> is available on our website, which includes </w:t>
      </w:r>
      <w:r w:rsidR="003B7CF5">
        <w:t xml:space="preserve">gender of victim. </w:t>
      </w:r>
    </w:p>
    <w:p w14:paraId="6C90D480" w14:textId="63FC4947" w:rsidR="003D6573" w:rsidRDefault="003D6573" w:rsidP="00982D19">
      <w:r>
        <w:t xml:space="preserve">The information sought is publicly available: </w:t>
      </w:r>
      <w:hyperlink r:id="rId13" w:history="1">
        <w:r w:rsidRPr="00D0204D">
          <w:rPr>
            <w:rStyle w:val="Hyperlink"/>
          </w:rPr>
          <w:t>How we are performing - Police Scotland</w:t>
        </w:r>
      </w:hyperlink>
    </w:p>
    <w:p w14:paraId="0B3514F6" w14:textId="77777777" w:rsidR="003D6573" w:rsidRDefault="003D6573" w:rsidP="00982D19">
      <w:r>
        <w:t>The information is therefore held by Police Scotland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0E71C88F" w14:textId="77777777" w:rsidR="003D6573" w:rsidRDefault="003D6573" w:rsidP="00982D19">
      <w:r>
        <w:t>“Information which the applicant can reasonably obtain other than by requesting it […] is exempt information”.</w:t>
      </w:r>
    </w:p>
    <w:p w14:paraId="4D91909F" w14:textId="7390BEC2" w:rsidR="003B7CF5" w:rsidRDefault="003B7CF5" w:rsidP="003D6573">
      <w:pPr>
        <w:jc w:val="both"/>
      </w:pPr>
      <w:r>
        <w:rPr>
          <w:color w:val="000000"/>
        </w:rPr>
        <w:t xml:space="preserve">I can further advise that in relation to data prior to 01 April 2019 and the gender of accused, </w:t>
      </w:r>
      <w:r w:rsidRPr="00447A31">
        <w:t>Section 12(1) of the Act (Excessive Cost of Compliance) has been applied, this represents a refusal notice for the information sought.</w:t>
      </w:r>
      <w:r w:rsidR="003D6573">
        <w:t xml:space="preserve">  </w:t>
      </w:r>
      <w:r>
        <w:t xml:space="preserve">By way of explanation, each relevant record would have to be read to establish these specifics. </w:t>
      </w:r>
    </w:p>
    <w:p w14:paraId="7D972BE2" w14:textId="77777777" w:rsidR="003D6573" w:rsidRPr="000F6506" w:rsidRDefault="003D6573" w:rsidP="003B7CF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64661521" w14:textId="77777777" w:rsidR="000F6506" w:rsidRDefault="000F6506" w:rsidP="000F6506">
      <w:pPr>
        <w:pStyle w:val="Heading2"/>
      </w:pPr>
      <w:r w:rsidRPr="000F6506">
        <w:t>4. How many charges led to convictions?</w:t>
      </w:r>
    </w:p>
    <w:p w14:paraId="3B457D03" w14:textId="450D1F37" w:rsidR="000F6506" w:rsidRPr="00DC15AA" w:rsidRDefault="000F6506" w:rsidP="000F6506">
      <w:r w:rsidRPr="007D1918">
        <w:rPr>
          <w:bCs/>
          <w:color w:val="000000"/>
        </w:rPr>
        <w:t xml:space="preserve">Police Scotland does not hold </w:t>
      </w:r>
      <w:r w:rsidRPr="000A11A2">
        <w:rPr>
          <w:bCs/>
        </w:rPr>
        <w:t>conviction information</w:t>
      </w:r>
      <w:r w:rsidR="003D6573">
        <w:t xml:space="preserve"> and section 17 of the Act therefore applies.</w:t>
      </w:r>
    </w:p>
    <w:p w14:paraId="73D9B6C0" w14:textId="20850753" w:rsidR="000F6506" w:rsidRDefault="000F6506" w:rsidP="000F6506">
      <w:pPr>
        <w:rPr>
          <w:color w:val="0000FF"/>
          <w:u w:val="single"/>
        </w:rPr>
      </w:pPr>
      <w:r w:rsidRPr="007D1918">
        <w:rPr>
          <w:bCs/>
          <w:color w:val="000000"/>
        </w:rPr>
        <w:t>You may wish to contact the Cro</w:t>
      </w:r>
      <w:r w:rsidR="00173C97">
        <w:rPr>
          <w:bCs/>
          <w:color w:val="000000"/>
        </w:rPr>
        <w:t>wn Office and Procurator Fiscal</w:t>
      </w:r>
      <w:r w:rsidRPr="007D1918">
        <w:rPr>
          <w:bCs/>
          <w:color w:val="000000"/>
        </w:rPr>
        <w:t xml:space="preserve"> Service (COPFS) which holds conviction information for Scotland</w:t>
      </w:r>
      <w:r w:rsidR="003D6573">
        <w:rPr>
          <w:bCs/>
          <w:color w:val="000000"/>
        </w:rPr>
        <w:t xml:space="preserve"> - </w:t>
      </w:r>
      <w:r w:rsidRPr="007D1918">
        <w:rPr>
          <w:color w:val="0000FF"/>
          <w:u w:val="single"/>
        </w:rPr>
        <w:t xml:space="preserve">foi@copfs.gsi.gov.uk </w:t>
      </w:r>
    </w:p>
    <w:p w14:paraId="2B803824" w14:textId="77777777" w:rsidR="003D6573" w:rsidRDefault="003D6573" w:rsidP="003D6573">
      <w:pPr>
        <w:pStyle w:val="Heading2"/>
      </w:pPr>
    </w:p>
    <w:p w14:paraId="26ADA79D" w14:textId="609411EA" w:rsidR="000F6506" w:rsidRPr="003D6573" w:rsidRDefault="000F6506" w:rsidP="003D6573">
      <w:pPr>
        <w:pStyle w:val="Heading2"/>
      </w:pPr>
      <w:r w:rsidRPr="003D6573">
        <w:t>If possible, I would like to know how many cases were NFAd each year as a result of suspects giving "no comment" interviews by sex of the suspect.</w:t>
      </w:r>
    </w:p>
    <w:p w14:paraId="1B8901BC" w14:textId="77777777" w:rsidR="000F6506" w:rsidRPr="003D6573" w:rsidRDefault="000F6506" w:rsidP="003D6573">
      <w:pPr>
        <w:pStyle w:val="Heading2"/>
      </w:pPr>
      <w:r w:rsidRPr="003D6573">
        <w:t>Finally, I would like to know how many cases have been closed as "no further action" due to a lack of corrobo</w:t>
      </w:r>
      <w:r w:rsidR="00F35068" w:rsidRPr="003D6573">
        <w:t>ra</w:t>
      </w:r>
      <w:r w:rsidRPr="003D6573">
        <w:t>ting evidence beyond the suspect giving a no comment interview.</w:t>
      </w:r>
    </w:p>
    <w:p w14:paraId="72143F05" w14:textId="08C14692" w:rsidR="003B7CF5" w:rsidRPr="00CF559C" w:rsidRDefault="003B7CF5" w:rsidP="003D6573">
      <w:r>
        <w:t>Please be advised that in</w:t>
      </w:r>
      <w:r w:rsidRPr="00CF559C">
        <w:t xml:space="preserve"> Scotland, we record crimes as recorded/</w:t>
      </w:r>
      <w:r w:rsidR="003D6573">
        <w:t xml:space="preserve"> </w:t>
      </w:r>
      <w:r w:rsidRPr="00CF559C">
        <w:t>detected and do not use Home Office outcome classifications such as no further action</w:t>
      </w:r>
      <w:r w:rsidR="003D6573">
        <w:t xml:space="preserve"> - section 17 of the Act therefore applies as the information sought is not held.</w:t>
      </w:r>
    </w:p>
    <w:p w14:paraId="0DC285BA" w14:textId="77777777" w:rsidR="00F35068" w:rsidRDefault="003B7CF5" w:rsidP="003D6573">
      <w:r w:rsidRPr="003B7CF5">
        <w:lastRenderedPageBreak/>
        <w:t xml:space="preserve">Police Scotland conduct a full and thorough investigation into all reports of domestic abuse. Over the course of these investigations all lines of enquiry are pursued, one of which </w:t>
      </w:r>
      <w:r w:rsidR="00B619F4">
        <w:t>may</w:t>
      </w:r>
      <w:r w:rsidRPr="003B7CF5">
        <w:t xml:space="preserve"> </w:t>
      </w:r>
      <w:r w:rsidR="00B619F4">
        <w:t>include</w:t>
      </w:r>
      <w:r w:rsidRPr="003B7CF5">
        <w:t xml:space="preserve"> the interview of the perpetrator. During the course of that interview a perpetrator may reply no comment to any or all of the questions. If there is sufficient evidence to charge the perpetrator then we do so regardless of a no comment interview. </w:t>
      </w:r>
    </w:p>
    <w:p w14:paraId="7A90DB0D" w14:textId="63A54AF0" w:rsidR="00AC67A6" w:rsidRDefault="00AC67A6" w:rsidP="003D6573">
      <w:pPr>
        <w:rPr>
          <w:color w:val="00B050"/>
        </w:rPr>
      </w:pPr>
      <w:r w:rsidRPr="00AC67A6">
        <w:t xml:space="preserve">For all incidents of domestic abuse there are some where a crime is established and others where no crime is established. </w:t>
      </w:r>
      <w:r w:rsidR="003D6573">
        <w:t xml:space="preserve"> </w:t>
      </w:r>
      <w:r w:rsidRPr="00AC67A6">
        <w:t>Where a crime is established there will not always be a sufficiency of evidence and will not all result in criminal charges</w:t>
      </w:r>
      <w:r>
        <w:rPr>
          <w:color w:val="00B050"/>
        </w:rPr>
        <w:t xml:space="preserve">. </w:t>
      </w:r>
    </w:p>
    <w:p w14:paraId="59FCE5FE" w14:textId="77777777" w:rsidR="003D6573" w:rsidRDefault="003D6573" w:rsidP="00AC67A6">
      <w:pPr>
        <w:rPr>
          <w:color w:val="00B050"/>
        </w:rPr>
      </w:pPr>
    </w:p>
    <w:p w14:paraId="2230818D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9E6D391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74F373E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65072FFF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5FC927BF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306A99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71A60D6E" w14:textId="77777777" w:rsidR="007F490F" w:rsidRDefault="007F490F" w:rsidP="00793DD5"/>
    <w:sectPr w:rsidR="007F490F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5F1A1" w14:textId="77777777" w:rsidR="004E6E5E" w:rsidRDefault="004E6E5E" w:rsidP="00491644">
      <w:r>
        <w:separator/>
      </w:r>
    </w:p>
  </w:endnote>
  <w:endnote w:type="continuationSeparator" w:id="0">
    <w:p w14:paraId="71F2F06E" w14:textId="77777777" w:rsidR="004E6E5E" w:rsidRDefault="004E6E5E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DACBD" w14:textId="77777777" w:rsidR="00491644" w:rsidRDefault="00491644">
    <w:pPr>
      <w:pStyle w:val="Footer"/>
    </w:pPr>
  </w:p>
  <w:p w14:paraId="7B48843B" w14:textId="13F848C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41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72672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D482306" wp14:editId="5374A43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CCC1EA8" wp14:editId="7DC0DC9B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77AA3B4" w14:textId="02E481B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41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1DE35" w14:textId="77777777" w:rsidR="00491644" w:rsidRDefault="00491644">
    <w:pPr>
      <w:pStyle w:val="Footer"/>
    </w:pPr>
  </w:p>
  <w:p w14:paraId="6626821A" w14:textId="11227CD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41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1D1DA" w14:textId="77777777" w:rsidR="004E6E5E" w:rsidRDefault="004E6E5E" w:rsidP="00491644">
      <w:r>
        <w:separator/>
      </w:r>
    </w:p>
  </w:footnote>
  <w:footnote w:type="continuationSeparator" w:id="0">
    <w:p w14:paraId="7035E5F0" w14:textId="77777777" w:rsidR="004E6E5E" w:rsidRDefault="004E6E5E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16529" w14:textId="3300949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41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162BA00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FE81" w14:textId="77D551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41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020B3" w14:textId="10EB214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41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5131CE0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3838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0F6506"/>
    <w:rsid w:val="00141533"/>
    <w:rsid w:val="00167528"/>
    <w:rsid w:val="00173C97"/>
    <w:rsid w:val="00195CC4"/>
    <w:rsid w:val="00207326"/>
    <w:rsid w:val="00253DF6"/>
    <w:rsid w:val="00255F1E"/>
    <w:rsid w:val="0036503B"/>
    <w:rsid w:val="003B7CF5"/>
    <w:rsid w:val="003D6573"/>
    <w:rsid w:val="003D6D03"/>
    <w:rsid w:val="003E12CA"/>
    <w:rsid w:val="004010DC"/>
    <w:rsid w:val="004341A8"/>
    <w:rsid w:val="004341F0"/>
    <w:rsid w:val="00456324"/>
    <w:rsid w:val="00475460"/>
    <w:rsid w:val="00490317"/>
    <w:rsid w:val="00491644"/>
    <w:rsid w:val="00496A08"/>
    <w:rsid w:val="004E1605"/>
    <w:rsid w:val="004E6E5E"/>
    <w:rsid w:val="004F653C"/>
    <w:rsid w:val="00540A52"/>
    <w:rsid w:val="00557306"/>
    <w:rsid w:val="00645CFA"/>
    <w:rsid w:val="0065178B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8A1AC7"/>
    <w:rsid w:val="00915E01"/>
    <w:rsid w:val="009631A4"/>
    <w:rsid w:val="00977296"/>
    <w:rsid w:val="00994338"/>
    <w:rsid w:val="00A25E93"/>
    <w:rsid w:val="00A320FF"/>
    <w:rsid w:val="00A70AC0"/>
    <w:rsid w:val="00A84EA9"/>
    <w:rsid w:val="00AC443C"/>
    <w:rsid w:val="00AC67A6"/>
    <w:rsid w:val="00B11A55"/>
    <w:rsid w:val="00B17211"/>
    <w:rsid w:val="00B461B2"/>
    <w:rsid w:val="00B619F4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CF559C"/>
    <w:rsid w:val="00D05706"/>
    <w:rsid w:val="00D27DC5"/>
    <w:rsid w:val="00D42E8E"/>
    <w:rsid w:val="00D47E36"/>
    <w:rsid w:val="00DA424A"/>
    <w:rsid w:val="00DC15AA"/>
    <w:rsid w:val="00E55D79"/>
    <w:rsid w:val="00EE2373"/>
    <w:rsid w:val="00EF4761"/>
    <w:rsid w:val="00F35068"/>
    <w:rsid w:val="00F94385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CE068C4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F943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3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3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3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3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38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1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cotland.police.uk/about-us/what-we-do/how-we-are-performing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copfs.gov.uk/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itspublicknowledge.inf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ymzlwhwj/joint-protocol-between-police-scotland-and-copfs-in-partnership-challenging-domestic-abuse.pdf?view=Standard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itspublicknowledge.info/Appe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dcmitype/"/>
    <ds:schemaRef ds:uri="http://schemas.microsoft.com/office/2006/documentManagement/types"/>
    <ds:schemaRef ds:uri="http://www.w3.org/XML/1998/namespace"/>
    <ds:schemaRef ds:uri="0e32d40b-a8f5-4c24-a46b-b72b5f0b9b52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1174</Words>
  <Characters>6692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2024-01-30T11:33:00Z</dcterms:created>
  <dcterms:modified xsi:type="dcterms:W3CDTF">2024-01-30T11:33:00Z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