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9673798" w:rsidR="00B17211" w:rsidRPr="00B17211" w:rsidRDefault="00B17211" w:rsidP="007F490F">
            <w:r w:rsidRPr="007F490F">
              <w:rPr>
                <w:rStyle w:val="Heading2Char"/>
              </w:rPr>
              <w:t>Our reference:</w:t>
            </w:r>
            <w:r>
              <w:t xml:space="preserve">  FOI 2</w:t>
            </w:r>
            <w:r w:rsidR="00EF0FBB">
              <w:t>5</w:t>
            </w:r>
            <w:r>
              <w:t>-</w:t>
            </w:r>
            <w:r w:rsidR="00A34576">
              <w:t>0440</w:t>
            </w:r>
          </w:p>
          <w:p w14:paraId="34BDABA6" w14:textId="4807EA5E" w:rsidR="00B17211" w:rsidRDefault="00456324" w:rsidP="00EE2373">
            <w:r w:rsidRPr="007F490F">
              <w:rPr>
                <w:rStyle w:val="Heading2Char"/>
              </w:rPr>
              <w:t>Respon</w:t>
            </w:r>
            <w:r w:rsidR="007D55F6">
              <w:rPr>
                <w:rStyle w:val="Heading2Char"/>
              </w:rPr>
              <w:t>ded to:</w:t>
            </w:r>
            <w:r w:rsidR="007F490F">
              <w:t xml:space="preserve">  </w:t>
            </w:r>
            <w:r w:rsidR="00A34576">
              <w:t>04 March</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FB126A6" w14:textId="77777777" w:rsidR="008B62C1" w:rsidRDefault="008B62C1" w:rsidP="008B62C1">
      <w:pPr>
        <w:pStyle w:val="Heading2"/>
        <w:rPr>
          <w:rFonts w:eastAsia="Times New Roman"/>
        </w:rPr>
      </w:pPr>
      <w:r>
        <w:rPr>
          <w:rFonts w:eastAsia="Times New Roman"/>
        </w:rPr>
        <w:t>How many individuals referred to Prevent in Scotland were charged with terror-related offences after they had been referred to Prevent?</w:t>
      </w:r>
    </w:p>
    <w:p w14:paraId="559C3F92" w14:textId="416A2185" w:rsidR="003C4609" w:rsidRPr="00453F0A" w:rsidRDefault="003C4609" w:rsidP="006879B0">
      <w:r>
        <w:t>Unfortunately,</w:t>
      </w:r>
      <w:r w:rsidRPr="00453F0A">
        <w:t xml:space="preserve"> I estimate that it would cost well </w:t>
      </w:r>
      <w:proofErr w:type="gramStart"/>
      <w:r w:rsidRPr="00453F0A">
        <w:t>in excess</w:t>
      </w:r>
      <w:r>
        <w:t xml:space="preserve"> of</w:t>
      </w:r>
      <w:proofErr w:type="gramEnd"/>
      <w:r w:rsidRPr="00453F0A">
        <w:t xml:space="preserve"> </w:t>
      </w:r>
      <w:r>
        <w:t>t</w:t>
      </w:r>
      <w:r w:rsidRPr="00453F0A">
        <w:t xml:space="preserve">he </w:t>
      </w:r>
      <w:r w:rsidRPr="00982D19">
        <w:t>current FOI cost threshold</w:t>
      </w:r>
      <w:r>
        <w:t xml:space="preserve"> of </w:t>
      </w:r>
      <w:r w:rsidRPr="00453F0A">
        <w:t>£600</w:t>
      </w:r>
      <w:r>
        <w:t xml:space="preserve"> to process your request</w:t>
      </w:r>
      <w:r w:rsidR="00C47666">
        <w:t xml:space="preserve"> and I</w:t>
      </w:r>
      <w:r>
        <w:t xml:space="preserve"> am therefore refusing to provide the information sought in terms of s</w:t>
      </w:r>
      <w:r w:rsidRPr="00453F0A">
        <w:t xml:space="preserve">ection 12(1) </w:t>
      </w:r>
      <w:r>
        <w:t xml:space="preserve">- </w:t>
      </w:r>
      <w:r w:rsidRPr="00453F0A">
        <w:t>Excessive Cost of Compliance.</w:t>
      </w:r>
    </w:p>
    <w:p w14:paraId="5018F26B" w14:textId="032046AA" w:rsidR="00F62EEA" w:rsidRDefault="008B62C1" w:rsidP="00F62EEA">
      <w:r w:rsidRPr="003A6498">
        <w:t>By way of explanation</w:t>
      </w:r>
      <w:r w:rsidRPr="00B17877">
        <w:t xml:space="preserve">, </w:t>
      </w:r>
      <w:r w:rsidR="003C4609">
        <w:t>more than</w:t>
      </w:r>
      <w:r w:rsidRPr="00B17877">
        <w:t xml:space="preserve"> 1</w:t>
      </w:r>
      <w:r w:rsidR="003C4609">
        <w:t>,</w:t>
      </w:r>
      <w:r w:rsidRPr="00B17877">
        <w:t xml:space="preserve">000 </w:t>
      </w:r>
      <w:r w:rsidR="003C4609">
        <w:t>individuals have been</w:t>
      </w:r>
      <w:r w:rsidRPr="00B17877">
        <w:t xml:space="preserve"> referred to Prevent</w:t>
      </w:r>
      <w:r w:rsidR="00C47666" w:rsidRPr="00C47666">
        <w:t xml:space="preserve"> </w:t>
      </w:r>
      <w:r w:rsidR="00C47666">
        <w:t>s</w:t>
      </w:r>
      <w:r w:rsidR="00C47666" w:rsidRPr="00B17877">
        <w:t xml:space="preserve">ince </w:t>
      </w:r>
      <w:r w:rsidR="00C47666">
        <w:t>its</w:t>
      </w:r>
      <w:r w:rsidR="00C47666" w:rsidRPr="00B17877">
        <w:t xml:space="preserve"> inception</w:t>
      </w:r>
      <w:r w:rsidR="003C4609">
        <w:t xml:space="preserve">, all of whom </w:t>
      </w:r>
      <w:r w:rsidRPr="00B17877">
        <w:t xml:space="preserve">would </w:t>
      </w:r>
      <w:r w:rsidR="003C4609">
        <w:t>have</w:t>
      </w:r>
      <w:r w:rsidRPr="00B17877">
        <w:t xml:space="preserve"> to be </w:t>
      </w:r>
      <w:r w:rsidR="003C4609">
        <w:t>researched</w:t>
      </w:r>
      <w:r w:rsidRPr="00B17877">
        <w:t xml:space="preserve"> against other Police and Criminal Justice systems. </w:t>
      </w:r>
      <w:r w:rsidR="003C4609">
        <w:t>These checks</w:t>
      </w:r>
      <w:r w:rsidRPr="00B17877">
        <w:t xml:space="preserve"> would take </w:t>
      </w:r>
      <w:r w:rsidR="00F62EEA">
        <w:t xml:space="preserve">a considerable amount of time and would exceed the £600 </w:t>
      </w:r>
      <w:r w:rsidR="003C4609">
        <w:t>limit</w:t>
      </w:r>
      <w:r w:rsidR="00F62EEA" w:rsidRPr="00161BB8">
        <w:t>.</w:t>
      </w:r>
    </w:p>
    <w:p w14:paraId="73F33688" w14:textId="77777777" w:rsidR="003C4609" w:rsidRDefault="003C4609" w:rsidP="008B62C1">
      <w:pPr>
        <w:pStyle w:val="Heading2"/>
        <w:rPr>
          <w:rFonts w:eastAsia="Times New Roman"/>
        </w:rPr>
      </w:pPr>
    </w:p>
    <w:p w14:paraId="7A248FDC" w14:textId="58F96DB9" w:rsidR="008B62C1" w:rsidRDefault="008B62C1" w:rsidP="008B62C1">
      <w:pPr>
        <w:pStyle w:val="Heading2"/>
        <w:rPr>
          <w:rFonts w:eastAsia="Times New Roman"/>
        </w:rPr>
      </w:pPr>
      <w:r>
        <w:rPr>
          <w:rFonts w:eastAsia="Times New Roman"/>
        </w:rPr>
        <w:t>How many individuals in total have been the subject of more than one referral to Prevent in Scotland in different years since its introduction? Please break the figures down to show how many referrals in different years were made for the individuals concerned. For example, how many of those individuals were referred in two separate years? How many were referred in three separate years? Etc.</w:t>
      </w:r>
    </w:p>
    <w:p w14:paraId="3354392A" w14:textId="28FD9E93" w:rsidR="00F62EEA" w:rsidRPr="00693DD3" w:rsidRDefault="00F62EEA" w:rsidP="00F62EEA">
      <w:pPr>
        <w:tabs>
          <w:tab w:val="left" w:pos="5400"/>
        </w:tabs>
      </w:pPr>
      <w:r>
        <w:t xml:space="preserve">With regards to providing this information since Prevent was introduced </w:t>
      </w:r>
      <w:r w:rsidRPr="00693DD3">
        <w:t xml:space="preserve">I can advise that </w:t>
      </w:r>
      <w:r w:rsidR="003C4609">
        <w:t>i</w:t>
      </w:r>
      <w:r w:rsidR="003C4609" w:rsidRPr="00693DD3">
        <w:t xml:space="preserve">n terms of </w:t>
      </w:r>
      <w:r w:rsidR="003C4609">
        <w:t>s</w:t>
      </w:r>
      <w:r w:rsidR="003C4609" w:rsidRPr="00693DD3">
        <w:t>ection 17 of the Act</w:t>
      </w:r>
      <w:r w:rsidR="003C4609">
        <w:t>,</w:t>
      </w:r>
      <w:r w:rsidR="003C4609" w:rsidRPr="00693DD3">
        <w:t xml:space="preserve"> </w:t>
      </w:r>
      <w:r w:rsidRPr="00693DD3">
        <w:t xml:space="preserve">Police Scotland does not hold the requested information. </w:t>
      </w:r>
    </w:p>
    <w:p w14:paraId="18BB1F08" w14:textId="05F1766F" w:rsidR="00F62EEA" w:rsidRDefault="003C4609" w:rsidP="00F62EEA">
      <w:r>
        <w:t>In accordance with our R</w:t>
      </w:r>
      <w:r w:rsidR="00F62EEA">
        <w:t xml:space="preserve">ecord </w:t>
      </w:r>
      <w:r>
        <w:t>Re</w:t>
      </w:r>
      <w:r w:rsidR="00F62EEA">
        <w:t xml:space="preserve">tention </w:t>
      </w:r>
      <w:r>
        <w:t>SOP,</w:t>
      </w:r>
      <w:r w:rsidR="00F62EEA">
        <w:t xml:space="preserve"> only records in respect of individuals who have been referred to Prevent within the past 6 years are available for review.</w:t>
      </w:r>
    </w:p>
    <w:p w14:paraId="338A2A36" w14:textId="1A80297D" w:rsidR="00F62EEA" w:rsidRPr="003C4609" w:rsidRDefault="003C4609" w:rsidP="003C4609">
      <w:r>
        <w:t>The tables below however, detail</w:t>
      </w:r>
      <w:r w:rsidR="00F62EEA">
        <w:t xml:space="preserve"> persons who have been referred to Prevent more th</w:t>
      </w:r>
      <w:r w:rsidR="00F62EEA" w:rsidRPr="003C4609">
        <w:t xml:space="preserve">an once </w:t>
      </w:r>
      <w:r w:rsidRPr="003C4609">
        <w:t>over the past 6 years</w:t>
      </w:r>
      <w:r w:rsidR="00F62EEA">
        <w:t>.</w:t>
      </w:r>
    </w:p>
    <w:p w14:paraId="4664A552" w14:textId="77777777" w:rsidR="003C4609" w:rsidRDefault="003C4609">
      <w:r>
        <w:br w:type="page"/>
      </w:r>
    </w:p>
    <w:p w14:paraId="5A229683" w14:textId="409E0317" w:rsidR="00F62EEA" w:rsidRDefault="00F62EEA" w:rsidP="00F62EEA">
      <w:r>
        <w:lastRenderedPageBreak/>
        <w:t xml:space="preserve">Figure 1: </w:t>
      </w:r>
      <w:r w:rsidR="003C4609">
        <w:t>Individuals</w:t>
      </w:r>
      <w:r>
        <w:t xml:space="preserve"> referred to Police Scotland Prevent who have been subject of a previous referral. </w:t>
      </w:r>
    </w:p>
    <w:tbl>
      <w:tblPr>
        <w:tblStyle w:val="TableGrid"/>
        <w:tblW w:w="9741" w:type="dxa"/>
        <w:tblLook w:val="04A0" w:firstRow="1" w:lastRow="0" w:firstColumn="1" w:lastColumn="0" w:noHBand="0" w:noVBand="1"/>
      </w:tblPr>
      <w:tblGrid>
        <w:gridCol w:w="3166"/>
        <w:gridCol w:w="884"/>
        <w:gridCol w:w="884"/>
        <w:gridCol w:w="884"/>
        <w:gridCol w:w="884"/>
        <w:gridCol w:w="884"/>
        <w:gridCol w:w="884"/>
        <w:gridCol w:w="1271"/>
      </w:tblGrid>
      <w:tr w:rsidR="003C4609" w:rsidRPr="003C4609" w14:paraId="73F80309" w14:textId="77777777" w:rsidTr="008F6980">
        <w:tc>
          <w:tcPr>
            <w:tcW w:w="3166" w:type="dxa"/>
            <w:shd w:val="clear" w:color="auto" w:fill="D9D9D9" w:themeFill="background1" w:themeFillShade="D9"/>
          </w:tcPr>
          <w:p w14:paraId="4A694493" w14:textId="77777777" w:rsidR="003C4609" w:rsidRPr="003C4609" w:rsidRDefault="003C4609" w:rsidP="003C4609">
            <w:pPr>
              <w:spacing w:line="240" w:lineRule="auto"/>
              <w:rPr>
                <w:b/>
                <w:bCs/>
              </w:rPr>
            </w:pPr>
            <w:r w:rsidRPr="003C4609">
              <w:rPr>
                <w:b/>
                <w:bCs/>
              </w:rPr>
              <w:t>Year of referral</w:t>
            </w:r>
          </w:p>
        </w:tc>
        <w:tc>
          <w:tcPr>
            <w:tcW w:w="884" w:type="dxa"/>
            <w:shd w:val="clear" w:color="auto" w:fill="D9D9D9" w:themeFill="background1" w:themeFillShade="D9"/>
          </w:tcPr>
          <w:p w14:paraId="4378AA25" w14:textId="77777777" w:rsidR="003C4609" w:rsidRPr="003C4609" w:rsidRDefault="003C4609" w:rsidP="003C4609">
            <w:pPr>
              <w:spacing w:line="240" w:lineRule="auto"/>
              <w:rPr>
                <w:b/>
                <w:bCs/>
              </w:rPr>
            </w:pPr>
            <w:r w:rsidRPr="003C4609">
              <w:rPr>
                <w:b/>
                <w:bCs/>
              </w:rPr>
              <w:t>2019</w:t>
            </w:r>
          </w:p>
        </w:tc>
        <w:tc>
          <w:tcPr>
            <w:tcW w:w="884" w:type="dxa"/>
            <w:shd w:val="clear" w:color="auto" w:fill="D9D9D9" w:themeFill="background1" w:themeFillShade="D9"/>
          </w:tcPr>
          <w:p w14:paraId="0724391E" w14:textId="77777777" w:rsidR="003C4609" w:rsidRPr="003C4609" w:rsidRDefault="003C4609" w:rsidP="003C4609">
            <w:pPr>
              <w:spacing w:line="240" w:lineRule="auto"/>
              <w:rPr>
                <w:b/>
                <w:bCs/>
              </w:rPr>
            </w:pPr>
            <w:r w:rsidRPr="003C4609">
              <w:rPr>
                <w:b/>
                <w:bCs/>
              </w:rPr>
              <w:t>2020</w:t>
            </w:r>
          </w:p>
        </w:tc>
        <w:tc>
          <w:tcPr>
            <w:tcW w:w="884" w:type="dxa"/>
            <w:shd w:val="clear" w:color="auto" w:fill="D9D9D9" w:themeFill="background1" w:themeFillShade="D9"/>
          </w:tcPr>
          <w:p w14:paraId="13AFE80D" w14:textId="77777777" w:rsidR="003C4609" w:rsidRPr="003C4609" w:rsidRDefault="003C4609" w:rsidP="003C4609">
            <w:pPr>
              <w:spacing w:line="240" w:lineRule="auto"/>
              <w:rPr>
                <w:b/>
                <w:bCs/>
              </w:rPr>
            </w:pPr>
            <w:r w:rsidRPr="003C4609">
              <w:rPr>
                <w:b/>
                <w:bCs/>
              </w:rPr>
              <w:t>2021</w:t>
            </w:r>
          </w:p>
        </w:tc>
        <w:tc>
          <w:tcPr>
            <w:tcW w:w="884" w:type="dxa"/>
            <w:shd w:val="clear" w:color="auto" w:fill="D9D9D9" w:themeFill="background1" w:themeFillShade="D9"/>
          </w:tcPr>
          <w:p w14:paraId="5E65FE62" w14:textId="77777777" w:rsidR="003C4609" w:rsidRPr="003C4609" w:rsidRDefault="003C4609" w:rsidP="003C4609">
            <w:pPr>
              <w:spacing w:line="240" w:lineRule="auto"/>
              <w:rPr>
                <w:b/>
                <w:bCs/>
              </w:rPr>
            </w:pPr>
            <w:r w:rsidRPr="003C4609">
              <w:rPr>
                <w:b/>
                <w:bCs/>
              </w:rPr>
              <w:t>2022</w:t>
            </w:r>
          </w:p>
        </w:tc>
        <w:tc>
          <w:tcPr>
            <w:tcW w:w="884" w:type="dxa"/>
            <w:shd w:val="clear" w:color="auto" w:fill="D9D9D9" w:themeFill="background1" w:themeFillShade="D9"/>
          </w:tcPr>
          <w:p w14:paraId="09DCD045" w14:textId="77777777" w:rsidR="003C4609" w:rsidRPr="003C4609" w:rsidRDefault="003C4609" w:rsidP="003C4609">
            <w:pPr>
              <w:spacing w:line="240" w:lineRule="auto"/>
              <w:rPr>
                <w:b/>
                <w:bCs/>
              </w:rPr>
            </w:pPr>
            <w:r w:rsidRPr="003C4609">
              <w:rPr>
                <w:b/>
                <w:bCs/>
              </w:rPr>
              <w:t>2023</w:t>
            </w:r>
          </w:p>
        </w:tc>
        <w:tc>
          <w:tcPr>
            <w:tcW w:w="884" w:type="dxa"/>
            <w:shd w:val="clear" w:color="auto" w:fill="D9D9D9" w:themeFill="background1" w:themeFillShade="D9"/>
          </w:tcPr>
          <w:p w14:paraId="772E924C" w14:textId="77777777" w:rsidR="003C4609" w:rsidRPr="003C4609" w:rsidRDefault="003C4609" w:rsidP="003C4609">
            <w:pPr>
              <w:spacing w:line="240" w:lineRule="auto"/>
              <w:rPr>
                <w:b/>
                <w:bCs/>
              </w:rPr>
            </w:pPr>
            <w:r w:rsidRPr="003C4609">
              <w:rPr>
                <w:b/>
                <w:bCs/>
              </w:rPr>
              <w:t>2024</w:t>
            </w:r>
          </w:p>
        </w:tc>
        <w:tc>
          <w:tcPr>
            <w:tcW w:w="1271" w:type="dxa"/>
            <w:shd w:val="clear" w:color="auto" w:fill="D9D9D9" w:themeFill="background1" w:themeFillShade="D9"/>
          </w:tcPr>
          <w:p w14:paraId="50AF6665" w14:textId="77777777" w:rsidR="003C4609" w:rsidRPr="003C4609" w:rsidRDefault="003C4609" w:rsidP="003C4609">
            <w:pPr>
              <w:spacing w:line="240" w:lineRule="auto"/>
              <w:rPr>
                <w:b/>
                <w:bCs/>
              </w:rPr>
            </w:pPr>
            <w:r w:rsidRPr="003C4609">
              <w:rPr>
                <w:b/>
                <w:bCs/>
              </w:rPr>
              <w:t xml:space="preserve">2025 </w:t>
            </w:r>
            <w:proofErr w:type="spellStart"/>
            <w:r w:rsidRPr="003C4609">
              <w:rPr>
                <w:b/>
                <w:bCs/>
              </w:rPr>
              <w:t>ytd</w:t>
            </w:r>
            <w:proofErr w:type="spellEnd"/>
          </w:p>
        </w:tc>
      </w:tr>
      <w:tr w:rsidR="003C4609" w:rsidRPr="003C4609" w14:paraId="5B643933" w14:textId="77777777" w:rsidTr="008F6980">
        <w:tc>
          <w:tcPr>
            <w:tcW w:w="3166" w:type="dxa"/>
          </w:tcPr>
          <w:p w14:paraId="0C996204" w14:textId="77777777" w:rsidR="003C4609" w:rsidRPr="003C4609" w:rsidRDefault="003C4609" w:rsidP="003C4609">
            <w:pPr>
              <w:spacing w:line="240" w:lineRule="auto"/>
            </w:pPr>
            <w:r w:rsidRPr="003C4609">
              <w:t>Persons subject to previous Prevent referral(s)</w:t>
            </w:r>
          </w:p>
        </w:tc>
        <w:tc>
          <w:tcPr>
            <w:tcW w:w="884" w:type="dxa"/>
          </w:tcPr>
          <w:p w14:paraId="7351DCBC" w14:textId="77777777" w:rsidR="003C4609" w:rsidRPr="003C4609" w:rsidRDefault="003C4609" w:rsidP="003C4609">
            <w:pPr>
              <w:spacing w:line="240" w:lineRule="auto"/>
            </w:pPr>
            <w:r w:rsidRPr="003C4609">
              <w:t>10</w:t>
            </w:r>
          </w:p>
        </w:tc>
        <w:tc>
          <w:tcPr>
            <w:tcW w:w="884" w:type="dxa"/>
          </w:tcPr>
          <w:p w14:paraId="268E1BB9" w14:textId="77777777" w:rsidR="003C4609" w:rsidRPr="003C4609" w:rsidRDefault="003C4609" w:rsidP="003C4609">
            <w:pPr>
              <w:spacing w:line="240" w:lineRule="auto"/>
            </w:pPr>
            <w:r w:rsidRPr="003C4609">
              <w:t>6</w:t>
            </w:r>
          </w:p>
        </w:tc>
        <w:tc>
          <w:tcPr>
            <w:tcW w:w="884" w:type="dxa"/>
          </w:tcPr>
          <w:p w14:paraId="34CA52C3" w14:textId="77777777" w:rsidR="003C4609" w:rsidRPr="003C4609" w:rsidRDefault="003C4609" w:rsidP="003C4609">
            <w:pPr>
              <w:spacing w:line="240" w:lineRule="auto"/>
            </w:pPr>
            <w:r w:rsidRPr="003C4609">
              <w:t>9</w:t>
            </w:r>
          </w:p>
        </w:tc>
        <w:tc>
          <w:tcPr>
            <w:tcW w:w="884" w:type="dxa"/>
          </w:tcPr>
          <w:p w14:paraId="50D5D26A" w14:textId="77777777" w:rsidR="003C4609" w:rsidRPr="003C4609" w:rsidRDefault="003C4609" w:rsidP="003C4609">
            <w:pPr>
              <w:spacing w:line="240" w:lineRule="auto"/>
            </w:pPr>
            <w:r w:rsidRPr="003C4609">
              <w:t>10</w:t>
            </w:r>
          </w:p>
        </w:tc>
        <w:tc>
          <w:tcPr>
            <w:tcW w:w="884" w:type="dxa"/>
          </w:tcPr>
          <w:p w14:paraId="35F6029A" w14:textId="77777777" w:rsidR="003C4609" w:rsidRPr="003C4609" w:rsidRDefault="003C4609" w:rsidP="003C4609">
            <w:pPr>
              <w:spacing w:line="240" w:lineRule="auto"/>
            </w:pPr>
            <w:r w:rsidRPr="003C4609">
              <w:t>9</w:t>
            </w:r>
          </w:p>
        </w:tc>
        <w:tc>
          <w:tcPr>
            <w:tcW w:w="884" w:type="dxa"/>
          </w:tcPr>
          <w:p w14:paraId="39CE9C79" w14:textId="77777777" w:rsidR="003C4609" w:rsidRPr="003C4609" w:rsidRDefault="003C4609" w:rsidP="003C4609">
            <w:pPr>
              <w:spacing w:line="240" w:lineRule="auto"/>
            </w:pPr>
            <w:r w:rsidRPr="003C4609">
              <w:t>12</w:t>
            </w:r>
          </w:p>
        </w:tc>
        <w:tc>
          <w:tcPr>
            <w:tcW w:w="1271" w:type="dxa"/>
          </w:tcPr>
          <w:p w14:paraId="46558F38" w14:textId="77777777" w:rsidR="003C4609" w:rsidRPr="003C4609" w:rsidRDefault="003C4609" w:rsidP="003C4609">
            <w:pPr>
              <w:spacing w:line="240" w:lineRule="auto"/>
            </w:pPr>
            <w:r w:rsidRPr="003C4609">
              <w:t>2</w:t>
            </w:r>
          </w:p>
        </w:tc>
      </w:tr>
    </w:tbl>
    <w:p w14:paraId="042F3C69" w14:textId="77777777" w:rsidR="003C4609" w:rsidRDefault="003C4609" w:rsidP="00F62EEA"/>
    <w:p w14:paraId="035DEA29" w14:textId="6071AE0E" w:rsidR="00F62EEA" w:rsidRDefault="003C4609" w:rsidP="00F62EEA">
      <w:r>
        <w:t>Please note these figures also include persons who have been transferred to Police Scotland prevent from another UK policing area, and do not necessarily indicate a new Prevent relevant concern.</w:t>
      </w:r>
    </w:p>
    <w:p w14:paraId="19693388" w14:textId="77777777" w:rsidR="003C4609" w:rsidRDefault="003C4609" w:rsidP="00F62EEA"/>
    <w:p w14:paraId="4E3D17C7" w14:textId="77F07CE0" w:rsidR="00F62EEA" w:rsidRDefault="00F62EEA" w:rsidP="00F62EEA">
      <w:r>
        <w:t xml:space="preserve">Figure 2. </w:t>
      </w:r>
      <w:r w:rsidR="003C4609">
        <w:t>Individuals</w:t>
      </w:r>
      <w:r>
        <w:t xml:space="preserve"> who have been subject of Prevent referrals over multiple years.</w:t>
      </w:r>
    </w:p>
    <w:tbl>
      <w:tblPr>
        <w:tblStyle w:val="TableGrid"/>
        <w:tblW w:w="9741" w:type="dxa"/>
        <w:tblLook w:val="04A0" w:firstRow="1" w:lastRow="0" w:firstColumn="1" w:lastColumn="0" w:noHBand="0" w:noVBand="1"/>
      </w:tblPr>
      <w:tblGrid>
        <w:gridCol w:w="4106"/>
        <w:gridCol w:w="1134"/>
        <w:gridCol w:w="1134"/>
        <w:gridCol w:w="1134"/>
        <w:gridCol w:w="1134"/>
        <w:gridCol w:w="1099"/>
      </w:tblGrid>
      <w:tr w:rsidR="00F62EEA" w:rsidRPr="003C4609" w14:paraId="20ECE322" w14:textId="77777777" w:rsidTr="003C4609">
        <w:tc>
          <w:tcPr>
            <w:tcW w:w="4106" w:type="dxa"/>
            <w:shd w:val="clear" w:color="auto" w:fill="D9D9D9" w:themeFill="background1" w:themeFillShade="D9"/>
          </w:tcPr>
          <w:p w14:paraId="18C6075C" w14:textId="77777777" w:rsidR="00F62EEA" w:rsidRPr="003C4609" w:rsidRDefault="00F62EEA" w:rsidP="003C4609">
            <w:pPr>
              <w:spacing w:line="240" w:lineRule="auto"/>
              <w:rPr>
                <w:b/>
                <w:bCs/>
              </w:rPr>
            </w:pPr>
            <w:r w:rsidRPr="003C4609">
              <w:rPr>
                <w:b/>
                <w:bCs/>
              </w:rPr>
              <w:t>Number of years referred to Prevent</w:t>
            </w:r>
          </w:p>
        </w:tc>
        <w:tc>
          <w:tcPr>
            <w:tcW w:w="1134" w:type="dxa"/>
            <w:shd w:val="clear" w:color="auto" w:fill="D9D9D9" w:themeFill="background1" w:themeFillShade="D9"/>
          </w:tcPr>
          <w:p w14:paraId="001514A4" w14:textId="77777777" w:rsidR="00F62EEA" w:rsidRPr="003C4609" w:rsidRDefault="00F62EEA" w:rsidP="003C4609">
            <w:pPr>
              <w:spacing w:line="240" w:lineRule="auto"/>
              <w:rPr>
                <w:b/>
                <w:bCs/>
              </w:rPr>
            </w:pPr>
            <w:r w:rsidRPr="003C4609">
              <w:rPr>
                <w:b/>
                <w:bCs/>
              </w:rPr>
              <w:t>2 years</w:t>
            </w:r>
          </w:p>
        </w:tc>
        <w:tc>
          <w:tcPr>
            <w:tcW w:w="1134" w:type="dxa"/>
            <w:shd w:val="clear" w:color="auto" w:fill="D9D9D9" w:themeFill="background1" w:themeFillShade="D9"/>
          </w:tcPr>
          <w:p w14:paraId="43C57E3E" w14:textId="77777777" w:rsidR="00F62EEA" w:rsidRPr="003C4609" w:rsidRDefault="00F62EEA" w:rsidP="003C4609">
            <w:pPr>
              <w:spacing w:line="240" w:lineRule="auto"/>
              <w:rPr>
                <w:b/>
                <w:bCs/>
              </w:rPr>
            </w:pPr>
            <w:r w:rsidRPr="003C4609">
              <w:rPr>
                <w:b/>
                <w:bCs/>
              </w:rPr>
              <w:t>3 years</w:t>
            </w:r>
          </w:p>
        </w:tc>
        <w:tc>
          <w:tcPr>
            <w:tcW w:w="1134" w:type="dxa"/>
            <w:shd w:val="clear" w:color="auto" w:fill="D9D9D9" w:themeFill="background1" w:themeFillShade="D9"/>
          </w:tcPr>
          <w:p w14:paraId="0A88DFE1" w14:textId="77777777" w:rsidR="00F62EEA" w:rsidRPr="003C4609" w:rsidRDefault="00F62EEA" w:rsidP="003C4609">
            <w:pPr>
              <w:spacing w:line="240" w:lineRule="auto"/>
              <w:rPr>
                <w:b/>
                <w:bCs/>
              </w:rPr>
            </w:pPr>
            <w:r w:rsidRPr="003C4609">
              <w:rPr>
                <w:b/>
                <w:bCs/>
              </w:rPr>
              <w:t>4 years</w:t>
            </w:r>
          </w:p>
        </w:tc>
        <w:tc>
          <w:tcPr>
            <w:tcW w:w="1134" w:type="dxa"/>
            <w:shd w:val="clear" w:color="auto" w:fill="D9D9D9" w:themeFill="background1" w:themeFillShade="D9"/>
          </w:tcPr>
          <w:p w14:paraId="40016333" w14:textId="77777777" w:rsidR="00F62EEA" w:rsidRPr="003C4609" w:rsidRDefault="00F62EEA" w:rsidP="003C4609">
            <w:pPr>
              <w:spacing w:line="240" w:lineRule="auto"/>
              <w:rPr>
                <w:b/>
                <w:bCs/>
              </w:rPr>
            </w:pPr>
            <w:r w:rsidRPr="003C4609">
              <w:rPr>
                <w:b/>
                <w:bCs/>
              </w:rPr>
              <w:t>5 years</w:t>
            </w:r>
          </w:p>
        </w:tc>
        <w:tc>
          <w:tcPr>
            <w:tcW w:w="1099" w:type="dxa"/>
            <w:shd w:val="clear" w:color="auto" w:fill="D9D9D9" w:themeFill="background1" w:themeFillShade="D9"/>
          </w:tcPr>
          <w:p w14:paraId="104778AB" w14:textId="77777777" w:rsidR="00F62EEA" w:rsidRPr="003C4609" w:rsidRDefault="00F62EEA" w:rsidP="003C4609">
            <w:pPr>
              <w:spacing w:line="240" w:lineRule="auto"/>
              <w:rPr>
                <w:b/>
                <w:bCs/>
              </w:rPr>
            </w:pPr>
            <w:r w:rsidRPr="003C4609">
              <w:rPr>
                <w:b/>
                <w:bCs/>
              </w:rPr>
              <w:t>6 years</w:t>
            </w:r>
          </w:p>
        </w:tc>
      </w:tr>
      <w:tr w:rsidR="00F62EEA" w14:paraId="3238174D" w14:textId="77777777" w:rsidTr="003C4609">
        <w:tc>
          <w:tcPr>
            <w:tcW w:w="4106" w:type="dxa"/>
          </w:tcPr>
          <w:p w14:paraId="3AD24CDE" w14:textId="0047E56D" w:rsidR="00F62EEA" w:rsidRDefault="003C4609" w:rsidP="003C4609">
            <w:pPr>
              <w:spacing w:line="240" w:lineRule="auto"/>
            </w:pPr>
            <w:r>
              <w:t>P</w:t>
            </w:r>
            <w:r w:rsidR="00F62EEA">
              <w:t xml:space="preserve">ersons subject to referrals </w:t>
            </w:r>
          </w:p>
        </w:tc>
        <w:tc>
          <w:tcPr>
            <w:tcW w:w="1134" w:type="dxa"/>
          </w:tcPr>
          <w:p w14:paraId="30DBBF5C" w14:textId="77777777" w:rsidR="00F62EEA" w:rsidRDefault="00F62EEA" w:rsidP="003C4609">
            <w:pPr>
              <w:spacing w:line="240" w:lineRule="auto"/>
            </w:pPr>
            <w:r>
              <w:t>19</w:t>
            </w:r>
          </w:p>
        </w:tc>
        <w:tc>
          <w:tcPr>
            <w:tcW w:w="1134" w:type="dxa"/>
          </w:tcPr>
          <w:p w14:paraId="7948F6AC" w14:textId="77777777" w:rsidR="00F62EEA" w:rsidRDefault="00F62EEA" w:rsidP="003C4609">
            <w:pPr>
              <w:spacing w:line="240" w:lineRule="auto"/>
            </w:pPr>
            <w:r>
              <w:t>4</w:t>
            </w:r>
          </w:p>
        </w:tc>
        <w:tc>
          <w:tcPr>
            <w:tcW w:w="1134" w:type="dxa"/>
          </w:tcPr>
          <w:p w14:paraId="7F2C24E8" w14:textId="77777777" w:rsidR="00F62EEA" w:rsidRDefault="00F62EEA" w:rsidP="003C4609">
            <w:pPr>
              <w:spacing w:line="240" w:lineRule="auto"/>
            </w:pPr>
            <w:r>
              <w:t>1</w:t>
            </w:r>
          </w:p>
        </w:tc>
        <w:tc>
          <w:tcPr>
            <w:tcW w:w="1134" w:type="dxa"/>
          </w:tcPr>
          <w:p w14:paraId="5B90E55F" w14:textId="77777777" w:rsidR="00F62EEA" w:rsidRDefault="00F62EEA" w:rsidP="003C4609">
            <w:pPr>
              <w:spacing w:line="240" w:lineRule="auto"/>
            </w:pPr>
            <w:r>
              <w:t>0</w:t>
            </w:r>
          </w:p>
        </w:tc>
        <w:tc>
          <w:tcPr>
            <w:tcW w:w="1099" w:type="dxa"/>
          </w:tcPr>
          <w:p w14:paraId="60BC488C" w14:textId="77777777" w:rsidR="00F62EEA" w:rsidRDefault="00F62EEA" w:rsidP="003C4609">
            <w:pPr>
              <w:spacing w:line="240" w:lineRule="auto"/>
            </w:pPr>
            <w:r>
              <w:t>0</w:t>
            </w:r>
          </w:p>
        </w:tc>
      </w:tr>
    </w:tbl>
    <w:p w14:paraId="7C62DA26" w14:textId="77777777" w:rsidR="00F62EEA" w:rsidRPr="00F62EEA" w:rsidRDefault="00F62EEA" w:rsidP="00F62EEA"/>
    <w:p w14:paraId="7DC023FD" w14:textId="33E852DE" w:rsidR="008B62C1" w:rsidRDefault="008B62C1" w:rsidP="003C4609">
      <w:pPr>
        <w:pStyle w:val="Heading2"/>
      </w:pPr>
      <w:r w:rsidRPr="00484624">
        <w:t>Please can you tell me if any of the individuals identified in this Crown Office document (link below) detailing individuals convicted of terror offences had been referred to Prevent in Scotland. If so, please indicate which of the individuals concerned was referred to Prevent in Scotland and how many times in total they were referred</w:t>
      </w:r>
      <w:r w:rsidR="003C4609">
        <w:t xml:space="preserve">: </w:t>
      </w:r>
      <w:hyperlink r:id="rId11" w:history="1">
        <w:r>
          <w:rPr>
            <w:rStyle w:val="Hyperlink"/>
          </w:rPr>
          <w:t>https://www.copfs.gov.uk/crime-info/terrorism-prosecutions-in-scotland/</w:t>
        </w:r>
      </w:hyperlink>
    </w:p>
    <w:p w14:paraId="620E2FD4" w14:textId="77777777" w:rsidR="003C4609" w:rsidRDefault="003C4609"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099DACC5" w14:textId="77777777" w:rsidR="00E33074" w:rsidRPr="00405259" w:rsidRDefault="00E33074" w:rsidP="00E33074">
      <w:pPr>
        <w:rPr>
          <w:b/>
          <w:bCs/>
        </w:rPr>
      </w:pPr>
      <w:bookmarkStart w:id="0" w:name="_Hlk181353094"/>
      <w:r w:rsidRPr="00405259">
        <w:rPr>
          <w:b/>
          <w:bCs/>
        </w:rPr>
        <w:t>Section 34(1)(b) - Investigations</w:t>
      </w:r>
    </w:p>
    <w:p w14:paraId="00F9A9A8" w14:textId="77777777" w:rsidR="00E33074" w:rsidRDefault="00E33074" w:rsidP="00E33074">
      <w:r>
        <w:t>Information is exempt information if it has at any time been held by a Scottish public authority for the purposes of an investigation, conducted by the authority, which in the circumstances may lead to a decision by the authority to make a report to the procurator fiscal to enable it to be determined whether criminal proceedings should be instituted.</w:t>
      </w:r>
    </w:p>
    <w:p w14:paraId="165DCA0F" w14:textId="77777777" w:rsidR="00E33074" w:rsidRPr="00D0113D" w:rsidRDefault="00E33074" w:rsidP="00E33074">
      <w:pPr>
        <w:tabs>
          <w:tab w:val="left" w:pos="5400"/>
        </w:tabs>
        <w:rPr>
          <w:b/>
          <w:bCs/>
        </w:rPr>
      </w:pPr>
      <w:r w:rsidRPr="00D0113D">
        <w:rPr>
          <w:b/>
          <w:bCs/>
        </w:rPr>
        <w:t>Section 38(1)</w:t>
      </w:r>
      <w:r>
        <w:rPr>
          <w:b/>
          <w:bCs/>
        </w:rPr>
        <w:t xml:space="preserve"> </w:t>
      </w:r>
      <w:r w:rsidRPr="00D0113D">
        <w:rPr>
          <w:b/>
          <w:bCs/>
        </w:rPr>
        <w:t>(b) - Personal Data</w:t>
      </w:r>
    </w:p>
    <w:p w14:paraId="271D5EF8" w14:textId="77777777" w:rsidR="00E33074" w:rsidRDefault="00E33074" w:rsidP="00E33074">
      <w:r>
        <w:t>Personal data is defined in Article 4 of the General Data Protection Regulation (GDPR) as:</w:t>
      </w:r>
    </w:p>
    <w:p w14:paraId="2CD10871" w14:textId="77777777" w:rsidR="00E33074" w:rsidRPr="00D0113D" w:rsidRDefault="00E33074" w:rsidP="00E33074">
      <w:r w:rsidRPr="00D0113D">
        <w:rPr>
          <w:i/>
          <w:iCs/>
        </w:rP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A3DA14D" w14:textId="77777777" w:rsidR="00E33074" w:rsidRDefault="00E33074" w:rsidP="00E33074">
      <w:r>
        <w:t>Section 38(2A) of the Act provides that personal data is exempt from disclosure where disclosure would contravene any of the data protection principles set out at Article 5(1) of the GDPR which states that:</w:t>
      </w:r>
    </w:p>
    <w:p w14:paraId="59620766" w14:textId="77777777" w:rsidR="00E33074" w:rsidRPr="00D0113D" w:rsidRDefault="00E33074" w:rsidP="00E33074">
      <w:r w:rsidRPr="00D0113D">
        <w:rPr>
          <w:i/>
          <w:iCs/>
        </w:rPr>
        <w:t>‘Personal data shall be processed lawfully, fairly and in a transparent manner in relation to the data subject’</w:t>
      </w:r>
    </w:p>
    <w:p w14:paraId="20C2BAA2" w14:textId="77777777" w:rsidR="00E33074" w:rsidRDefault="00E33074" w:rsidP="00E33074">
      <w:r>
        <w:t>Article 6 of the GDPR goes on to state that processing shall be lawful only if certain conditions are met.</w:t>
      </w:r>
    </w:p>
    <w:p w14:paraId="697EA5E0" w14:textId="77777777" w:rsidR="00E33074" w:rsidRPr="00D0113D" w:rsidRDefault="00E33074" w:rsidP="00E33074">
      <w:pPr>
        <w:rPr>
          <w:i/>
          <w:iCs/>
        </w:rPr>
      </w:pPr>
      <w:r>
        <w:t xml:space="preserve">The only potentially applicable condition is set out at Article 6(1)(f) which states: </w:t>
      </w:r>
      <w:r w:rsidRPr="00D0113D">
        <w:rPr>
          <w:i/>
          <w:iCs/>
        </w:rPr>
        <w:t>‘Processing is necessary for the purposes of the legitimate interests pursued by the controller or by a third party, except where such interests are overridden by the interests or fundamental rights and freedoms of the data subject which requ</w:t>
      </w:r>
      <w:r>
        <w:rPr>
          <w:i/>
          <w:iCs/>
        </w:rPr>
        <w:t>ire protection of personal data.</w:t>
      </w:r>
      <w:r w:rsidRPr="00D0113D">
        <w:rPr>
          <w:i/>
          <w:iCs/>
        </w:rPr>
        <w:t xml:space="preserve"> </w:t>
      </w:r>
    </w:p>
    <w:p w14:paraId="190AF882" w14:textId="5241CB8B" w:rsidR="00E33074" w:rsidRPr="00405259" w:rsidRDefault="00E33074" w:rsidP="00E33074">
      <w:r>
        <w:t>Whilst I accept that you may have a legitimate interest with regards the disclosure of this information, I am nonetheless of the view that those interests are overridden by the interests or fundamental rights and freedoms of the data subject(s). On that basis, it is my view that disclosure of the information sought would be unlawful.</w:t>
      </w:r>
    </w:p>
    <w:bookmarkEnd w:id="0"/>
    <w:p w14:paraId="32CFC0A2" w14:textId="77777777" w:rsidR="00E33074" w:rsidRPr="00405259" w:rsidRDefault="00E33074" w:rsidP="00E33074">
      <w:pPr>
        <w:pStyle w:val="Heading2"/>
      </w:pPr>
      <w:r w:rsidRPr="00405259">
        <w:t>Public Interest Test</w:t>
      </w:r>
    </w:p>
    <w:p w14:paraId="028C2A06" w14:textId="77777777" w:rsidR="00E33074" w:rsidRPr="00E676B3" w:rsidRDefault="00E33074" w:rsidP="00E33074">
      <w:r w:rsidRPr="00E676B3">
        <w:t xml:space="preserve">It is in the public interest that an understanding exists as to the processes involved in police investigations and in their relative success. This is particularly true in investigations, therefore, accountability and transparency relating to the actions of Police Scotland and its officers would favour disclosure of the information. </w:t>
      </w:r>
    </w:p>
    <w:p w14:paraId="5634D1FD" w14:textId="77777777" w:rsidR="00E33074" w:rsidRDefault="00E33074" w:rsidP="00E33074">
      <w:r w:rsidRPr="00E676B3">
        <w:t xml:space="preserve">That said, </w:t>
      </w:r>
      <w:r>
        <w:t>w</w:t>
      </w:r>
      <w:r w:rsidRPr="008879CF">
        <w:t>hen the Freedom of Information Bill was considered by the Scottish Parliament, the then Lord Advocate stated that the exemptions detailed in section 34(1) were essential for an effective justice system.</w:t>
      </w:r>
      <w:r>
        <w:t xml:space="preserve">  </w:t>
      </w:r>
      <w:proofErr w:type="gramStart"/>
      <w:r>
        <w:t>Section 34,</w:t>
      </w:r>
      <w:proofErr w:type="gramEnd"/>
      <w:r>
        <w:t xml:space="preserve"> has no harm test and information will be exempt from disclosure simply because it has, at some point, been held by an authority for any of these purposes listed.</w:t>
      </w:r>
    </w:p>
    <w:p w14:paraId="4368BE63" w14:textId="77777777" w:rsidR="00E33074" w:rsidRPr="00B11A55" w:rsidRDefault="00E33074" w:rsidP="00E33074">
      <w:r w:rsidRPr="008879CF">
        <w:t xml:space="preserve">Accordingly, </w:t>
      </w:r>
      <w:r>
        <w:t xml:space="preserve">I can find no </w:t>
      </w:r>
      <w:r w:rsidRPr="00983146">
        <w:t>public interest in the disclosu</w:t>
      </w:r>
      <w:r>
        <w:t>re of the requested information.</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E7270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000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0EAB8E2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000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ECF77D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000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A8D1BC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0005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FCA43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0005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D1E721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0005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B64"/>
    <w:multiLevelType w:val="hybridMultilevel"/>
    <w:tmpl w:val="D88287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21644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005B"/>
    <w:rsid w:val="00090F3B"/>
    <w:rsid w:val="000E2F19"/>
    <w:rsid w:val="000E6526"/>
    <w:rsid w:val="00141533"/>
    <w:rsid w:val="00167528"/>
    <w:rsid w:val="00195CC4"/>
    <w:rsid w:val="00207326"/>
    <w:rsid w:val="00253DF6"/>
    <w:rsid w:val="00255F1E"/>
    <w:rsid w:val="0036503B"/>
    <w:rsid w:val="00371762"/>
    <w:rsid w:val="00376A4A"/>
    <w:rsid w:val="003C4609"/>
    <w:rsid w:val="003D6D03"/>
    <w:rsid w:val="003E12CA"/>
    <w:rsid w:val="004010DC"/>
    <w:rsid w:val="004341F0"/>
    <w:rsid w:val="00456324"/>
    <w:rsid w:val="00475460"/>
    <w:rsid w:val="00484624"/>
    <w:rsid w:val="00490317"/>
    <w:rsid w:val="00491644"/>
    <w:rsid w:val="00496A08"/>
    <w:rsid w:val="004E1605"/>
    <w:rsid w:val="004F653C"/>
    <w:rsid w:val="00540A52"/>
    <w:rsid w:val="00557306"/>
    <w:rsid w:val="00642E39"/>
    <w:rsid w:val="00645CFA"/>
    <w:rsid w:val="00685219"/>
    <w:rsid w:val="006D5799"/>
    <w:rsid w:val="00700EA1"/>
    <w:rsid w:val="007440EA"/>
    <w:rsid w:val="00750D83"/>
    <w:rsid w:val="00785DBC"/>
    <w:rsid w:val="00793DD5"/>
    <w:rsid w:val="007D55F6"/>
    <w:rsid w:val="007F490F"/>
    <w:rsid w:val="0086779C"/>
    <w:rsid w:val="00874BFD"/>
    <w:rsid w:val="008964EF"/>
    <w:rsid w:val="008B62C1"/>
    <w:rsid w:val="00915E01"/>
    <w:rsid w:val="009631A4"/>
    <w:rsid w:val="00977296"/>
    <w:rsid w:val="00A25E93"/>
    <w:rsid w:val="00A320FF"/>
    <w:rsid w:val="00A34576"/>
    <w:rsid w:val="00A70AC0"/>
    <w:rsid w:val="00A84EA9"/>
    <w:rsid w:val="00A85836"/>
    <w:rsid w:val="00AC443C"/>
    <w:rsid w:val="00B033D6"/>
    <w:rsid w:val="00B11A55"/>
    <w:rsid w:val="00B17211"/>
    <w:rsid w:val="00B461B2"/>
    <w:rsid w:val="00B654B6"/>
    <w:rsid w:val="00B71B3C"/>
    <w:rsid w:val="00BC389E"/>
    <w:rsid w:val="00BE1888"/>
    <w:rsid w:val="00BF6B81"/>
    <w:rsid w:val="00C077A8"/>
    <w:rsid w:val="00C14FF4"/>
    <w:rsid w:val="00C1679F"/>
    <w:rsid w:val="00C47666"/>
    <w:rsid w:val="00C606A2"/>
    <w:rsid w:val="00C63872"/>
    <w:rsid w:val="00C84948"/>
    <w:rsid w:val="00C94ED8"/>
    <w:rsid w:val="00CF1111"/>
    <w:rsid w:val="00D05706"/>
    <w:rsid w:val="00D27DC5"/>
    <w:rsid w:val="00D47E36"/>
    <w:rsid w:val="00D7111F"/>
    <w:rsid w:val="00D917B2"/>
    <w:rsid w:val="00E33074"/>
    <w:rsid w:val="00E55D79"/>
    <w:rsid w:val="00EE2373"/>
    <w:rsid w:val="00EF0FBB"/>
    <w:rsid w:val="00EF4761"/>
    <w:rsid w:val="00F62EEA"/>
    <w:rsid w:val="00F6622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62E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copfs.gov.uk%2Fcrime-info%2Fterrorism-prosecutions-in-scotland%2F&amp;data=05%7C02%7Cfoi%40scotland.police.uk%7C465b26bf71c64ad476b808dd44355afe%7C6795c5d3c94b497a865c4c343e4cf141%7C0%7C0%7C638741718121298001%7CUnknown%7CTWFpbGZsb3d8eyJFbXB0eU1hcGkiOnRydWUsIlYiOiIwLjAuMDAwMCIsIlAiOiJXaW4zMiIsIkFOIjoiTWFpbCIsIldUIjoyfQ%3D%3D%7C0%7C%7C%7C&amp;sdata=fn2zXLE4AwzFLekBy6GriFuxoArhju5NFnkHNV7Zye4%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0e32d40b-a8f5-4c24-a46b-b72b5f0b9b52"/>
    <ds:schemaRef ds:uri="http://schemas.openxmlformats.org/package/2006/metadata/core-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1114</Words>
  <Characters>6356</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2025-03-05T16:09:00Z</cp:lastPrinted>
  <dcterms:created xsi:type="dcterms:W3CDTF">2025-03-04T11:12:00Z</dcterms:created>
  <dcterms:modified xsi:type="dcterms:W3CDTF">2025-03-05T16:09:00Z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