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07BAAA" w:rsidR="00B17211" w:rsidRPr="00B17211" w:rsidRDefault="00B17211" w:rsidP="007F490F">
            <w:r w:rsidRPr="007F490F">
              <w:rPr>
                <w:rStyle w:val="Heading2Char"/>
              </w:rPr>
              <w:t>Our reference:</w:t>
            </w:r>
            <w:r>
              <w:t xml:space="preserve">  FOI 2</w:t>
            </w:r>
            <w:r w:rsidR="00EF0FBB">
              <w:t>5</w:t>
            </w:r>
            <w:r>
              <w:t>-</w:t>
            </w:r>
            <w:r w:rsidR="000574C5">
              <w:t>1334</w:t>
            </w:r>
          </w:p>
          <w:p w14:paraId="34BDABA6" w14:textId="5BC16B53" w:rsidR="00B17211" w:rsidRDefault="00456324" w:rsidP="00EE2373">
            <w:r w:rsidRPr="007F490F">
              <w:rPr>
                <w:rStyle w:val="Heading2Char"/>
              </w:rPr>
              <w:t>Respon</w:t>
            </w:r>
            <w:r w:rsidR="007D55F6">
              <w:rPr>
                <w:rStyle w:val="Heading2Char"/>
              </w:rPr>
              <w:t>ded to:</w:t>
            </w:r>
            <w:r w:rsidR="007F490F">
              <w:t xml:space="preserve">  </w:t>
            </w:r>
            <w:r w:rsidR="0064162D">
              <w:t>11</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DD4A3D" w14:textId="77777777" w:rsidR="000574C5" w:rsidRPr="000574C5" w:rsidRDefault="000574C5" w:rsidP="000574C5">
      <w:pPr>
        <w:tabs>
          <w:tab w:val="left" w:pos="5400"/>
        </w:tabs>
        <w:rPr>
          <w:rFonts w:eastAsiaTheme="majorEastAsia" w:cstheme="majorBidi"/>
          <w:b/>
          <w:color w:val="000000" w:themeColor="text1"/>
          <w:szCs w:val="26"/>
        </w:rPr>
      </w:pPr>
      <w:r w:rsidRPr="000574C5">
        <w:rPr>
          <w:rFonts w:eastAsiaTheme="majorEastAsia" w:cstheme="majorBidi"/>
          <w:b/>
          <w:color w:val="000000" w:themeColor="text1"/>
          <w:szCs w:val="26"/>
        </w:rPr>
        <w:t>Can you please provide a record of the number of possible hate crimes that were reported to the police in Mid Scotland and Fife over the past three years, and can you also supply details of how many of these alleged hate crimes were acted on?</w:t>
      </w:r>
    </w:p>
    <w:p w14:paraId="34BDABAA" w14:textId="4134EC88" w:rsidR="00496A08" w:rsidRDefault="000574C5" w:rsidP="00793DD5">
      <w:pPr>
        <w:tabs>
          <w:tab w:val="left" w:pos="5400"/>
        </w:tabs>
      </w:pPr>
      <w:r>
        <w:t xml:space="preserve">After seeking clarification, you confirmed your request relates to the following: </w:t>
      </w:r>
    </w:p>
    <w:p w14:paraId="4FF2A89B" w14:textId="57EC04C0" w:rsidR="000574C5" w:rsidRPr="000574C5" w:rsidRDefault="000574C5" w:rsidP="000574C5">
      <w:pPr>
        <w:tabs>
          <w:tab w:val="left" w:pos="5400"/>
        </w:tabs>
        <w:rPr>
          <w:b/>
          <w:bCs/>
        </w:rPr>
      </w:pPr>
      <w:r>
        <w:rPr>
          <w:b/>
          <w:bCs/>
        </w:rPr>
        <w:t>R</w:t>
      </w:r>
      <w:r w:rsidRPr="000574C5">
        <w:rPr>
          <w:b/>
          <w:bCs/>
        </w:rPr>
        <w:t xml:space="preserve">ecorded </w:t>
      </w:r>
      <w:r>
        <w:rPr>
          <w:b/>
          <w:bCs/>
        </w:rPr>
        <w:t xml:space="preserve">and </w:t>
      </w:r>
      <w:r w:rsidRPr="000574C5">
        <w:rPr>
          <w:b/>
          <w:bCs/>
        </w:rPr>
        <w:t>detected hate crimes over the past three years in Mid Scotland and Fife.</w:t>
      </w:r>
    </w:p>
    <w:p w14:paraId="2B3B2F8E" w14:textId="77777777" w:rsidR="000574C5" w:rsidRPr="000574C5" w:rsidRDefault="000574C5" w:rsidP="000574C5">
      <w:pPr>
        <w:tabs>
          <w:tab w:val="left" w:pos="5400"/>
        </w:tabs>
        <w:rPr>
          <w:b/>
          <w:bCs/>
        </w:rPr>
      </w:pPr>
      <w:r w:rsidRPr="000574C5">
        <w:rPr>
          <w:b/>
          <w:bCs/>
        </w:rPr>
        <w:t>By Mid Scotland and Fife, I am referring to Perth and Kinross and Fife specifically.</w:t>
      </w:r>
    </w:p>
    <w:p w14:paraId="106E03F5" w14:textId="76C87B8F" w:rsidR="000574C5" w:rsidRDefault="000574C5" w:rsidP="000574C5">
      <w:r w:rsidRPr="00782A23">
        <w:t xml:space="preserve">For information dated from 01 </w:t>
      </w:r>
      <w:r>
        <w:t>January 2022</w:t>
      </w:r>
      <w:r w:rsidRPr="00782A23">
        <w:t xml:space="preserve"> until </w:t>
      </w:r>
      <w:r>
        <w:t>31</w:t>
      </w:r>
      <w:r w:rsidRPr="00071F1A">
        <w:rPr>
          <w:vertAlign w:val="superscript"/>
        </w:rPr>
        <w:t>st</w:t>
      </w:r>
      <w:r>
        <w:t xml:space="preserve"> March 2024</w:t>
      </w:r>
      <w:r w:rsidRPr="00782A23">
        <w:t xml:space="preserve"> please </w:t>
      </w:r>
      <w:r>
        <w:t>refer to table 1</w:t>
      </w:r>
      <w:r w:rsidRPr="00782A23">
        <w:t xml:space="preserve">. </w:t>
      </w:r>
    </w:p>
    <w:p w14:paraId="679A914A" w14:textId="77777777" w:rsidR="000574C5" w:rsidRDefault="000574C5" w:rsidP="000574C5">
      <w:r>
        <w:t>The Hate Crime and Public Order (Scotland Act 2021) commenced on 1</w:t>
      </w:r>
      <w:r w:rsidRPr="000B71E3">
        <w:rPr>
          <w:vertAlign w:val="superscript"/>
        </w:rPr>
        <w:t>st</w:t>
      </w:r>
      <w:r>
        <w:t xml:space="preserve"> April 2024 and these crimes are now recorded on the National Crime Unifi Database. Data from 1</w:t>
      </w:r>
      <w:r w:rsidRPr="00B01FA9">
        <w:rPr>
          <w:vertAlign w:val="superscript"/>
        </w:rPr>
        <w:t>st</w:t>
      </w:r>
      <w:r>
        <w:t xml:space="preserve"> April 2024 is provided in Table 2. </w:t>
      </w:r>
    </w:p>
    <w:p w14:paraId="2FC4A212" w14:textId="77777777" w:rsidR="000574C5" w:rsidRDefault="000574C5" w:rsidP="000574C5">
      <w:r>
        <w:t>Please note, due to the different sources of data being used, any comparison of the two datasets should be carried out with caution.</w:t>
      </w:r>
    </w:p>
    <w:p w14:paraId="258A4C61" w14:textId="77777777" w:rsidR="000574C5" w:rsidRDefault="000574C5" w:rsidP="000574C5">
      <w:r>
        <w:t>Please also note the caveats below the tables.</w:t>
      </w:r>
    </w:p>
    <w:p w14:paraId="5B9D09AA" w14:textId="6F4FEA54" w:rsidR="000574C5" w:rsidRPr="000574C5" w:rsidRDefault="000574C5" w:rsidP="000574C5">
      <w:pPr>
        <w:rPr>
          <w:i/>
          <w:iCs/>
        </w:rPr>
      </w:pPr>
      <w:r w:rsidRPr="000574C5">
        <w:rPr>
          <w:i/>
          <w:iCs/>
        </w:rPr>
        <w:t>Table 1: Recorded Hate Crimes (iVPD), Fife and Perth &amp; Kinross, Local Authorities – 1 January 2022 – 31 March 2024 (calendar years)</w:t>
      </w:r>
    </w:p>
    <w:tbl>
      <w:tblPr>
        <w:tblStyle w:val="TableGrid"/>
        <w:tblW w:w="4910" w:type="dxa"/>
        <w:tblLook w:val="04A0" w:firstRow="1" w:lastRow="0" w:firstColumn="1" w:lastColumn="0" w:noHBand="0" w:noVBand="1"/>
        <w:tblCaption w:val="Table 1: Recorded Hate Crimes (iVPD), Fife and Perth &amp; Kinross, Local Authorities – 1 January 2022 – 31 March 2024 (calendar years)"/>
        <w:tblDescription w:val="Table 1: Recorded Hate Crimes (iVPD), Fife and Perth &amp; Kinross, Local Authorities – 1 January 2022 – 31 March 2024 (calendar years)"/>
      </w:tblPr>
      <w:tblGrid>
        <w:gridCol w:w="2258"/>
        <w:gridCol w:w="884"/>
        <w:gridCol w:w="884"/>
        <w:gridCol w:w="884"/>
      </w:tblGrid>
      <w:tr w:rsidR="000574C5" w:rsidRPr="00557306" w14:paraId="3B9D13A6" w14:textId="77777777" w:rsidTr="000574C5">
        <w:trPr>
          <w:tblHeader/>
        </w:trPr>
        <w:tc>
          <w:tcPr>
            <w:tcW w:w="2258" w:type="dxa"/>
            <w:shd w:val="clear" w:color="auto" w:fill="D9D9D9" w:themeFill="background1" w:themeFillShade="D9"/>
          </w:tcPr>
          <w:p w14:paraId="27A85D39" w14:textId="121DE98B" w:rsidR="000574C5" w:rsidRPr="00557306" w:rsidRDefault="000574C5" w:rsidP="00DA2317">
            <w:pPr>
              <w:spacing w:line="240" w:lineRule="auto"/>
              <w:rPr>
                <w:b/>
              </w:rPr>
            </w:pPr>
            <w:r>
              <w:rPr>
                <w:b/>
              </w:rPr>
              <w:t>Local Authority</w:t>
            </w:r>
          </w:p>
        </w:tc>
        <w:tc>
          <w:tcPr>
            <w:tcW w:w="884" w:type="dxa"/>
            <w:shd w:val="clear" w:color="auto" w:fill="D9D9D9" w:themeFill="background1" w:themeFillShade="D9"/>
          </w:tcPr>
          <w:p w14:paraId="010D1EA4" w14:textId="5599A26A" w:rsidR="000574C5" w:rsidRPr="00557306" w:rsidRDefault="000574C5" w:rsidP="00DA2317">
            <w:pPr>
              <w:spacing w:line="240" w:lineRule="auto"/>
              <w:rPr>
                <w:b/>
              </w:rPr>
            </w:pPr>
            <w:r>
              <w:rPr>
                <w:b/>
              </w:rPr>
              <w:t>2022</w:t>
            </w:r>
          </w:p>
        </w:tc>
        <w:tc>
          <w:tcPr>
            <w:tcW w:w="884" w:type="dxa"/>
            <w:shd w:val="clear" w:color="auto" w:fill="D9D9D9" w:themeFill="background1" w:themeFillShade="D9"/>
          </w:tcPr>
          <w:p w14:paraId="6F5D1F44" w14:textId="31BD1854" w:rsidR="000574C5" w:rsidRPr="00557306" w:rsidRDefault="000574C5" w:rsidP="00DA2317">
            <w:pPr>
              <w:spacing w:line="240" w:lineRule="auto"/>
              <w:rPr>
                <w:b/>
              </w:rPr>
            </w:pPr>
            <w:r>
              <w:rPr>
                <w:b/>
              </w:rPr>
              <w:t>2023</w:t>
            </w:r>
          </w:p>
        </w:tc>
        <w:tc>
          <w:tcPr>
            <w:tcW w:w="884" w:type="dxa"/>
            <w:shd w:val="clear" w:color="auto" w:fill="D9D9D9" w:themeFill="background1" w:themeFillShade="D9"/>
          </w:tcPr>
          <w:p w14:paraId="62855B8E" w14:textId="26BE0525" w:rsidR="000574C5" w:rsidRPr="00557306" w:rsidRDefault="000574C5" w:rsidP="00DA2317">
            <w:pPr>
              <w:spacing w:line="240" w:lineRule="auto"/>
              <w:rPr>
                <w:b/>
              </w:rPr>
            </w:pPr>
            <w:r>
              <w:rPr>
                <w:b/>
              </w:rPr>
              <w:t>2024</w:t>
            </w:r>
          </w:p>
        </w:tc>
      </w:tr>
      <w:tr w:rsidR="000574C5" w14:paraId="1AEAB332" w14:textId="77777777" w:rsidTr="000574C5">
        <w:tc>
          <w:tcPr>
            <w:tcW w:w="2258" w:type="dxa"/>
          </w:tcPr>
          <w:p w14:paraId="1407A066" w14:textId="2A39A746" w:rsidR="000574C5" w:rsidRDefault="000574C5" w:rsidP="00DA2317">
            <w:pPr>
              <w:tabs>
                <w:tab w:val="left" w:pos="5400"/>
              </w:tabs>
              <w:spacing w:line="240" w:lineRule="auto"/>
            </w:pPr>
            <w:r>
              <w:t>Fife</w:t>
            </w:r>
          </w:p>
        </w:tc>
        <w:tc>
          <w:tcPr>
            <w:tcW w:w="884" w:type="dxa"/>
          </w:tcPr>
          <w:p w14:paraId="03A11B69" w14:textId="3B0A8B94" w:rsidR="000574C5" w:rsidRDefault="000574C5" w:rsidP="00DA2317">
            <w:pPr>
              <w:tabs>
                <w:tab w:val="left" w:pos="5400"/>
              </w:tabs>
              <w:spacing w:line="240" w:lineRule="auto"/>
            </w:pPr>
            <w:r>
              <w:t>373</w:t>
            </w:r>
          </w:p>
        </w:tc>
        <w:tc>
          <w:tcPr>
            <w:tcW w:w="884" w:type="dxa"/>
          </w:tcPr>
          <w:p w14:paraId="56A54104" w14:textId="62916ABF" w:rsidR="000574C5" w:rsidRDefault="000574C5" w:rsidP="00DA2317">
            <w:pPr>
              <w:tabs>
                <w:tab w:val="left" w:pos="5400"/>
              </w:tabs>
              <w:spacing w:line="240" w:lineRule="auto"/>
            </w:pPr>
            <w:r>
              <w:t>302</w:t>
            </w:r>
          </w:p>
        </w:tc>
        <w:tc>
          <w:tcPr>
            <w:tcW w:w="884" w:type="dxa"/>
          </w:tcPr>
          <w:p w14:paraId="1CBC274C" w14:textId="5E36BC9A" w:rsidR="000574C5" w:rsidRDefault="000574C5" w:rsidP="00DA2317">
            <w:pPr>
              <w:tabs>
                <w:tab w:val="left" w:pos="5400"/>
              </w:tabs>
              <w:spacing w:line="240" w:lineRule="auto"/>
            </w:pPr>
            <w:r>
              <w:t>61</w:t>
            </w:r>
          </w:p>
        </w:tc>
      </w:tr>
      <w:tr w:rsidR="000574C5" w14:paraId="398C7391" w14:textId="77777777" w:rsidTr="000574C5">
        <w:tc>
          <w:tcPr>
            <w:tcW w:w="2258" w:type="dxa"/>
          </w:tcPr>
          <w:p w14:paraId="3394BE29" w14:textId="0DE9F143" w:rsidR="000574C5" w:rsidRDefault="000574C5" w:rsidP="00DA2317">
            <w:pPr>
              <w:tabs>
                <w:tab w:val="left" w:pos="5400"/>
              </w:tabs>
              <w:spacing w:line="240" w:lineRule="auto"/>
            </w:pPr>
            <w:r>
              <w:t>Perth and Kinross</w:t>
            </w:r>
          </w:p>
        </w:tc>
        <w:tc>
          <w:tcPr>
            <w:tcW w:w="884" w:type="dxa"/>
          </w:tcPr>
          <w:p w14:paraId="6C500ACD" w14:textId="4E8081A4" w:rsidR="000574C5" w:rsidRDefault="000574C5" w:rsidP="00DA2317">
            <w:pPr>
              <w:tabs>
                <w:tab w:val="left" w:pos="5400"/>
              </w:tabs>
              <w:spacing w:line="240" w:lineRule="auto"/>
            </w:pPr>
            <w:r>
              <w:t>117</w:t>
            </w:r>
          </w:p>
        </w:tc>
        <w:tc>
          <w:tcPr>
            <w:tcW w:w="884" w:type="dxa"/>
          </w:tcPr>
          <w:p w14:paraId="55BB477E" w14:textId="7E3C9AD2" w:rsidR="000574C5" w:rsidRDefault="000574C5" w:rsidP="00DA2317">
            <w:pPr>
              <w:tabs>
                <w:tab w:val="left" w:pos="5400"/>
              </w:tabs>
              <w:spacing w:line="240" w:lineRule="auto"/>
            </w:pPr>
            <w:r>
              <w:t>101</w:t>
            </w:r>
          </w:p>
        </w:tc>
        <w:tc>
          <w:tcPr>
            <w:tcW w:w="884" w:type="dxa"/>
          </w:tcPr>
          <w:p w14:paraId="0CB291B5" w14:textId="72510402" w:rsidR="000574C5" w:rsidRDefault="000574C5" w:rsidP="00DA2317">
            <w:pPr>
              <w:tabs>
                <w:tab w:val="left" w:pos="5400"/>
              </w:tabs>
              <w:spacing w:line="240" w:lineRule="auto"/>
            </w:pPr>
            <w:r>
              <w:t>13</w:t>
            </w:r>
          </w:p>
        </w:tc>
      </w:tr>
      <w:tr w:rsidR="000574C5" w14:paraId="2A31D471" w14:textId="77777777" w:rsidTr="000574C5">
        <w:tc>
          <w:tcPr>
            <w:tcW w:w="2258" w:type="dxa"/>
          </w:tcPr>
          <w:p w14:paraId="5C3A5EF6" w14:textId="3853B549" w:rsidR="000574C5" w:rsidRPr="000574C5" w:rsidRDefault="000574C5" w:rsidP="00DA2317">
            <w:pPr>
              <w:tabs>
                <w:tab w:val="left" w:pos="5400"/>
              </w:tabs>
              <w:spacing w:line="240" w:lineRule="auto"/>
              <w:rPr>
                <w:b/>
                <w:bCs/>
              </w:rPr>
            </w:pPr>
            <w:r w:rsidRPr="000574C5">
              <w:rPr>
                <w:b/>
                <w:bCs/>
              </w:rPr>
              <w:t>Total</w:t>
            </w:r>
          </w:p>
        </w:tc>
        <w:tc>
          <w:tcPr>
            <w:tcW w:w="884" w:type="dxa"/>
          </w:tcPr>
          <w:p w14:paraId="4659E2AD" w14:textId="2A344329" w:rsidR="000574C5" w:rsidRPr="000574C5" w:rsidRDefault="000574C5" w:rsidP="00DA2317">
            <w:pPr>
              <w:tabs>
                <w:tab w:val="left" w:pos="5400"/>
              </w:tabs>
              <w:spacing w:line="240" w:lineRule="auto"/>
              <w:rPr>
                <w:b/>
                <w:bCs/>
              </w:rPr>
            </w:pPr>
            <w:r>
              <w:rPr>
                <w:b/>
                <w:bCs/>
              </w:rPr>
              <w:t>490</w:t>
            </w:r>
          </w:p>
        </w:tc>
        <w:tc>
          <w:tcPr>
            <w:tcW w:w="884" w:type="dxa"/>
          </w:tcPr>
          <w:p w14:paraId="0159E27D" w14:textId="6AA0DC81" w:rsidR="000574C5" w:rsidRPr="000574C5" w:rsidRDefault="000574C5" w:rsidP="00DA2317">
            <w:pPr>
              <w:tabs>
                <w:tab w:val="left" w:pos="5400"/>
              </w:tabs>
              <w:spacing w:line="240" w:lineRule="auto"/>
              <w:rPr>
                <w:b/>
                <w:bCs/>
              </w:rPr>
            </w:pPr>
            <w:r>
              <w:rPr>
                <w:b/>
                <w:bCs/>
              </w:rPr>
              <w:t>403</w:t>
            </w:r>
          </w:p>
        </w:tc>
        <w:tc>
          <w:tcPr>
            <w:tcW w:w="884" w:type="dxa"/>
          </w:tcPr>
          <w:p w14:paraId="70528E81" w14:textId="7387571B" w:rsidR="000574C5" w:rsidRPr="000574C5" w:rsidRDefault="000574C5" w:rsidP="00DA2317">
            <w:pPr>
              <w:tabs>
                <w:tab w:val="left" w:pos="5400"/>
              </w:tabs>
              <w:spacing w:line="240" w:lineRule="auto"/>
              <w:rPr>
                <w:b/>
                <w:bCs/>
              </w:rPr>
            </w:pPr>
            <w:r>
              <w:rPr>
                <w:b/>
                <w:bCs/>
              </w:rPr>
              <w:t>74</w:t>
            </w:r>
          </w:p>
        </w:tc>
      </w:tr>
    </w:tbl>
    <w:p w14:paraId="1F35443E" w14:textId="77777777" w:rsidR="00EF0FBB" w:rsidRDefault="00EF0FBB" w:rsidP="00793DD5">
      <w:pPr>
        <w:tabs>
          <w:tab w:val="left" w:pos="5400"/>
        </w:tabs>
      </w:pPr>
    </w:p>
    <w:p w14:paraId="5AFC7FF4" w14:textId="77777777" w:rsidR="000574C5" w:rsidRDefault="000574C5" w:rsidP="00793DD5">
      <w:pPr>
        <w:tabs>
          <w:tab w:val="left" w:pos="5400"/>
        </w:tabs>
      </w:pPr>
    </w:p>
    <w:p w14:paraId="497BF0DD" w14:textId="11CCB166" w:rsidR="00EF0FBB" w:rsidRDefault="000574C5" w:rsidP="00793DD5">
      <w:pPr>
        <w:tabs>
          <w:tab w:val="left" w:pos="5400"/>
        </w:tabs>
      </w:pPr>
      <w:r>
        <w:lastRenderedPageBreak/>
        <w:t xml:space="preserve">Table 2: Recorded Hate Crimes (UNIFI) </w:t>
      </w:r>
      <w:r w:rsidRPr="000574C5">
        <w:rPr>
          <w:i/>
          <w:iCs/>
        </w:rPr>
        <w:t>Fife and Perth &amp; Kinross, Local Authorities</w:t>
      </w:r>
      <w:r>
        <w:rPr>
          <w:i/>
          <w:iCs/>
        </w:rPr>
        <w:t xml:space="preserve"> – 1 April 2024 – 30 April 2025 (calendar years)</w:t>
      </w:r>
    </w:p>
    <w:tbl>
      <w:tblPr>
        <w:tblStyle w:val="TableGrid"/>
        <w:tblW w:w="4026" w:type="dxa"/>
        <w:tblLook w:val="04A0" w:firstRow="1" w:lastRow="0" w:firstColumn="1" w:lastColumn="0" w:noHBand="0" w:noVBand="1"/>
        <w:tblCaption w:val="Table 2: Recorded Hate Crimes (UNIFI) Fife and Perth &amp; Kinross, Local Authorities – 1 April 2024 – 30 April 2025 (calendar years)"/>
        <w:tblDescription w:val="Table 2: Recorded Hate Crimes (UNIFI) Fife and Perth &amp; Kinross, Local Authorities – 1 April 2024 – 30 April 2025 (calendar years)"/>
      </w:tblPr>
      <w:tblGrid>
        <w:gridCol w:w="2258"/>
        <w:gridCol w:w="884"/>
        <w:gridCol w:w="884"/>
      </w:tblGrid>
      <w:tr w:rsidR="000574C5" w:rsidRPr="00557306" w14:paraId="25B90374" w14:textId="77777777" w:rsidTr="000574C5">
        <w:trPr>
          <w:tblHeader/>
        </w:trPr>
        <w:tc>
          <w:tcPr>
            <w:tcW w:w="2258" w:type="dxa"/>
            <w:shd w:val="clear" w:color="auto" w:fill="D9D9D9" w:themeFill="background1" w:themeFillShade="D9"/>
          </w:tcPr>
          <w:p w14:paraId="0C032CC7" w14:textId="77777777" w:rsidR="000574C5" w:rsidRPr="00557306" w:rsidRDefault="000574C5" w:rsidP="00DA2317">
            <w:pPr>
              <w:spacing w:line="240" w:lineRule="auto"/>
              <w:rPr>
                <w:b/>
              </w:rPr>
            </w:pPr>
            <w:r>
              <w:rPr>
                <w:b/>
              </w:rPr>
              <w:t>Local Authority</w:t>
            </w:r>
          </w:p>
        </w:tc>
        <w:tc>
          <w:tcPr>
            <w:tcW w:w="884" w:type="dxa"/>
            <w:shd w:val="clear" w:color="auto" w:fill="D9D9D9" w:themeFill="background1" w:themeFillShade="D9"/>
          </w:tcPr>
          <w:p w14:paraId="657EFB47" w14:textId="74AFD4DB" w:rsidR="000574C5" w:rsidRPr="00557306" w:rsidRDefault="000574C5" w:rsidP="00DA2317">
            <w:pPr>
              <w:spacing w:line="240" w:lineRule="auto"/>
              <w:rPr>
                <w:b/>
              </w:rPr>
            </w:pPr>
            <w:r>
              <w:rPr>
                <w:b/>
              </w:rPr>
              <w:t>2024</w:t>
            </w:r>
          </w:p>
        </w:tc>
        <w:tc>
          <w:tcPr>
            <w:tcW w:w="884" w:type="dxa"/>
            <w:shd w:val="clear" w:color="auto" w:fill="D9D9D9" w:themeFill="background1" w:themeFillShade="D9"/>
          </w:tcPr>
          <w:p w14:paraId="537AB686" w14:textId="6115EF35" w:rsidR="000574C5" w:rsidRPr="00557306" w:rsidRDefault="000574C5" w:rsidP="00DA2317">
            <w:pPr>
              <w:spacing w:line="240" w:lineRule="auto"/>
              <w:rPr>
                <w:b/>
              </w:rPr>
            </w:pPr>
            <w:r>
              <w:rPr>
                <w:b/>
              </w:rPr>
              <w:t>2025</w:t>
            </w:r>
          </w:p>
        </w:tc>
      </w:tr>
      <w:tr w:rsidR="000574C5" w14:paraId="3DEE9874" w14:textId="77777777" w:rsidTr="000574C5">
        <w:tc>
          <w:tcPr>
            <w:tcW w:w="2258" w:type="dxa"/>
          </w:tcPr>
          <w:p w14:paraId="45C64BA3" w14:textId="77777777" w:rsidR="000574C5" w:rsidRDefault="000574C5" w:rsidP="00DA2317">
            <w:pPr>
              <w:tabs>
                <w:tab w:val="left" w:pos="5400"/>
              </w:tabs>
              <w:spacing w:line="240" w:lineRule="auto"/>
            </w:pPr>
            <w:r>
              <w:t>Fife</w:t>
            </w:r>
          </w:p>
        </w:tc>
        <w:tc>
          <w:tcPr>
            <w:tcW w:w="884" w:type="dxa"/>
          </w:tcPr>
          <w:p w14:paraId="231F79AA" w14:textId="2016899C" w:rsidR="000574C5" w:rsidRDefault="000574C5" w:rsidP="00DA2317">
            <w:pPr>
              <w:tabs>
                <w:tab w:val="left" w:pos="5400"/>
              </w:tabs>
              <w:spacing w:line="240" w:lineRule="auto"/>
            </w:pPr>
            <w:r>
              <w:t>335</w:t>
            </w:r>
          </w:p>
        </w:tc>
        <w:tc>
          <w:tcPr>
            <w:tcW w:w="884" w:type="dxa"/>
          </w:tcPr>
          <w:p w14:paraId="098B3EA3" w14:textId="61A80934" w:rsidR="000574C5" w:rsidRDefault="000574C5" w:rsidP="00DA2317">
            <w:pPr>
              <w:tabs>
                <w:tab w:val="left" w:pos="5400"/>
              </w:tabs>
              <w:spacing w:line="240" w:lineRule="auto"/>
            </w:pPr>
            <w:r>
              <w:t>143</w:t>
            </w:r>
          </w:p>
        </w:tc>
      </w:tr>
      <w:tr w:rsidR="000574C5" w14:paraId="771E9AA4" w14:textId="77777777" w:rsidTr="000574C5">
        <w:tc>
          <w:tcPr>
            <w:tcW w:w="2258" w:type="dxa"/>
          </w:tcPr>
          <w:p w14:paraId="055B7E8C" w14:textId="77777777" w:rsidR="000574C5" w:rsidRDefault="000574C5" w:rsidP="00DA2317">
            <w:pPr>
              <w:tabs>
                <w:tab w:val="left" w:pos="5400"/>
              </w:tabs>
              <w:spacing w:line="240" w:lineRule="auto"/>
            </w:pPr>
            <w:r>
              <w:t>Perth and Kinross</w:t>
            </w:r>
          </w:p>
        </w:tc>
        <w:tc>
          <w:tcPr>
            <w:tcW w:w="884" w:type="dxa"/>
          </w:tcPr>
          <w:p w14:paraId="3B503E88" w14:textId="3A518BB0" w:rsidR="000574C5" w:rsidRDefault="000574C5" w:rsidP="00DA2317">
            <w:pPr>
              <w:tabs>
                <w:tab w:val="left" w:pos="5400"/>
              </w:tabs>
              <w:spacing w:line="240" w:lineRule="auto"/>
            </w:pPr>
            <w:r>
              <w:t>122</w:t>
            </w:r>
          </w:p>
        </w:tc>
        <w:tc>
          <w:tcPr>
            <w:tcW w:w="884" w:type="dxa"/>
          </w:tcPr>
          <w:p w14:paraId="107BC419" w14:textId="78BC0CC0" w:rsidR="000574C5" w:rsidRDefault="000574C5" w:rsidP="00DA2317">
            <w:pPr>
              <w:tabs>
                <w:tab w:val="left" w:pos="5400"/>
              </w:tabs>
              <w:spacing w:line="240" w:lineRule="auto"/>
            </w:pPr>
            <w:r>
              <w:t>52</w:t>
            </w:r>
          </w:p>
        </w:tc>
      </w:tr>
      <w:tr w:rsidR="000574C5" w14:paraId="254E575D" w14:textId="77777777" w:rsidTr="000574C5">
        <w:tc>
          <w:tcPr>
            <w:tcW w:w="2258" w:type="dxa"/>
          </w:tcPr>
          <w:p w14:paraId="6C1F822E" w14:textId="77777777" w:rsidR="000574C5" w:rsidRPr="000574C5" w:rsidRDefault="000574C5" w:rsidP="00DA2317">
            <w:pPr>
              <w:tabs>
                <w:tab w:val="left" w:pos="5400"/>
              </w:tabs>
              <w:spacing w:line="240" w:lineRule="auto"/>
              <w:rPr>
                <w:b/>
                <w:bCs/>
              </w:rPr>
            </w:pPr>
            <w:r w:rsidRPr="000574C5">
              <w:rPr>
                <w:b/>
                <w:bCs/>
              </w:rPr>
              <w:t>Total</w:t>
            </w:r>
          </w:p>
        </w:tc>
        <w:tc>
          <w:tcPr>
            <w:tcW w:w="884" w:type="dxa"/>
          </w:tcPr>
          <w:p w14:paraId="0B60441A" w14:textId="41F818EB" w:rsidR="000574C5" w:rsidRPr="000574C5" w:rsidRDefault="000574C5" w:rsidP="00DA2317">
            <w:pPr>
              <w:tabs>
                <w:tab w:val="left" w:pos="5400"/>
              </w:tabs>
              <w:spacing w:line="240" w:lineRule="auto"/>
              <w:rPr>
                <w:b/>
                <w:bCs/>
              </w:rPr>
            </w:pPr>
            <w:r>
              <w:rPr>
                <w:b/>
                <w:bCs/>
              </w:rPr>
              <w:t>457</w:t>
            </w:r>
          </w:p>
        </w:tc>
        <w:tc>
          <w:tcPr>
            <w:tcW w:w="884" w:type="dxa"/>
          </w:tcPr>
          <w:p w14:paraId="0721588A" w14:textId="08FC83C5" w:rsidR="000574C5" w:rsidRPr="000574C5" w:rsidRDefault="000574C5" w:rsidP="00DA2317">
            <w:pPr>
              <w:tabs>
                <w:tab w:val="left" w:pos="5400"/>
              </w:tabs>
              <w:spacing w:line="240" w:lineRule="auto"/>
              <w:rPr>
                <w:b/>
                <w:bCs/>
              </w:rPr>
            </w:pPr>
            <w:r>
              <w:rPr>
                <w:b/>
                <w:bCs/>
              </w:rPr>
              <w:t>195</w:t>
            </w:r>
          </w:p>
        </w:tc>
      </w:tr>
    </w:tbl>
    <w:p w14:paraId="53B4F794" w14:textId="77777777" w:rsidR="000574C5" w:rsidRDefault="000574C5" w:rsidP="00793DD5">
      <w:pPr>
        <w:tabs>
          <w:tab w:val="left" w:pos="5400"/>
        </w:tabs>
      </w:pPr>
    </w:p>
    <w:p w14:paraId="4571649F" w14:textId="77777777" w:rsidR="000574C5" w:rsidRDefault="000574C5" w:rsidP="000574C5">
      <w:r>
        <w:t>Detected crimes are those</w:t>
      </w:r>
      <w:r w:rsidRPr="007D1918">
        <w:t xml:space="preserve"> where an accused has been identified and there exists a sufficiency of evidence under Scots Law to justify consideration of criminal proceedings.</w:t>
      </w:r>
    </w:p>
    <w:p w14:paraId="2D44E6C5" w14:textId="77777777" w:rsidR="000574C5" w:rsidRPr="000574C5" w:rsidRDefault="000574C5" w:rsidP="000574C5">
      <w:pPr>
        <w:rPr>
          <w:i/>
          <w:iCs/>
        </w:rPr>
      </w:pPr>
      <w:r w:rsidRPr="000574C5">
        <w:rPr>
          <w:i/>
          <w:iCs/>
        </w:rPr>
        <w:t>Table 3: Detected Hate Crimes (IVPD) -</w:t>
      </w:r>
      <w:r>
        <w:t xml:space="preserve"> </w:t>
      </w:r>
      <w:r w:rsidRPr="000574C5">
        <w:rPr>
          <w:i/>
          <w:iCs/>
        </w:rPr>
        <w:t>Fife and Perth &amp; Kinross, Local Authorities – 1 January 2022 – 31 March 2024 (calendar years)</w:t>
      </w:r>
    </w:p>
    <w:tbl>
      <w:tblPr>
        <w:tblStyle w:val="TableGrid"/>
        <w:tblW w:w="4910" w:type="dxa"/>
        <w:tblLook w:val="04A0" w:firstRow="1" w:lastRow="0" w:firstColumn="1" w:lastColumn="0" w:noHBand="0" w:noVBand="1"/>
        <w:tblCaption w:val="Table 3: Detected Hate Crimes (IVPD) - Fife and Perth &amp; Kinross, Local Authorities – 1 January 2022 – 31 March 2024 (calendar years)"/>
        <w:tblDescription w:val="Table 3: Detected Hate Crimes (IVPD) - Fife and Perth &amp; Kinross, Local Authorities – 1 January 2022 – 31 March 2024 (calendar years)"/>
      </w:tblPr>
      <w:tblGrid>
        <w:gridCol w:w="2258"/>
        <w:gridCol w:w="884"/>
        <w:gridCol w:w="884"/>
        <w:gridCol w:w="884"/>
      </w:tblGrid>
      <w:tr w:rsidR="000574C5" w:rsidRPr="00557306" w14:paraId="3636EC19" w14:textId="77777777" w:rsidTr="00DA2317">
        <w:trPr>
          <w:tblHeader/>
        </w:trPr>
        <w:tc>
          <w:tcPr>
            <w:tcW w:w="2258" w:type="dxa"/>
            <w:shd w:val="clear" w:color="auto" w:fill="D9D9D9" w:themeFill="background1" w:themeFillShade="D9"/>
          </w:tcPr>
          <w:p w14:paraId="311F2399" w14:textId="77777777" w:rsidR="000574C5" w:rsidRPr="00557306" w:rsidRDefault="000574C5" w:rsidP="00DA2317">
            <w:pPr>
              <w:spacing w:line="240" w:lineRule="auto"/>
              <w:rPr>
                <w:b/>
              </w:rPr>
            </w:pPr>
            <w:r>
              <w:rPr>
                <w:b/>
              </w:rPr>
              <w:t>Local Authority</w:t>
            </w:r>
          </w:p>
        </w:tc>
        <w:tc>
          <w:tcPr>
            <w:tcW w:w="884" w:type="dxa"/>
            <w:shd w:val="clear" w:color="auto" w:fill="D9D9D9" w:themeFill="background1" w:themeFillShade="D9"/>
          </w:tcPr>
          <w:p w14:paraId="12A569D2" w14:textId="77777777" w:rsidR="000574C5" w:rsidRPr="00557306" w:rsidRDefault="000574C5" w:rsidP="00DA2317">
            <w:pPr>
              <w:spacing w:line="240" w:lineRule="auto"/>
              <w:rPr>
                <w:b/>
              </w:rPr>
            </w:pPr>
            <w:r>
              <w:rPr>
                <w:b/>
              </w:rPr>
              <w:t>2022</w:t>
            </w:r>
          </w:p>
        </w:tc>
        <w:tc>
          <w:tcPr>
            <w:tcW w:w="884" w:type="dxa"/>
            <w:shd w:val="clear" w:color="auto" w:fill="D9D9D9" w:themeFill="background1" w:themeFillShade="D9"/>
          </w:tcPr>
          <w:p w14:paraId="6ED94A78" w14:textId="77777777" w:rsidR="000574C5" w:rsidRPr="00557306" w:rsidRDefault="000574C5" w:rsidP="00DA2317">
            <w:pPr>
              <w:spacing w:line="240" w:lineRule="auto"/>
              <w:rPr>
                <w:b/>
              </w:rPr>
            </w:pPr>
            <w:r>
              <w:rPr>
                <w:b/>
              </w:rPr>
              <w:t>2023</w:t>
            </w:r>
          </w:p>
        </w:tc>
        <w:tc>
          <w:tcPr>
            <w:tcW w:w="884" w:type="dxa"/>
            <w:shd w:val="clear" w:color="auto" w:fill="D9D9D9" w:themeFill="background1" w:themeFillShade="D9"/>
          </w:tcPr>
          <w:p w14:paraId="210ACBBE" w14:textId="77777777" w:rsidR="000574C5" w:rsidRPr="00557306" w:rsidRDefault="000574C5" w:rsidP="00DA2317">
            <w:pPr>
              <w:spacing w:line="240" w:lineRule="auto"/>
              <w:rPr>
                <w:b/>
              </w:rPr>
            </w:pPr>
            <w:r>
              <w:rPr>
                <w:b/>
              </w:rPr>
              <w:t>2024</w:t>
            </w:r>
          </w:p>
        </w:tc>
      </w:tr>
      <w:tr w:rsidR="000574C5" w14:paraId="259E7BA7" w14:textId="77777777" w:rsidTr="00DA2317">
        <w:tc>
          <w:tcPr>
            <w:tcW w:w="2258" w:type="dxa"/>
          </w:tcPr>
          <w:p w14:paraId="740C5E22" w14:textId="77777777" w:rsidR="000574C5" w:rsidRDefault="000574C5" w:rsidP="00DA2317">
            <w:pPr>
              <w:tabs>
                <w:tab w:val="left" w:pos="5400"/>
              </w:tabs>
              <w:spacing w:line="240" w:lineRule="auto"/>
            </w:pPr>
            <w:r>
              <w:t>Fife</w:t>
            </w:r>
          </w:p>
        </w:tc>
        <w:tc>
          <w:tcPr>
            <w:tcW w:w="884" w:type="dxa"/>
          </w:tcPr>
          <w:p w14:paraId="19844380" w14:textId="00C289A5" w:rsidR="000574C5" w:rsidRDefault="000574C5" w:rsidP="00DA2317">
            <w:pPr>
              <w:tabs>
                <w:tab w:val="left" w:pos="5400"/>
              </w:tabs>
              <w:spacing w:line="240" w:lineRule="auto"/>
            </w:pPr>
            <w:r>
              <w:t>296</w:t>
            </w:r>
          </w:p>
        </w:tc>
        <w:tc>
          <w:tcPr>
            <w:tcW w:w="884" w:type="dxa"/>
          </w:tcPr>
          <w:p w14:paraId="021E56CD" w14:textId="51CDA2E4" w:rsidR="000574C5" w:rsidRDefault="000574C5" w:rsidP="00DA2317">
            <w:pPr>
              <w:tabs>
                <w:tab w:val="left" w:pos="5400"/>
              </w:tabs>
              <w:spacing w:line="240" w:lineRule="auto"/>
            </w:pPr>
            <w:r>
              <w:t>170</w:t>
            </w:r>
          </w:p>
        </w:tc>
        <w:tc>
          <w:tcPr>
            <w:tcW w:w="884" w:type="dxa"/>
          </w:tcPr>
          <w:p w14:paraId="60F4AD05" w14:textId="12D775E3" w:rsidR="000574C5" w:rsidRDefault="000574C5" w:rsidP="00DA2317">
            <w:pPr>
              <w:tabs>
                <w:tab w:val="left" w:pos="5400"/>
              </w:tabs>
              <w:spacing w:line="240" w:lineRule="auto"/>
            </w:pPr>
            <w:r>
              <w:t>31</w:t>
            </w:r>
          </w:p>
        </w:tc>
      </w:tr>
      <w:tr w:rsidR="000574C5" w14:paraId="06411D98" w14:textId="77777777" w:rsidTr="00DA2317">
        <w:tc>
          <w:tcPr>
            <w:tcW w:w="2258" w:type="dxa"/>
          </w:tcPr>
          <w:p w14:paraId="4BFA7030" w14:textId="77777777" w:rsidR="000574C5" w:rsidRDefault="000574C5" w:rsidP="00DA2317">
            <w:pPr>
              <w:tabs>
                <w:tab w:val="left" w:pos="5400"/>
              </w:tabs>
              <w:spacing w:line="240" w:lineRule="auto"/>
            </w:pPr>
            <w:r>
              <w:t>Perth and Kinross</w:t>
            </w:r>
          </w:p>
        </w:tc>
        <w:tc>
          <w:tcPr>
            <w:tcW w:w="884" w:type="dxa"/>
          </w:tcPr>
          <w:p w14:paraId="61AEB5F4" w14:textId="757DFC44" w:rsidR="000574C5" w:rsidRDefault="000574C5" w:rsidP="00DA2317">
            <w:pPr>
              <w:tabs>
                <w:tab w:val="left" w:pos="5400"/>
              </w:tabs>
              <w:spacing w:line="240" w:lineRule="auto"/>
            </w:pPr>
            <w:r>
              <w:t>60</w:t>
            </w:r>
          </w:p>
        </w:tc>
        <w:tc>
          <w:tcPr>
            <w:tcW w:w="884" w:type="dxa"/>
          </w:tcPr>
          <w:p w14:paraId="06874DA7" w14:textId="5F5CB23B" w:rsidR="000574C5" w:rsidRDefault="000574C5" w:rsidP="00DA2317">
            <w:pPr>
              <w:tabs>
                <w:tab w:val="left" w:pos="5400"/>
              </w:tabs>
              <w:spacing w:line="240" w:lineRule="auto"/>
            </w:pPr>
            <w:r>
              <w:t>65</w:t>
            </w:r>
          </w:p>
        </w:tc>
        <w:tc>
          <w:tcPr>
            <w:tcW w:w="884" w:type="dxa"/>
          </w:tcPr>
          <w:p w14:paraId="0FBAA463" w14:textId="6ED23E8F" w:rsidR="000574C5" w:rsidRDefault="000574C5" w:rsidP="00DA2317">
            <w:pPr>
              <w:tabs>
                <w:tab w:val="left" w:pos="5400"/>
              </w:tabs>
              <w:spacing w:line="240" w:lineRule="auto"/>
            </w:pPr>
            <w:r>
              <w:t>7</w:t>
            </w:r>
          </w:p>
        </w:tc>
      </w:tr>
      <w:tr w:rsidR="000574C5" w14:paraId="3DDDB882" w14:textId="77777777" w:rsidTr="00DA2317">
        <w:tc>
          <w:tcPr>
            <w:tcW w:w="2258" w:type="dxa"/>
          </w:tcPr>
          <w:p w14:paraId="0B190978" w14:textId="77777777" w:rsidR="000574C5" w:rsidRPr="000574C5" w:rsidRDefault="000574C5" w:rsidP="00DA2317">
            <w:pPr>
              <w:tabs>
                <w:tab w:val="left" w:pos="5400"/>
              </w:tabs>
              <w:spacing w:line="240" w:lineRule="auto"/>
              <w:rPr>
                <w:b/>
                <w:bCs/>
              </w:rPr>
            </w:pPr>
            <w:r w:rsidRPr="000574C5">
              <w:rPr>
                <w:b/>
                <w:bCs/>
              </w:rPr>
              <w:t>Total</w:t>
            </w:r>
          </w:p>
        </w:tc>
        <w:tc>
          <w:tcPr>
            <w:tcW w:w="884" w:type="dxa"/>
          </w:tcPr>
          <w:p w14:paraId="5A8CEB60" w14:textId="02CE65C3" w:rsidR="000574C5" w:rsidRPr="000574C5" w:rsidRDefault="000574C5" w:rsidP="00DA2317">
            <w:pPr>
              <w:tabs>
                <w:tab w:val="left" w:pos="5400"/>
              </w:tabs>
              <w:spacing w:line="240" w:lineRule="auto"/>
              <w:rPr>
                <w:b/>
                <w:bCs/>
              </w:rPr>
            </w:pPr>
            <w:r>
              <w:rPr>
                <w:b/>
                <w:bCs/>
              </w:rPr>
              <w:t>356</w:t>
            </w:r>
          </w:p>
        </w:tc>
        <w:tc>
          <w:tcPr>
            <w:tcW w:w="884" w:type="dxa"/>
          </w:tcPr>
          <w:p w14:paraId="6B2EB736" w14:textId="26D3122D" w:rsidR="000574C5" w:rsidRPr="000574C5" w:rsidRDefault="000574C5" w:rsidP="00DA2317">
            <w:pPr>
              <w:tabs>
                <w:tab w:val="left" w:pos="5400"/>
              </w:tabs>
              <w:spacing w:line="240" w:lineRule="auto"/>
              <w:rPr>
                <w:b/>
                <w:bCs/>
              </w:rPr>
            </w:pPr>
            <w:r>
              <w:rPr>
                <w:b/>
                <w:bCs/>
              </w:rPr>
              <w:t>235</w:t>
            </w:r>
          </w:p>
        </w:tc>
        <w:tc>
          <w:tcPr>
            <w:tcW w:w="884" w:type="dxa"/>
          </w:tcPr>
          <w:p w14:paraId="7A377DB0" w14:textId="0C5D34FA" w:rsidR="000574C5" w:rsidRPr="000574C5" w:rsidRDefault="000574C5" w:rsidP="00DA2317">
            <w:pPr>
              <w:tabs>
                <w:tab w:val="left" w:pos="5400"/>
              </w:tabs>
              <w:spacing w:line="240" w:lineRule="auto"/>
              <w:rPr>
                <w:b/>
                <w:bCs/>
              </w:rPr>
            </w:pPr>
            <w:r>
              <w:rPr>
                <w:b/>
                <w:bCs/>
              </w:rPr>
              <w:t>38</w:t>
            </w:r>
          </w:p>
        </w:tc>
      </w:tr>
    </w:tbl>
    <w:p w14:paraId="34BDABAB" w14:textId="4755F1E7" w:rsidR="00255F1E" w:rsidRDefault="00255F1E" w:rsidP="00793DD5">
      <w:pPr>
        <w:tabs>
          <w:tab w:val="left" w:pos="5400"/>
        </w:tabs>
      </w:pPr>
    </w:p>
    <w:p w14:paraId="4B02A545" w14:textId="77777777" w:rsidR="00A07B62" w:rsidRDefault="00A07B62" w:rsidP="00A07B62">
      <w:pPr>
        <w:tabs>
          <w:tab w:val="left" w:pos="5400"/>
        </w:tabs>
      </w:pPr>
      <w:r w:rsidRPr="00A07B62">
        <w:rPr>
          <w:i/>
          <w:iCs/>
        </w:rPr>
        <w:t>Table 4: Detected</w:t>
      </w:r>
      <w:r>
        <w:t xml:space="preserve"> </w:t>
      </w:r>
      <w:r w:rsidRPr="00A07B62">
        <w:rPr>
          <w:i/>
          <w:iCs/>
        </w:rPr>
        <w:t>Hate Crimes (UNIFI)</w:t>
      </w:r>
      <w:r>
        <w:t xml:space="preserve"> </w:t>
      </w:r>
      <w:r w:rsidRPr="000574C5">
        <w:rPr>
          <w:i/>
          <w:iCs/>
        </w:rPr>
        <w:t>Fife and Perth &amp; Kinross, Local Authorities</w:t>
      </w:r>
      <w:r>
        <w:rPr>
          <w:i/>
          <w:iCs/>
        </w:rPr>
        <w:t xml:space="preserve"> – 1 April 2024 – 30 April 2025 (calendar years)</w:t>
      </w:r>
    </w:p>
    <w:tbl>
      <w:tblPr>
        <w:tblStyle w:val="TableGrid"/>
        <w:tblW w:w="4026" w:type="dxa"/>
        <w:tblLook w:val="04A0" w:firstRow="1" w:lastRow="0" w:firstColumn="1" w:lastColumn="0" w:noHBand="0" w:noVBand="1"/>
        <w:tblCaption w:val="Table 2: Recorded Hate Crimes (UNIFI) Fife and Perth &amp; Kinross, Local Authorities – 1 April 2024 – 30 April 2025 (calendar years)"/>
        <w:tblDescription w:val="Table 2: Recorded Hate Crimes (UNIFI) Fife and Perth &amp; Kinross, Local Authorities – 1 April 2024 – 30 April 2025 (calendar years)"/>
      </w:tblPr>
      <w:tblGrid>
        <w:gridCol w:w="2258"/>
        <w:gridCol w:w="884"/>
        <w:gridCol w:w="884"/>
      </w:tblGrid>
      <w:tr w:rsidR="00A07B62" w:rsidRPr="00557306" w14:paraId="50E795CA" w14:textId="77777777" w:rsidTr="00DA2317">
        <w:trPr>
          <w:tblHeader/>
        </w:trPr>
        <w:tc>
          <w:tcPr>
            <w:tcW w:w="2258" w:type="dxa"/>
            <w:shd w:val="clear" w:color="auto" w:fill="D9D9D9" w:themeFill="background1" w:themeFillShade="D9"/>
          </w:tcPr>
          <w:p w14:paraId="75FCE2D3" w14:textId="77777777" w:rsidR="00A07B62" w:rsidRPr="00557306" w:rsidRDefault="00A07B62" w:rsidP="00DA2317">
            <w:pPr>
              <w:spacing w:line="240" w:lineRule="auto"/>
              <w:rPr>
                <w:b/>
              </w:rPr>
            </w:pPr>
            <w:r>
              <w:rPr>
                <w:b/>
              </w:rPr>
              <w:t>Local Authority</w:t>
            </w:r>
          </w:p>
        </w:tc>
        <w:tc>
          <w:tcPr>
            <w:tcW w:w="884" w:type="dxa"/>
            <w:shd w:val="clear" w:color="auto" w:fill="D9D9D9" w:themeFill="background1" w:themeFillShade="D9"/>
          </w:tcPr>
          <w:p w14:paraId="0196BCE8" w14:textId="77777777" w:rsidR="00A07B62" w:rsidRPr="00557306" w:rsidRDefault="00A07B62" w:rsidP="00DA2317">
            <w:pPr>
              <w:spacing w:line="240" w:lineRule="auto"/>
              <w:rPr>
                <w:b/>
              </w:rPr>
            </w:pPr>
            <w:r>
              <w:rPr>
                <w:b/>
              </w:rPr>
              <w:t>2024</w:t>
            </w:r>
          </w:p>
        </w:tc>
        <w:tc>
          <w:tcPr>
            <w:tcW w:w="884" w:type="dxa"/>
            <w:shd w:val="clear" w:color="auto" w:fill="D9D9D9" w:themeFill="background1" w:themeFillShade="D9"/>
          </w:tcPr>
          <w:p w14:paraId="0ED9B453" w14:textId="77777777" w:rsidR="00A07B62" w:rsidRPr="00557306" w:rsidRDefault="00A07B62" w:rsidP="00DA2317">
            <w:pPr>
              <w:spacing w:line="240" w:lineRule="auto"/>
              <w:rPr>
                <w:b/>
              </w:rPr>
            </w:pPr>
            <w:r>
              <w:rPr>
                <w:b/>
              </w:rPr>
              <w:t>2025</w:t>
            </w:r>
          </w:p>
        </w:tc>
      </w:tr>
      <w:tr w:rsidR="00A07B62" w14:paraId="07B01CF4" w14:textId="77777777" w:rsidTr="00DA2317">
        <w:tc>
          <w:tcPr>
            <w:tcW w:w="2258" w:type="dxa"/>
          </w:tcPr>
          <w:p w14:paraId="5F6A5038" w14:textId="77777777" w:rsidR="00A07B62" w:rsidRDefault="00A07B62" w:rsidP="00DA2317">
            <w:pPr>
              <w:tabs>
                <w:tab w:val="left" w:pos="5400"/>
              </w:tabs>
              <w:spacing w:line="240" w:lineRule="auto"/>
            </w:pPr>
            <w:r>
              <w:t>Fife</w:t>
            </w:r>
          </w:p>
        </w:tc>
        <w:tc>
          <w:tcPr>
            <w:tcW w:w="884" w:type="dxa"/>
          </w:tcPr>
          <w:p w14:paraId="0C9450CF" w14:textId="2205BC09" w:rsidR="00A07B62" w:rsidRDefault="00A07B62" w:rsidP="00DA2317">
            <w:pPr>
              <w:tabs>
                <w:tab w:val="left" w:pos="5400"/>
              </w:tabs>
              <w:spacing w:line="240" w:lineRule="auto"/>
            </w:pPr>
            <w:r>
              <w:t>275</w:t>
            </w:r>
          </w:p>
        </w:tc>
        <w:tc>
          <w:tcPr>
            <w:tcW w:w="884" w:type="dxa"/>
          </w:tcPr>
          <w:p w14:paraId="30ECCE39" w14:textId="4D315EC4" w:rsidR="00A07B62" w:rsidRDefault="00A07B62" w:rsidP="00DA2317">
            <w:pPr>
              <w:tabs>
                <w:tab w:val="left" w:pos="5400"/>
              </w:tabs>
              <w:spacing w:line="240" w:lineRule="auto"/>
            </w:pPr>
            <w:r>
              <w:t>122</w:t>
            </w:r>
          </w:p>
        </w:tc>
      </w:tr>
      <w:tr w:rsidR="00A07B62" w14:paraId="4C16203E" w14:textId="77777777" w:rsidTr="00DA2317">
        <w:tc>
          <w:tcPr>
            <w:tcW w:w="2258" w:type="dxa"/>
          </w:tcPr>
          <w:p w14:paraId="0A53719E" w14:textId="77777777" w:rsidR="00A07B62" w:rsidRDefault="00A07B62" w:rsidP="00DA2317">
            <w:pPr>
              <w:tabs>
                <w:tab w:val="left" w:pos="5400"/>
              </w:tabs>
              <w:spacing w:line="240" w:lineRule="auto"/>
            </w:pPr>
            <w:r>
              <w:t>Perth and Kinross</w:t>
            </w:r>
          </w:p>
        </w:tc>
        <w:tc>
          <w:tcPr>
            <w:tcW w:w="884" w:type="dxa"/>
          </w:tcPr>
          <w:p w14:paraId="3E3A7DFC" w14:textId="242AF358" w:rsidR="00A07B62" w:rsidRDefault="00A07B62" w:rsidP="00DA2317">
            <w:pPr>
              <w:tabs>
                <w:tab w:val="left" w:pos="5400"/>
              </w:tabs>
              <w:spacing w:line="240" w:lineRule="auto"/>
            </w:pPr>
            <w:r>
              <w:t>92</w:t>
            </w:r>
          </w:p>
        </w:tc>
        <w:tc>
          <w:tcPr>
            <w:tcW w:w="884" w:type="dxa"/>
          </w:tcPr>
          <w:p w14:paraId="6500003D" w14:textId="192EA7E3" w:rsidR="00A07B62" w:rsidRDefault="00A07B62" w:rsidP="00DA2317">
            <w:pPr>
              <w:tabs>
                <w:tab w:val="left" w:pos="5400"/>
              </w:tabs>
              <w:spacing w:line="240" w:lineRule="auto"/>
            </w:pPr>
            <w:r>
              <w:t>39</w:t>
            </w:r>
          </w:p>
        </w:tc>
      </w:tr>
      <w:tr w:rsidR="00A07B62" w14:paraId="2C9B2455" w14:textId="77777777" w:rsidTr="00DA2317">
        <w:tc>
          <w:tcPr>
            <w:tcW w:w="2258" w:type="dxa"/>
          </w:tcPr>
          <w:p w14:paraId="07DFBC93" w14:textId="77777777" w:rsidR="00A07B62" w:rsidRPr="000574C5" w:rsidRDefault="00A07B62" w:rsidP="00DA2317">
            <w:pPr>
              <w:tabs>
                <w:tab w:val="left" w:pos="5400"/>
              </w:tabs>
              <w:spacing w:line="240" w:lineRule="auto"/>
              <w:rPr>
                <w:b/>
                <w:bCs/>
              </w:rPr>
            </w:pPr>
            <w:r w:rsidRPr="000574C5">
              <w:rPr>
                <w:b/>
                <w:bCs/>
              </w:rPr>
              <w:t>Total</w:t>
            </w:r>
          </w:p>
        </w:tc>
        <w:tc>
          <w:tcPr>
            <w:tcW w:w="884" w:type="dxa"/>
          </w:tcPr>
          <w:p w14:paraId="2D5202E9" w14:textId="450CF1BA" w:rsidR="00A07B62" w:rsidRPr="000574C5" w:rsidRDefault="00A07B62" w:rsidP="00DA2317">
            <w:pPr>
              <w:tabs>
                <w:tab w:val="left" w:pos="5400"/>
              </w:tabs>
              <w:spacing w:line="240" w:lineRule="auto"/>
              <w:rPr>
                <w:b/>
                <w:bCs/>
              </w:rPr>
            </w:pPr>
            <w:r>
              <w:rPr>
                <w:b/>
                <w:bCs/>
              </w:rPr>
              <w:t>367</w:t>
            </w:r>
          </w:p>
        </w:tc>
        <w:tc>
          <w:tcPr>
            <w:tcW w:w="884" w:type="dxa"/>
          </w:tcPr>
          <w:p w14:paraId="3E465E44" w14:textId="46A5DE20" w:rsidR="00A07B62" w:rsidRPr="000574C5" w:rsidRDefault="00A07B62" w:rsidP="00DA2317">
            <w:pPr>
              <w:tabs>
                <w:tab w:val="left" w:pos="5400"/>
              </w:tabs>
              <w:spacing w:line="240" w:lineRule="auto"/>
              <w:rPr>
                <w:b/>
                <w:bCs/>
              </w:rPr>
            </w:pPr>
            <w:r>
              <w:rPr>
                <w:b/>
                <w:bCs/>
              </w:rPr>
              <w:t>161</w:t>
            </w:r>
          </w:p>
        </w:tc>
      </w:tr>
    </w:tbl>
    <w:p w14:paraId="4CE47CE2" w14:textId="77777777" w:rsidR="00A07B62" w:rsidRDefault="00A07B62" w:rsidP="00A07B62">
      <w:pPr>
        <w:tabs>
          <w:tab w:val="left" w:pos="5400"/>
        </w:tabs>
      </w:pPr>
      <w:r>
        <w:t>All statistics are provisional and should be treated as management information. All data have been extracted from Police Scotland internal systems and are correct as of 22nd May 2025.</w:t>
      </w:r>
      <w:r>
        <w:tab/>
      </w:r>
      <w:r>
        <w:tab/>
      </w:r>
      <w:r>
        <w:tab/>
      </w:r>
      <w:r>
        <w:tab/>
      </w:r>
      <w:r>
        <w:tab/>
      </w:r>
      <w:r>
        <w:tab/>
      </w:r>
    </w:p>
    <w:p w14:paraId="7C30E9A3" w14:textId="77777777" w:rsidR="00A07B62" w:rsidRDefault="00A07B62" w:rsidP="00A07B62">
      <w:pPr>
        <w:tabs>
          <w:tab w:val="left" w:pos="5400"/>
        </w:tabs>
      </w:pPr>
      <w:r>
        <w:t>The data prior to the 1st April 2024 has been extracted from the Interim Vulnerable Persons Database (iVPD) using the ‘incident created’ date.</w:t>
      </w:r>
      <w:r>
        <w:tab/>
      </w:r>
    </w:p>
    <w:p w14:paraId="274B9ED9" w14:textId="77777777" w:rsidR="00A07B62" w:rsidRDefault="00A07B62" w:rsidP="00A07B62">
      <w:pPr>
        <w:rPr>
          <w:lang w:eastAsia="en-GB"/>
        </w:rPr>
      </w:pPr>
      <w:r w:rsidRPr="00A07B62">
        <w:rPr>
          <w:lang w:eastAsia="en-GB"/>
        </w:rPr>
        <w:lastRenderedPageBreak/>
        <w:t>The data from the 1st April 2024 has been extracted from the National Crime Unifi database using the ‘date detected’.</w:t>
      </w:r>
    </w:p>
    <w:p w14:paraId="3B73CEC4" w14:textId="29EDA68F" w:rsidR="00A07B62" w:rsidRDefault="00A07B62" w:rsidP="00A07B62">
      <w:r w:rsidRPr="00A07B62">
        <w:t>Please note, the data from National Unifi Crime has been extracted based on crimes/offences which include a hate aggravator.</w:t>
      </w:r>
      <w:r w:rsidRPr="00A07B62">
        <w:tab/>
      </w:r>
      <w:r w:rsidRPr="00A07B62">
        <w:tab/>
      </w:r>
      <w:r w:rsidRPr="00A07B62">
        <w:tab/>
      </w:r>
      <w:r w:rsidRPr="00A07B62">
        <w:tab/>
      </w:r>
      <w:r w:rsidRPr="00A07B62">
        <w:tab/>
      </w:r>
    </w:p>
    <w:p w14:paraId="14628D6E" w14:textId="5CE1AB73" w:rsidR="00A07B62" w:rsidRDefault="00A07B62" w:rsidP="00A07B62">
      <w:pPr>
        <w:rPr>
          <w:lang w:eastAsia="en-GB"/>
        </w:rPr>
      </w:pPr>
      <w:r>
        <w:t>Please note, Tables 1 and 3 display a count of unique hate crimes, and not a count of aggravators. Multiple aggravators can be added to the one hate crime.</w:t>
      </w:r>
      <w:r>
        <w:tab/>
      </w:r>
      <w:r>
        <w:tab/>
      </w:r>
    </w:p>
    <w:p w14:paraId="34BDABB8" w14:textId="0F8C4C94" w:rsidR="00255F1E" w:rsidRPr="00B11A55" w:rsidRDefault="00A07B62" w:rsidP="00A07B62">
      <w:pPr>
        <w:tabs>
          <w:tab w:val="left" w:pos="5400"/>
        </w:tabs>
      </w:pPr>
      <w:r>
        <w:t>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tab/>
      </w:r>
      <w:r>
        <w:tab/>
      </w:r>
      <w:r>
        <w:tab/>
      </w:r>
      <w:r>
        <w:tab/>
      </w:r>
      <w:r>
        <w:tab/>
      </w:r>
      <w:r>
        <w:tab/>
      </w:r>
      <w:r>
        <w:tab/>
      </w:r>
      <w:r>
        <w:tab/>
      </w:r>
      <w:r>
        <w:tab/>
      </w:r>
      <w:r>
        <w:tab/>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74C5"/>
    <w:rsid w:val="00090F3B"/>
    <w:rsid w:val="000B0F1B"/>
    <w:rsid w:val="000E2F19"/>
    <w:rsid w:val="000E6526"/>
    <w:rsid w:val="00141533"/>
    <w:rsid w:val="00151DD0"/>
    <w:rsid w:val="00167528"/>
    <w:rsid w:val="00195CC4"/>
    <w:rsid w:val="00207326"/>
    <w:rsid w:val="00253DF6"/>
    <w:rsid w:val="00255F1E"/>
    <w:rsid w:val="002A6B26"/>
    <w:rsid w:val="002F5274"/>
    <w:rsid w:val="0036503B"/>
    <w:rsid w:val="00376A4A"/>
    <w:rsid w:val="003D6D03"/>
    <w:rsid w:val="003E12CA"/>
    <w:rsid w:val="004010DC"/>
    <w:rsid w:val="00413CB1"/>
    <w:rsid w:val="004341F0"/>
    <w:rsid w:val="00456324"/>
    <w:rsid w:val="00475460"/>
    <w:rsid w:val="00490317"/>
    <w:rsid w:val="00491644"/>
    <w:rsid w:val="00496A08"/>
    <w:rsid w:val="004E1605"/>
    <w:rsid w:val="004F653C"/>
    <w:rsid w:val="00540A52"/>
    <w:rsid w:val="005506B0"/>
    <w:rsid w:val="00557306"/>
    <w:rsid w:val="0064162D"/>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9A39AE"/>
    <w:rsid w:val="00A04A7E"/>
    <w:rsid w:val="00A07B62"/>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6528C"/>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4810">
      <w:bodyDiv w:val="1"/>
      <w:marLeft w:val="0"/>
      <w:marRight w:val="0"/>
      <w:marTop w:val="0"/>
      <w:marBottom w:val="0"/>
      <w:divBdr>
        <w:top w:val="none" w:sz="0" w:space="0" w:color="auto"/>
        <w:left w:val="none" w:sz="0" w:space="0" w:color="auto"/>
        <w:bottom w:val="none" w:sz="0" w:space="0" w:color="auto"/>
        <w:right w:val="none" w:sz="0" w:space="0" w:color="auto"/>
      </w:divBdr>
    </w:div>
    <w:div w:id="601650737">
      <w:bodyDiv w:val="1"/>
      <w:marLeft w:val="0"/>
      <w:marRight w:val="0"/>
      <w:marTop w:val="0"/>
      <w:marBottom w:val="0"/>
      <w:divBdr>
        <w:top w:val="none" w:sz="0" w:space="0" w:color="auto"/>
        <w:left w:val="none" w:sz="0" w:space="0" w:color="auto"/>
        <w:bottom w:val="none" w:sz="0" w:space="0" w:color="auto"/>
        <w:right w:val="none" w:sz="0" w:space="0" w:color="auto"/>
      </w:divBdr>
    </w:div>
    <w:div w:id="705644305">
      <w:bodyDiv w:val="1"/>
      <w:marLeft w:val="0"/>
      <w:marRight w:val="0"/>
      <w:marTop w:val="0"/>
      <w:marBottom w:val="0"/>
      <w:divBdr>
        <w:top w:val="none" w:sz="0" w:space="0" w:color="auto"/>
        <w:left w:val="none" w:sz="0" w:space="0" w:color="auto"/>
        <w:bottom w:val="none" w:sz="0" w:space="0" w:color="auto"/>
        <w:right w:val="none" w:sz="0" w:space="0" w:color="auto"/>
      </w:divBdr>
    </w:div>
    <w:div w:id="1495074294">
      <w:bodyDiv w:val="1"/>
      <w:marLeft w:val="0"/>
      <w:marRight w:val="0"/>
      <w:marTop w:val="0"/>
      <w:marBottom w:val="0"/>
      <w:divBdr>
        <w:top w:val="none" w:sz="0" w:space="0" w:color="auto"/>
        <w:left w:val="none" w:sz="0" w:space="0" w:color="auto"/>
        <w:bottom w:val="none" w:sz="0" w:space="0" w:color="auto"/>
        <w:right w:val="none" w:sz="0" w:space="0" w:color="auto"/>
      </w:divBdr>
    </w:div>
    <w:div w:id="1504854536">
      <w:bodyDiv w:val="1"/>
      <w:marLeft w:val="0"/>
      <w:marRight w:val="0"/>
      <w:marTop w:val="0"/>
      <w:marBottom w:val="0"/>
      <w:divBdr>
        <w:top w:val="none" w:sz="0" w:space="0" w:color="auto"/>
        <w:left w:val="none" w:sz="0" w:space="0" w:color="auto"/>
        <w:bottom w:val="none" w:sz="0" w:space="0" w:color="auto"/>
        <w:right w:val="none" w:sz="0" w:space="0" w:color="auto"/>
      </w:divBdr>
    </w:div>
    <w:div w:id="1577011962">
      <w:bodyDiv w:val="1"/>
      <w:marLeft w:val="0"/>
      <w:marRight w:val="0"/>
      <w:marTop w:val="0"/>
      <w:marBottom w:val="0"/>
      <w:divBdr>
        <w:top w:val="none" w:sz="0" w:space="0" w:color="auto"/>
        <w:left w:val="none" w:sz="0" w:space="0" w:color="auto"/>
        <w:bottom w:val="none" w:sz="0" w:space="0" w:color="auto"/>
        <w:right w:val="none" w:sz="0" w:space="0" w:color="auto"/>
      </w:divBdr>
    </w:div>
    <w:div w:id="1584102965">
      <w:bodyDiv w:val="1"/>
      <w:marLeft w:val="0"/>
      <w:marRight w:val="0"/>
      <w:marTop w:val="0"/>
      <w:marBottom w:val="0"/>
      <w:divBdr>
        <w:top w:val="none" w:sz="0" w:space="0" w:color="auto"/>
        <w:left w:val="none" w:sz="0" w:space="0" w:color="auto"/>
        <w:bottom w:val="none" w:sz="0" w:space="0" w:color="auto"/>
        <w:right w:val="none" w:sz="0" w:space="0" w:color="auto"/>
      </w:divBdr>
    </w:div>
    <w:div w:id="20339190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660</Words>
  <Characters>3767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