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5A4677" w:rsidR="00B17211" w:rsidRPr="00B17211" w:rsidRDefault="00B17211" w:rsidP="007F490F">
            <w:r w:rsidRPr="007F490F">
              <w:rPr>
                <w:rStyle w:val="Heading2Char"/>
              </w:rPr>
              <w:t>Our reference:</w:t>
            </w:r>
            <w:r>
              <w:t xml:space="preserve">  FOI 2</w:t>
            </w:r>
            <w:r w:rsidR="00AC443C">
              <w:t>3</w:t>
            </w:r>
            <w:r>
              <w:t>-</w:t>
            </w:r>
            <w:r w:rsidR="00A4078E">
              <w:t>3170</w:t>
            </w:r>
          </w:p>
          <w:p w14:paraId="34BDABA6" w14:textId="5E09816A" w:rsidR="00B17211" w:rsidRDefault="00456324" w:rsidP="00EE2373">
            <w:r w:rsidRPr="007F490F">
              <w:rPr>
                <w:rStyle w:val="Heading2Char"/>
              </w:rPr>
              <w:t>Respon</w:t>
            </w:r>
            <w:r w:rsidR="007D55F6">
              <w:rPr>
                <w:rStyle w:val="Heading2Char"/>
              </w:rPr>
              <w:t>ded to:</w:t>
            </w:r>
            <w:r w:rsidR="007F490F">
              <w:t xml:space="preserve">  </w:t>
            </w:r>
            <w:r w:rsidR="00A4078E">
              <w:t>4</w:t>
            </w:r>
            <w:r w:rsidR="00A4078E" w:rsidRPr="00A4078E">
              <w:rPr>
                <w:vertAlign w:val="superscript"/>
              </w:rPr>
              <w:t>th</w:t>
            </w:r>
            <w:r w:rsidR="00A4078E">
              <w:t xml:space="preserve">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79D071" w14:textId="77777777" w:rsidR="00EF075B" w:rsidRDefault="00EF075B" w:rsidP="00EF075B">
      <w:pPr>
        <w:numPr>
          <w:ilvl w:val="0"/>
          <w:numId w:val="2"/>
        </w:numPr>
        <w:tabs>
          <w:tab w:val="left" w:pos="5400"/>
        </w:tabs>
        <w:rPr>
          <w:rFonts w:eastAsiaTheme="majorEastAsia" w:cstheme="majorBidi"/>
          <w:b/>
          <w:color w:val="000000" w:themeColor="text1"/>
          <w:szCs w:val="26"/>
        </w:rPr>
      </w:pPr>
      <w:r w:rsidRPr="00EF075B">
        <w:rPr>
          <w:rFonts w:eastAsiaTheme="majorEastAsia" w:cstheme="majorBidi"/>
          <w:b/>
          <w:color w:val="000000" w:themeColor="text1"/>
          <w:szCs w:val="26"/>
        </w:rPr>
        <w:t>How many times have Police Scotland breached the 1 month time limit for Subject Access Requests since the inception of Police Scotland</w:t>
      </w:r>
    </w:p>
    <w:p w14:paraId="64AE09CF" w14:textId="71E793A1" w:rsidR="00EF075B" w:rsidRDefault="00FA3373" w:rsidP="00EF075B">
      <w:pPr>
        <w:ind w:left="360"/>
      </w:pPr>
      <w:r>
        <w:t>SAR compliance d</w:t>
      </w:r>
      <w:r w:rsidR="009D371A">
        <w:t>ata for the period prior to January 2020 is no longer held by Police Scotland in accordance with our record retention policies and section 17 of the Act therefore applies.</w:t>
      </w:r>
    </w:p>
    <w:p w14:paraId="34659069" w14:textId="2C452D58" w:rsidR="00EF075B" w:rsidRDefault="009D371A" w:rsidP="00EF075B">
      <w:pPr>
        <w:ind w:left="360"/>
      </w:pPr>
      <w:r>
        <w:t>Data for the period January 2020 to 30 September is detailed below:</w:t>
      </w:r>
    </w:p>
    <w:tbl>
      <w:tblPr>
        <w:tblStyle w:val="TableGrid"/>
        <w:tblW w:w="0" w:type="auto"/>
        <w:tblInd w:w="360" w:type="dxa"/>
        <w:tblLook w:val="04A0" w:firstRow="1" w:lastRow="0" w:firstColumn="1" w:lastColumn="0" w:noHBand="0" w:noVBand="1"/>
      </w:tblPr>
      <w:tblGrid>
        <w:gridCol w:w="3067"/>
        <w:gridCol w:w="3093"/>
        <w:gridCol w:w="3108"/>
      </w:tblGrid>
      <w:tr w:rsidR="00EF075B" w:rsidRPr="00EF075B" w14:paraId="0982A4EF" w14:textId="77777777" w:rsidTr="00EF075B">
        <w:tc>
          <w:tcPr>
            <w:tcW w:w="3209" w:type="dxa"/>
            <w:shd w:val="clear" w:color="auto" w:fill="D9D9D9" w:themeFill="background1" w:themeFillShade="D9"/>
          </w:tcPr>
          <w:p w14:paraId="44BDD8E3" w14:textId="2A98C2C9" w:rsidR="00EF075B" w:rsidRPr="00EF075B" w:rsidRDefault="00EF075B" w:rsidP="00EF075B">
            <w:pPr>
              <w:spacing w:line="276" w:lineRule="auto"/>
              <w:rPr>
                <w:b/>
                <w:bCs/>
              </w:rPr>
            </w:pPr>
            <w:r w:rsidRPr="00EF075B">
              <w:rPr>
                <w:b/>
                <w:bCs/>
              </w:rPr>
              <w:t>Year</w:t>
            </w:r>
          </w:p>
        </w:tc>
        <w:tc>
          <w:tcPr>
            <w:tcW w:w="3209" w:type="dxa"/>
            <w:shd w:val="clear" w:color="auto" w:fill="D9D9D9" w:themeFill="background1" w:themeFillShade="D9"/>
          </w:tcPr>
          <w:p w14:paraId="42365C99" w14:textId="0D966C87" w:rsidR="00EF075B" w:rsidRPr="00EF075B" w:rsidRDefault="00EF075B" w:rsidP="00EF075B">
            <w:pPr>
              <w:spacing w:line="276" w:lineRule="auto"/>
              <w:rPr>
                <w:b/>
                <w:bCs/>
              </w:rPr>
            </w:pPr>
            <w:r w:rsidRPr="00EF075B">
              <w:rPr>
                <w:b/>
                <w:bCs/>
              </w:rPr>
              <w:t>SARs received</w:t>
            </w:r>
          </w:p>
        </w:tc>
        <w:tc>
          <w:tcPr>
            <w:tcW w:w="3210" w:type="dxa"/>
            <w:shd w:val="clear" w:color="auto" w:fill="D9D9D9" w:themeFill="background1" w:themeFillShade="D9"/>
          </w:tcPr>
          <w:p w14:paraId="3A8B3525" w14:textId="4528551F" w:rsidR="00EF075B" w:rsidRPr="00EF075B" w:rsidRDefault="00EF075B" w:rsidP="00EF075B">
            <w:pPr>
              <w:spacing w:line="276" w:lineRule="auto"/>
              <w:rPr>
                <w:b/>
                <w:bCs/>
              </w:rPr>
            </w:pPr>
            <w:r w:rsidRPr="00EF075B">
              <w:rPr>
                <w:b/>
                <w:bCs/>
              </w:rPr>
              <w:t>SARs responded to late</w:t>
            </w:r>
          </w:p>
        </w:tc>
      </w:tr>
      <w:tr w:rsidR="009D371A" w14:paraId="43C2FDF6" w14:textId="77777777" w:rsidTr="00EF075B">
        <w:tc>
          <w:tcPr>
            <w:tcW w:w="3209" w:type="dxa"/>
          </w:tcPr>
          <w:p w14:paraId="79205E39" w14:textId="1F9B39A1" w:rsidR="009D371A" w:rsidRDefault="009D371A" w:rsidP="00EF075B">
            <w:pPr>
              <w:spacing w:line="276" w:lineRule="auto"/>
            </w:pPr>
            <w:r>
              <w:t>2020</w:t>
            </w:r>
          </w:p>
        </w:tc>
        <w:tc>
          <w:tcPr>
            <w:tcW w:w="3209" w:type="dxa"/>
          </w:tcPr>
          <w:p w14:paraId="69CBA512" w14:textId="50259DD3" w:rsidR="009D371A" w:rsidRDefault="009D371A" w:rsidP="00EF075B">
            <w:pPr>
              <w:spacing w:line="276" w:lineRule="auto"/>
            </w:pPr>
            <w:r>
              <w:t>5,550</w:t>
            </w:r>
          </w:p>
        </w:tc>
        <w:tc>
          <w:tcPr>
            <w:tcW w:w="3210" w:type="dxa"/>
          </w:tcPr>
          <w:p w14:paraId="448880D3" w14:textId="259EE2E9" w:rsidR="009D371A" w:rsidRDefault="009D371A" w:rsidP="00EF075B">
            <w:pPr>
              <w:spacing w:line="276" w:lineRule="auto"/>
            </w:pPr>
            <w:r>
              <w:t>364</w:t>
            </w:r>
          </w:p>
        </w:tc>
      </w:tr>
      <w:tr w:rsidR="00EF075B" w14:paraId="6B04E630" w14:textId="77777777" w:rsidTr="00EF075B">
        <w:tc>
          <w:tcPr>
            <w:tcW w:w="3209" w:type="dxa"/>
          </w:tcPr>
          <w:p w14:paraId="0025A8DB" w14:textId="238713F5" w:rsidR="00EF075B" w:rsidRDefault="00EF075B" w:rsidP="00EF075B">
            <w:pPr>
              <w:spacing w:line="276" w:lineRule="auto"/>
            </w:pPr>
            <w:r>
              <w:t>2021</w:t>
            </w:r>
          </w:p>
        </w:tc>
        <w:tc>
          <w:tcPr>
            <w:tcW w:w="3209" w:type="dxa"/>
          </w:tcPr>
          <w:p w14:paraId="3FCB955A" w14:textId="5B5127CD" w:rsidR="00EF075B" w:rsidRDefault="00EF075B" w:rsidP="00EF075B">
            <w:pPr>
              <w:spacing w:line="276" w:lineRule="auto"/>
            </w:pPr>
            <w:r>
              <w:t>5,905</w:t>
            </w:r>
          </w:p>
        </w:tc>
        <w:tc>
          <w:tcPr>
            <w:tcW w:w="3210" w:type="dxa"/>
          </w:tcPr>
          <w:p w14:paraId="002D7598" w14:textId="5419ABBF" w:rsidR="00EF075B" w:rsidRDefault="00EF075B" w:rsidP="00EF075B">
            <w:pPr>
              <w:spacing w:line="276" w:lineRule="auto"/>
            </w:pPr>
            <w:r>
              <w:t>471</w:t>
            </w:r>
          </w:p>
        </w:tc>
      </w:tr>
      <w:tr w:rsidR="00EF075B" w14:paraId="42259294" w14:textId="77777777" w:rsidTr="00EF075B">
        <w:tc>
          <w:tcPr>
            <w:tcW w:w="3209" w:type="dxa"/>
          </w:tcPr>
          <w:p w14:paraId="0FF4609B" w14:textId="2E84E158" w:rsidR="00EF075B" w:rsidRDefault="00EF075B" w:rsidP="00EF075B">
            <w:pPr>
              <w:spacing w:line="276" w:lineRule="auto"/>
            </w:pPr>
            <w:r>
              <w:t>2022</w:t>
            </w:r>
          </w:p>
        </w:tc>
        <w:tc>
          <w:tcPr>
            <w:tcW w:w="3209" w:type="dxa"/>
          </w:tcPr>
          <w:p w14:paraId="2D2AE52A" w14:textId="548ED5E7" w:rsidR="00EF075B" w:rsidRDefault="00EF075B" w:rsidP="00EF075B">
            <w:pPr>
              <w:spacing w:line="276" w:lineRule="auto"/>
            </w:pPr>
            <w:r>
              <w:t>6,438</w:t>
            </w:r>
          </w:p>
        </w:tc>
        <w:tc>
          <w:tcPr>
            <w:tcW w:w="3210" w:type="dxa"/>
          </w:tcPr>
          <w:p w14:paraId="61A64157" w14:textId="2973F732" w:rsidR="00EF075B" w:rsidRDefault="00EF075B" w:rsidP="00EF075B">
            <w:pPr>
              <w:spacing w:line="276" w:lineRule="auto"/>
            </w:pPr>
            <w:r>
              <w:t>442</w:t>
            </w:r>
          </w:p>
        </w:tc>
      </w:tr>
      <w:tr w:rsidR="00EF075B" w14:paraId="07015B7B" w14:textId="77777777" w:rsidTr="00EF075B">
        <w:tc>
          <w:tcPr>
            <w:tcW w:w="3209" w:type="dxa"/>
          </w:tcPr>
          <w:p w14:paraId="37FFD331" w14:textId="2A9FB464" w:rsidR="00EF075B" w:rsidRDefault="00EF075B" w:rsidP="00EF075B">
            <w:pPr>
              <w:spacing w:line="276" w:lineRule="auto"/>
            </w:pPr>
            <w:r>
              <w:t>2023 (Jan - Sep)</w:t>
            </w:r>
          </w:p>
        </w:tc>
        <w:tc>
          <w:tcPr>
            <w:tcW w:w="3209" w:type="dxa"/>
          </w:tcPr>
          <w:p w14:paraId="6C55D351" w14:textId="1DB76993" w:rsidR="00EF075B" w:rsidRDefault="00EF075B" w:rsidP="00EF075B">
            <w:pPr>
              <w:spacing w:line="276" w:lineRule="auto"/>
            </w:pPr>
            <w:r>
              <w:t>5,883</w:t>
            </w:r>
          </w:p>
        </w:tc>
        <w:tc>
          <w:tcPr>
            <w:tcW w:w="3210" w:type="dxa"/>
          </w:tcPr>
          <w:p w14:paraId="3398C66F" w14:textId="3D49C1C7" w:rsidR="00EF075B" w:rsidRDefault="00EF075B" w:rsidP="00EF075B">
            <w:pPr>
              <w:spacing w:line="276" w:lineRule="auto"/>
            </w:pPr>
            <w:r>
              <w:t>591</w:t>
            </w:r>
          </w:p>
        </w:tc>
      </w:tr>
    </w:tbl>
    <w:p w14:paraId="75628110" w14:textId="22DFC293" w:rsidR="009D371A" w:rsidRDefault="009D371A" w:rsidP="00AC76C8">
      <w:pPr>
        <w:ind w:left="360"/>
      </w:pPr>
      <w:r>
        <w:t>Data for the last quarter of 2023 will be available around February 2024.</w:t>
      </w:r>
    </w:p>
    <w:p w14:paraId="11DD479A" w14:textId="1F535112" w:rsidR="00AC76C8" w:rsidRDefault="00AC76C8" w:rsidP="00AC76C8">
      <w:pPr>
        <w:ind w:left="360"/>
      </w:pPr>
      <w:r>
        <w:t>Data regarding compliance with FOI timescales is available online if that is of interest:</w:t>
      </w:r>
    </w:p>
    <w:p w14:paraId="70236F7A" w14:textId="1EBBA26F" w:rsidR="00AC76C8" w:rsidRDefault="00A4078E" w:rsidP="00AC76C8">
      <w:pPr>
        <w:ind w:left="360"/>
      </w:pPr>
      <w:hyperlink r:id="rId11" w:history="1">
        <w:r w:rsidR="00AC76C8">
          <w:rPr>
            <w:rStyle w:val="Hyperlink"/>
          </w:rPr>
          <w:t>FOI and EIRs statistics | Scottish Information Commissioner (itspublicknowledge.info)</w:t>
        </w:r>
      </w:hyperlink>
    </w:p>
    <w:p w14:paraId="5CF147E0" w14:textId="77777777" w:rsidR="00AC76C8" w:rsidRPr="00EF075B" w:rsidRDefault="00AC76C8" w:rsidP="00AC76C8">
      <w:pPr>
        <w:ind w:left="360"/>
      </w:pPr>
    </w:p>
    <w:p w14:paraId="213E463C" w14:textId="77777777" w:rsidR="00EF075B" w:rsidRDefault="00EF075B" w:rsidP="00EF075B">
      <w:pPr>
        <w:numPr>
          <w:ilvl w:val="0"/>
          <w:numId w:val="2"/>
        </w:numPr>
        <w:tabs>
          <w:tab w:val="left" w:pos="5400"/>
        </w:tabs>
        <w:rPr>
          <w:rFonts w:eastAsiaTheme="majorEastAsia" w:cstheme="majorBidi"/>
          <w:b/>
          <w:color w:val="000000" w:themeColor="text1"/>
          <w:szCs w:val="26"/>
        </w:rPr>
      </w:pPr>
      <w:r w:rsidRPr="00EF075B">
        <w:rPr>
          <w:rFonts w:eastAsiaTheme="majorEastAsia" w:cstheme="majorBidi"/>
          <w:b/>
          <w:color w:val="000000" w:themeColor="text1"/>
          <w:szCs w:val="26"/>
        </w:rPr>
        <w:t>How many times has the Information commissioners office had to contact Polce Scotland to force them to comply with a Subject Access Request</w:t>
      </w:r>
    </w:p>
    <w:p w14:paraId="463E7C39" w14:textId="73D92B6F" w:rsidR="00B276C4" w:rsidRPr="00B276C4" w:rsidRDefault="00B276C4" w:rsidP="00B276C4">
      <w:pPr>
        <w:pStyle w:val="ListParagraph"/>
        <w:ind w:left="360"/>
      </w:pPr>
      <w:r>
        <w:t>ICO complaint data for the period prior to January 2019 is no longer held by Police Scotland in accordance with our record retention policies and section 17 of the Act therefore applies.</w:t>
      </w:r>
    </w:p>
    <w:p w14:paraId="1E49C892" w14:textId="77777777" w:rsidR="00AC76C8" w:rsidRDefault="009D371A" w:rsidP="00EF075B">
      <w:pPr>
        <w:tabs>
          <w:tab w:val="left" w:pos="5400"/>
        </w:tabs>
        <w:ind w:left="360"/>
        <w:rPr>
          <w:rFonts w:eastAsiaTheme="majorEastAsia" w:cstheme="majorBidi"/>
          <w:bCs/>
          <w:color w:val="000000" w:themeColor="text1"/>
          <w:szCs w:val="26"/>
        </w:rPr>
      </w:pPr>
      <w:r w:rsidRPr="009D371A">
        <w:rPr>
          <w:rFonts w:eastAsiaTheme="majorEastAsia" w:cstheme="majorBidi"/>
          <w:bCs/>
          <w:color w:val="000000" w:themeColor="text1"/>
          <w:szCs w:val="26"/>
        </w:rPr>
        <w:t xml:space="preserve">Since January 2019, </w:t>
      </w:r>
      <w:r w:rsidR="002C5B45" w:rsidRPr="002C5B45">
        <w:rPr>
          <w:rFonts w:eastAsiaTheme="majorEastAsia" w:cstheme="majorBidi"/>
          <w:bCs/>
          <w:color w:val="000000" w:themeColor="text1"/>
          <w:szCs w:val="26"/>
        </w:rPr>
        <w:t xml:space="preserve">Police Scotland </w:t>
      </w:r>
      <w:r w:rsidR="002C5B45">
        <w:rPr>
          <w:rFonts w:eastAsiaTheme="majorEastAsia" w:cstheme="majorBidi"/>
          <w:bCs/>
          <w:color w:val="000000" w:themeColor="text1"/>
          <w:szCs w:val="26"/>
        </w:rPr>
        <w:t>has received notification of 208 complaints</w:t>
      </w:r>
      <w:r w:rsidR="00875367">
        <w:rPr>
          <w:rFonts w:eastAsiaTheme="majorEastAsia" w:cstheme="majorBidi"/>
          <w:bCs/>
          <w:color w:val="000000" w:themeColor="text1"/>
          <w:szCs w:val="26"/>
        </w:rPr>
        <w:t xml:space="preserve"> from the ICO.  </w:t>
      </w:r>
    </w:p>
    <w:p w14:paraId="4D93CF8F" w14:textId="1A789070" w:rsidR="00EF075B" w:rsidRDefault="00875367" w:rsidP="00EF075B">
      <w:pPr>
        <w:tabs>
          <w:tab w:val="left" w:pos="5400"/>
        </w:tabs>
        <w:ind w:left="360"/>
        <w:rPr>
          <w:rFonts w:eastAsiaTheme="majorEastAsia" w:cstheme="majorBidi"/>
          <w:bCs/>
          <w:color w:val="000000" w:themeColor="text1"/>
          <w:szCs w:val="26"/>
        </w:rPr>
      </w:pPr>
      <w:r>
        <w:rPr>
          <w:rFonts w:eastAsiaTheme="majorEastAsia" w:cstheme="majorBidi"/>
          <w:bCs/>
          <w:color w:val="000000" w:themeColor="text1"/>
          <w:szCs w:val="26"/>
        </w:rPr>
        <w:lastRenderedPageBreak/>
        <w:t>These will relate to a variety of matters and not solely the handling of SARs.</w:t>
      </w:r>
    </w:p>
    <w:p w14:paraId="1F9B2B51" w14:textId="6D644891" w:rsidR="00875367" w:rsidRDefault="00875367" w:rsidP="00875367">
      <w:pPr>
        <w:ind w:left="360"/>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read through the detail of all of these complaints and assess whether they related to a SAR and, if so, whether the ICO ordered Police Scotland to provide information to the applicant.  </w:t>
      </w:r>
    </w:p>
    <w:p w14:paraId="1ED97681" w14:textId="77777777" w:rsidR="00875367" w:rsidRPr="00453F0A" w:rsidRDefault="00875367" w:rsidP="00875367">
      <w:pPr>
        <w:ind w:left="360"/>
      </w:pPr>
      <w:r>
        <w:t>I am therefore refusing to provide the information sought in terms of s</w:t>
      </w:r>
      <w:r w:rsidRPr="00453F0A">
        <w:t xml:space="preserve">ection 12(1) </w:t>
      </w:r>
      <w:r>
        <w:t xml:space="preserve">- </w:t>
      </w:r>
      <w:r w:rsidRPr="00453F0A">
        <w:t>Excessive Cost of Compliance.</w:t>
      </w:r>
    </w:p>
    <w:p w14:paraId="4A450477" w14:textId="77777777" w:rsidR="009D371A" w:rsidRPr="00EF075B" w:rsidRDefault="009D371A" w:rsidP="00EF075B">
      <w:pPr>
        <w:tabs>
          <w:tab w:val="left" w:pos="5400"/>
        </w:tabs>
        <w:ind w:left="360"/>
        <w:rPr>
          <w:rFonts w:eastAsiaTheme="majorEastAsia" w:cstheme="majorBidi"/>
          <w:bCs/>
          <w:color w:val="000000" w:themeColor="text1"/>
          <w:szCs w:val="26"/>
        </w:rPr>
      </w:pPr>
    </w:p>
    <w:p w14:paraId="01A6DC9D" w14:textId="676E78B5" w:rsidR="00875367" w:rsidRDefault="00EF075B" w:rsidP="00875367">
      <w:pPr>
        <w:numPr>
          <w:ilvl w:val="0"/>
          <w:numId w:val="2"/>
        </w:numPr>
        <w:tabs>
          <w:tab w:val="left" w:pos="5400"/>
        </w:tabs>
        <w:rPr>
          <w:rFonts w:eastAsiaTheme="majorEastAsia" w:cstheme="majorBidi"/>
          <w:b/>
          <w:color w:val="000000" w:themeColor="text1"/>
          <w:szCs w:val="26"/>
        </w:rPr>
      </w:pPr>
      <w:r w:rsidRPr="00EF075B">
        <w:rPr>
          <w:rFonts w:eastAsiaTheme="majorEastAsia" w:cstheme="majorBidi"/>
          <w:b/>
          <w:color w:val="000000" w:themeColor="text1"/>
          <w:szCs w:val="26"/>
        </w:rPr>
        <w:t>How many Enforcement notices have the Information commissioner’s office issued to Police Scotland for failing to comply with FOI or SAR laws.</w:t>
      </w:r>
    </w:p>
    <w:p w14:paraId="14270C57" w14:textId="1BE78AB0" w:rsidR="00875367" w:rsidRDefault="00875367" w:rsidP="00875367">
      <w:pPr>
        <w:ind w:left="360"/>
      </w:pPr>
      <w:r w:rsidRPr="00AC76C8">
        <w:t xml:space="preserve">Zero enforcement or information notices have been issued </w:t>
      </w:r>
      <w:r w:rsidR="00FA3373" w:rsidRPr="00AC76C8">
        <w:t xml:space="preserve">against Police Scotland </w:t>
      </w:r>
      <w:r w:rsidRPr="00AC76C8">
        <w:t>by the ICO in relation to SARs</w:t>
      </w:r>
      <w:r w:rsidR="00FA3373" w:rsidRPr="00AC76C8">
        <w:t xml:space="preserve"> since 2013</w:t>
      </w:r>
      <w:r w:rsidRPr="00AC76C8">
        <w:t>.</w:t>
      </w:r>
    </w:p>
    <w:p w14:paraId="302338EB" w14:textId="35E963DB" w:rsidR="00875367" w:rsidRPr="00875367" w:rsidRDefault="00875367" w:rsidP="00875367">
      <w:pPr>
        <w:ind w:left="360"/>
      </w:pPr>
      <w:r>
        <w:t xml:space="preserve">FOI in Scotland is not regulated by the ICO and is instead regulated by the </w:t>
      </w:r>
      <w:hyperlink r:id="rId12" w:history="1">
        <w:r w:rsidRPr="00875367">
          <w:rPr>
            <w:rStyle w:val="Hyperlink"/>
          </w:rPr>
          <w:t>Office of the Scottish Information Commissioner</w:t>
        </w:r>
      </w:hyperlink>
      <w:r>
        <w:t xml:space="preserve"> (OSIC).  </w:t>
      </w:r>
      <w:r w:rsidRPr="00875367">
        <w:t>Zero</w:t>
      </w:r>
      <w:r>
        <w:t xml:space="preserve"> enforcement notices have been issued against Police Scotland by OSIC since 2013.</w:t>
      </w:r>
    </w:p>
    <w:p w14:paraId="052F1E66" w14:textId="43AB4F48" w:rsidR="00EF075B" w:rsidRPr="00EF075B" w:rsidRDefault="00875367" w:rsidP="00EF075B">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ab/>
      </w:r>
    </w:p>
    <w:p w14:paraId="7B07AD1C" w14:textId="77777777" w:rsidR="00EF075B" w:rsidRPr="00EF075B" w:rsidRDefault="00EF075B" w:rsidP="00EF075B">
      <w:pPr>
        <w:numPr>
          <w:ilvl w:val="0"/>
          <w:numId w:val="2"/>
        </w:numPr>
        <w:tabs>
          <w:tab w:val="left" w:pos="5400"/>
        </w:tabs>
        <w:rPr>
          <w:rFonts w:eastAsiaTheme="majorEastAsia" w:cstheme="majorBidi"/>
          <w:b/>
          <w:color w:val="000000" w:themeColor="text1"/>
          <w:szCs w:val="26"/>
        </w:rPr>
      </w:pPr>
      <w:r w:rsidRPr="00EF075B">
        <w:rPr>
          <w:rFonts w:eastAsiaTheme="majorEastAsia" w:cstheme="majorBidi"/>
          <w:b/>
          <w:color w:val="000000" w:themeColor="text1"/>
          <w:szCs w:val="26"/>
        </w:rPr>
        <w:t>How many times has court action been taken against Police Scotland for failing to comply with FOI and SAR laws.</w:t>
      </w:r>
    </w:p>
    <w:p w14:paraId="70891590" w14:textId="77777777" w:rsidR="00EF075B" w:rsidRPr="00EF075B" w:rsidRDefault="00EF075B" w:rsidP="00EF075B">
      <w:pPr>
        <w:numPr>
          <w:ilvl w:val="0"/>
          <w:numId w:val="2"/>
        </w:numPr>
        <w:tabs>
          <w:tab w:val="left" w:pos="5400"/>
        </w:tabs>
        <w:rPr>
          <w:rFonts w:eastAsiaTheme="majorEastAsia" w:cstheme="majorBidi"/>
          <w:b/>
          <w:color w:val="000000" w:themeColor="text1"/>
          <w:szCs w:val="26"/>
        </w:rPr>
      </w:pPr>
      <w:r w:rsidRPr="00EF075B">
        <w:rPr>
          <w:rFonts w:eastAsiaTheme="majorEastAsia" w:cstheme="majorBidi"/>
          <w:b/>
          <w:color w:val="000000" w:themeColor="text1"/>
          <w:szCs w:val="26"/>
        </w:rPr>
        <w:t>How many times have Police Scotland been fined for not complying with FOI or Sar Laws</w:t>
      </w:r>
    </w:p>
    <w:p w14:paraId="560D2208" w14:textId="77777777" w:rsidR="00EF075B" w:rsidRPr="00EF075B" w:rsidRDefault="00EF075B" w:rsidP="00EF075B">
      <w:pPr>
        <w:numPr>
          <w:ilvl w:val="0"/>
          <w:numId w:val="2"/>
        </w:numPr>
        <w:tabs>
          <w:tab w:val="left" w:pos="5400"/>
        </w:tabs>
        <w:rPr>
          <w:rFonts w:eastAsiaTheme="majorEastAsia" w:cstheme="majorBidi"/>
          <w:b/>
          <w:color w:val="000000" w:themeColor="text1"/>
          <w:szCs w:val="26"/>
        </w:rPr>
      </w:pPr>
      <w:r w:rsidRPr="00EF075B">
        <w:rPr>
          <w:rFonts w:eastAsiaTheme="majorEastAsia" w:cstheme="majorBidi"/>
          <w:b/>
          <w:color w:val="000000" w:themeColor="text1"/>
          <w:szCs w:val="26"/>
        </w:rPr>
        <w:t>What is the total amount of fines paid by Police Scotland (if any) for not complying with FOI or SAR Requests.</w:t>
      </w:r>
    </w:p>
    <w:p w14:paraId="34BDABAA" w14:textId="4720A36A" w:rsidR="00496A08" w:rsidRDefault="00EF075B" w:rsidP="00875367">
      <w:pPr>
        <w:tabs>
          <w:tab w:val="left" w:pos="5400"/>
        </w:tabs>
        <w:ind w:left="360"/>
      </w:pPr>
      <w:r>
        <w:t>The responses to the questions above are all zero</w:t>
      </w:r>
      <w:r w:rsidR="009D371A">
        <w:t xml:space="preserve"> and section 17 of the </w:t>
      </w:r>
      <w:r w:rsidR="00A775EF">
        <w:t>Act therefore applies.</w:t>
      </w:r>
    </w:p>
    <w:p w14:paraId="3B746BA1" w14:textId="5C12701A" w:rsidR="00EF075B" w:rsidRDefault="00EF075B" w:rsidP="00875367">
      <w:pPr>
        <w:tabs>
          <w:tab w:val="left" w:pos="5400"/>
        </w:tabs>
        <w:ind w:left="360"/>
      </w:pPr>
      <w:r>
        <w:t>Please note that the Office of the Scottish Information Commissioner do not issue fines in relation to FOI in Scotland.</w:t>
      </w:r>
    </w:p>
    <w:p w14:paraId="34BDABBD" w14:textId="77777777" w:rsidR="00BF6B81" w:rsidRPr="00B11A55" w:rsidRDefault="00BF6B81" w:rsidP="00793DD5">
      <w:pPr>
        <w:tabs>
          <w:tab w:val="left" w:pos="5400"/>
        </w:tabs>
      </w:pP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A6BE4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7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876B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7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C808A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7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EF333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78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28A10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7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2BA87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078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795"/>
    <w:multiLevelType w:val="hybridMultilevel"/>
    <w:tmpl w:val="4EA2369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93758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C5B4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5DBC"/>
    <w:rsid w:val="00793DD5"/>
    <w:rsid w:val="007D55F6"/>
    <w:rsid w:val="007F490F"/>
    <w:rsid w:val="0086779C"/>
    <w:rsid w:val="00874BFD"/>
    <w:rsid w:val="00875367"/>
    <w:rsid w:val="008964EF"/>
    <w:rsid w:val="009631A4"/>
    <w:rsid w:val="00977296"/>
    <w:rsid w:val="009D371A"/>
    <w:rsid w:val="00A25E93"/>
    <w:rsid w:val="00A320FF"/>
    <w:rsid w:val="00A4078E"/>
    <w:rsid w:val="00A70AC0"/>
    <w:rsid w:val="00A775EF"/>
    <w:rsid w:val="00A84EA9"/>
    <w:rsid w:val="00AC443C"/>
    <w:rsid w:val="00AC76C8"/>
    <w:rsid w:val="00B11A55"/>
    <w:rsid w:val="00B17211"/>
    <w:rsid w:val="00B276C4"/>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428C"/>
    <w:rsid w:val="00EE2373"/>
    <w:rsid w:val="00EF075B"/>
    <w:rsid w:val="00EF4761"/>
    <w:rsid w:val="00FA337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75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3725">
      <w:bodyDiv w:val="1"/>
      <w:marLeft w:val="0"/>
      <w:marRight w:val="0"/>
      <w:marTop w:val="0"/>
      <w:marBottom w:val="0"/>
      <w:divBdr>
        <w:top w:val="none" w:sz="0" w:space="0" w:color="auto"/>
        <w:left w:val="none" w:sz="0" w:space="0" w:color="auto"/>
        <w:bottom w:val="none" w:sz="0" w:space="0" w:color="auto"/>
        <w:right w:val="none" w:sz="0" w:space="0" w:color="auto"/>
      </w:divBdr>
    </w:div>
    <w:div w:id="12311905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itspublicknowledge.info/enforcement-not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spublicknowledge.info/statistic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624</Words>
  <Characters>3560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