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125E">
              <w:t>0421</w:t>
            </w:r>
          </w:p>
          <w:p w:rsidR="00B17211" w:rsidRDefault="00456324" w:rsidP="00DC4F5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4F54">
              <w:t>06 March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125E" w:rsidRPr="00BF125E" w:rsidRDefault="00BF125E" w:rsidP="00CB3EF2">
      <w:pPr>
        <w:pStyle w:val="Heading2"/>
      </w:pPr>
      <w:r w:rsidRPr="00BF125E">
        <w:t>The number Road Traffic Accidents that involved cyclists, broken down by division, for the years of 2017-18, 2018-19, 2019-20, 2020-21, 2021-22 and so far in 2022-23.</w:t>
      </w:r>
    </w:p>
    <w:p w:rsidR="00496A08" w:rsidRDefault="00BF125E" w:rsidP="00BF125E">
      <w:r>
        <w:t xml:space="preserve">Please first of all be advised the Transport Scotland provide data on road casualties every year which you may find useful. You can access the latest report via this link: </w:t>
      </w:r>
      <w:hyperlink r:id="rId8" w:history="1">
        <w:r w:rsidR="00CB3EF2">
          <w:rPr>
            <w:rStyle w:val="Hyperlink"/>
            <w:rFonts w:eastAsiaTheme="majorEastAsia" w:cstheme="majorBidi"/>
            <w:szCs w:val="26"/>
          </w:rPr>
          <w:t>Reported Road Casualties - Scotland 2021</w:t>
        </w:r>
      </w:hyperlink>
      <w:r>
        <w:t xml:space="preserve"> </w:t>
      </w:r>
    </w:p>
    <w:p w:rsidR="00255F1E" w:rsidRDefault="00CB3EF2" w:rsidP="00793DD5">
      <w:pPr>
        <w:tabs>
          <w:tab w:val="left" w:pos="5400"/>
        </w:tabs>
      </w:pPr>
      <w:r>
        <w:t>In response to your request, please see the following table:</w:t>
      </w:r>
    </w:p>
    <w:p w:rsidR="00CB3EF2" w:rsidRDefault="00CB3EF2" w:rsidP="00793DD5">
      <w:pPr>
        <w:tabs>
          <w:tab w:val="left" w:pos="5400"/>
        </w:tabs>
      </w:pPr>
      <w:r w:rsidRPr="00CB3EF2">
        <w:rPr>
          <w:b/>
        </w:rPr>
        <w:t>Road Traffic Collisions</w:t>
      </w:r>
      <w:r w:rsidRPr="00CB3EF2">
        <w:t xml:space="preserve"> (Involving at Least 1 x Pedal Cycle), Police Scotland Divisions (Broken by Collision Severity)</w:t>
      </w:r>
      <w:r>
        <w:t xml:space="preserve">. </w:t>
      </w:r>
      <w:r w:rsidRPr="00CB3EF2">
        <w:t>1st April 2017 - 31st January 2023 (Financial Years)</w:t>
      </w:r>
    </w:p>
    <w:tbl>
      <w:tblPr>
        <w:tblStyle w:val="TableGrid"/>
        <w:tblW w:w="9989" w:type="dxa"/>
        <w:tblLook w:val="04A0" w:firstRow="1" w:lastRow="0" w:firstColumn="1" w:lastColumn="0" w:noHBand="0" w:noVBand="1"/>
        <w:tblCaption w:val="Road Traffic Collisions"/>
        <w:tblDescription w:val="Road Traffic Collisions"/>
      </w:tblPr>
      <w:tblGrid>
        <w:gridCol w:w="1857"/>
        <w:gridCol w:w="1583"/>
        <w:gridCol w:w="1084"/>
        <w:gridCol w:w="1129"/>
        <w:gridCol w:w="1084"/>
        <w:gridCol w:w="1084"/>
        <w:gridCol w:w="1084"/>
        <w:gridCol w:w="1084"/>
      </w:tblGrid>
      <w:tr w:rsidR="00CB3EF2" w:rsidRPr="00557306" w:rsidTr="00CB3EF2">
        <w:trPr>
          <w:trHeight w:val="974"/>
          <w:tblHeader/>
        </w:trPr>
        <w:tc>
          <w:tcPr>
            <w:tcW w:w="1857" w:type="dxa"/>
            <w:shd w:val="clear" w:color="auto" w:fill="D9D9D9" w:themeFill="background1" w:themeFillShade="D9"/>
          </w:tcPr>
          <w:p w:rsidR="00CB3EF2" w:rsidRPr="00557306" w:rsidRDefault="00CB3EF2" w:rsidP="00D05706">
            <w:pPr>
              <w:rPr>
                <w:b/>
              </w:rPr>
            </w:pPr>
            <w:r w:rsidRPr="00CB3EF2">
              <w:rPr>
                <w:b/>
              </w:rPr>
              <w:t>Division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CB3EF2" w:rsidRPr="00557306" w:rsidRDefault="00CB3EF2" w:rsidP="00D05706">
            <w:pPr>
              <w:rPr>
                <w:b/>
              </w:rPr>
            </w:pPr>
            <w:r w:rsidRPr="00CB3EF2">
              <w:rPr>
                <w:b/>
              </w:rPr>
              <w:t>Collision Severity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Pr="00557306" w:rsidRDefault="00CB3EF2" w:rsidP="00D05706">
            <w:pPr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CB3EF2" w:rsidRPr="00557306" w:rsidRDefault="00CB3EF2" w:rsidP="00D05706">
            <w:pPr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Pr="00557306" w:rsidRDefault="00CB3EF2" w:rsidP="00D05706">
            <w:pPr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D05706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D05706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D05706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North East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Tayside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25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Highland and Islands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Forth Valley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6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Edinburgh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34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69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The Lothians and Scottish Borders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17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24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Fife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Greater Glasgow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36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125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148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55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Ayrshire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Lanarkshire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14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Argyll and West Dunbartonshire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Renfrewshire and Inverclyde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3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Dumfries and Galloway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0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CB3EF2">
              <w:rPr>
                <w:rFonts w:eastAsia="Times New Roman"/>
                <w:lang w:eastAsia="en-GB"/>
              </w:rPr>
              <w:t>7</w:t>
            </w:r>
          </w:p>
        </w:tc>
      </w:tr>
      <w:tr w:rsidR="00CB3EF2" w:rsidRPr="00CB3EF2" w:rsidTr="00CB3EF2">
        <w:trPr>
          <w:trHeight w:val="570"/>
        </w:trPr>
        <w:tc>
          <w:tcPr>
            <w:tcW w:w="1857" w:type="dxa"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583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Total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701</w:t>
            </w:r>
          </w:p>
        </w:tc>
        <w:tc>
          <w:tcPr>
            <w:tcW w:w="1129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665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562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608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527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381</w:t>
            </w:r>
          </w:p>
        </w:tc>
      </w:tr>
    </w:tbl>
    <w:p w:rsidR="00CB3EF2" w:rsidRDefault="00CB3EF2" w:rsidP="00793DD5">
      <w:pPr>
        <w:tabs>
          <w:tab w:val="left" w:pos="5400"/>
        </w:tabs>
      </w:pPr>
    </w:p>
    <w:p w:rsidR="00CB3EF2" w:rsidRPr="00BF125E" w:rsidRDefault="00CB3EF2" w:rsidP="00CB3EF2">
      <w:pPr>
        <w:pStyle w:val="Heading2"/>
      </w:pPr>
      <w:r w:rsidRPr="00BF125E">
        <w:t xml:space="preserve">The number of </w:t>
      </w:r>
      <w:r w:rsidRPr="00BF125E">
        <w:rPr>
          <w:bCs/>
        </w:rPr>
        <w:t>fatal</w:t>
      </w:r>
      <w:r w:rsidRPr="00BF125E">
        <w:t xml:space="preserve"> Road Traffic Accidents that involved the </w:t>
      </w:r>
      <w:r w:rsidRPr="00BF125E">
        <w:rPr>
          <w:bCs/>
        </w:rPr>
        <w:t>death</w:t>
      </w:r>
      <w:r w:rsidRPr="00BF125E">
        <w:t xml:space="preserve"> of a cyclist, broken down by division, for the years of 2017-18, 2018-19, 2019-20, 2020-21, 2021-22 and so far in 2022-23. </w:t>
      </w:r>
    </w:p>
    <w:p w:rsidR="00CB3EF2" w:rsidRDefault="00CB3EF2" w:rsidP="00CB3EF2">
      <w:pPr>
        <w:pStyle w:val="Heading2"/>
      </w:pPr>
      <w:r w:rsidRPr="00BF125E">
        <w:t xml:space="preserve">The number of Road Traffic Accidents that involved the </w:t>
      </w:r>
      <w:r w:rsidRPr="00BF125E">
        <w:rPr>
          <w:bCs/>
        </w:rPr>
        <w:t xml:space="preserve">serious injury </w:t>
      </w:r>
      <w:r w:rsidRPr="00BF125E">
        <w:t xml:space="preserve">of a cyclist, broken down by division, for the years of 2017-18, 2018-19, 2019-20, 2020-21, 2021-22 and so far in 2022-23. </w:t>
      </w:r>
    </w:p>
    <w:p w:rsidR="00CB3EF2" w:rsidRDefault="00CB3EF2" w:rsidP="00793DD5">
      <w:pPr>
        <w:tabs>
          <w:tab w:val="left" w:pos="5400"/>
        </w:tabs>
      </w:pPr>
      <w:r>
        <w:t>In response to these questions, please see the following table:</w:t>
      </w:r>
    </w:p>
    <w:p w:rsidR="00255F1E" w:rsidRDefault="00CB3EF2" w:rsidP="00793DD5">
      <w:pPr>
        <w:tabs>
          <w:tab w:val="left" w:pos="5400"/>
        </w:tabs>
      </w:pPr>
      <w:r w:rsidRPr="00CB3EF2">
        <w:t xml:space="preserve">Road Traffic Collision </w:t>
      </w:r>
      <w:r w:rsidRPr="00CB3EF2">
        <w:rPr>
          <w:b/>
        </w:rPr>
        <w:t>Casualties</w:t>
      </w:r>
      <w:r w:rsidRPr="00CB3EF2">
        <w:t xml:space="preserve"> (Linked to a Pedal Cycle), Police Scotland Divisions (Broken by Casualty Severity)</w:t>
      </w:r>
      <w:r>
        <w:t xml:space="preserve">. </w:t>
      </w:r>
      <w:r w:rsidRPr="00CB3EF2">
        <w:t>1st April 2017 - 31st January 2023 (Financial Years)</w:t>
      </w:r>
    </w:p>
    <w:tbl>
      <w:tblPr>
        <w:tblStyle w:val="TableGrid"/>
        <w:tblW w:w="9989" w:type="dxa"/>
        <w:tblLook w:val="04A0" w:firstRow="1" w:lastRow="0" w:firstColumn="1" w:lastColumn="0" w:noHBand="0" w:noVBand="1"/>
        <w:tblCaption w:val="Road Traffic Casualty data"/>
        <w:tblDescription w:val="Road Traffic Casualty data"/>
      </w:tblPr>
      <w:tblGrid>
        <w:gridCol w:w="1857"/>
        <w:gridCol w:w="1583"/>
        <w:gridCol w:w="1084"/>
        <w:gridCol w:w="1129"/>
        <w:gridCol w:w="1084"/>
        <w:gridCol w:w="1084"/>
        <w:gridCol w:w="1084"/>
        <w:gridCol w:w="1084"/>
      </w:tblGrid>
      <w:tr w:rsidR="00CB3EF2" w:rsidTr="00CB3EF2">
        <w:trPr>
          <w:trHeight w:val="974"/>
          <w:tblHeader/>
        </w:trPr>
        <w:tc>
          <w:tcPr>
            <w:tcW w:w="1857" w:type="dxa"/>
            <w:shd w:val="clear" w:color="auto" w:fill="D9D9D9" w:themeFill="background1" w:themeFillShade="D9"/>
          </w:tcPr>
          <w:p w:rsidR="00CB3EF2" w:rsidRPr="00557306" w:rsidRDefault="00CB3EF2" w:rsidP="000B15B8">
            <w:pPr>
              <w:rPr>
                <w:b/>
              </w:rPr>
            </w:pPr>
            <w:r w:rsidRPr="00CB3EF2">
              <w:rPr>
                <w:b/>
              </w:rPr>
              <w:t>Division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CB3EF2" w:rsidRPr="00557306" w:rsidRDefault="00CB3EF2" w:rsidP="00CB3EF2">
            <w:pPr>
              <w:rPr>
                <w:b/>
              </w:rPr>
            </w:pPr>
            <w:r w:rsidRPr="00CB3EF2">
              <w:rPr>
                <w:b/>
              </w:rPr>
              <w:t>C</w:t>
            </w:r>
            <w:r>
              <w:rPr>
                <w:b/>
              </w:rPr>
              <w:t>asualty</w:t>
            </w:r>
            <w:r w:rsidRPr="00CB3EF2">
              <w:rPr>
                <w:b/>
              </w:rPr>
              <w:t xml:space="preserve"> Severity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Pr="00557306" w:rsidRDefault="00CB3EF2" w:rsidP="000B15B8">
            <w:pPr>
              <w:rPr>
                <w:b/>
              </w:rPr>
            </w:pPr>
            <w:r>
              <w:rPr>
                <w:b/>
              </w:rPr>
              <w:t>2017/18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CB3EF2" w:rsidRPr="00557306" w:rsidRDefault="00CB3EF2" w:rsidP="000B15B8">
            <w:pPr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Pr="00557306" w:rsidRDefault="00CB3EF2" w:rsidP="000B15B8">
            <w:pPr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0B15B8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0B15B8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CB3EF2" w:rsidRDefault="00CB3EF2" w:rsidP="000B15B8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North East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18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35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lastRenderedPageBreak/>
              <w:t>Tayside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16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13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Highland and Islands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Forth Valley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6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Edinburgh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31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138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The Lothians and Scottish Borders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17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25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Fife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15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Greater Glasgow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37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126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56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Ayrshire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Lanarkshire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23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15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Argyll and West Dunbartonshire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Renfrewshire and Inverclyde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3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24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 w:val="restart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Dumfries and Galloway</w:t>
            </w: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Fatal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0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Serious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4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5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  <w:vMerge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Slight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6</w:t>
            </w:r>
          </w:p>
        </w:tc>
        <w:tc>
          <w:tcPr>
            <w:tcW w:w="1129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6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9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8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10</w:t>
            </w:r>
          </w:p>
        </w:tc>
        <w:tc>
          <w:tcPr>
            <w:tcW w:w="1084" w:type="dxa"/>
            <w:noWrap/>
            <w:hideMark/>
          </w:tcPr>
          <w:p w:rsidR="00CB3EF2" w:rsidRPr="00CB3EF2" w:rsidRDefault="00CB3EF2" w:rsidP="00CB3EF2">
            <w:pPr>
              <w:tabs>
                <w:tab w:val="left" w:pos="5400"/>
              </w:tabs>
            </w:pPr>
            <w:r w:rsidRPr="00CB3EF2">
              <w:t>7</w:t>
            </w:r>
          </w:p>
        </w:tc>
      </w:tr>
      <w:tr w:rsidR="00CB3EF2" w:rsidRPr="00CB3EF2" w:rsidTr="00CB3EF2">
        <w:trPr>
          <w:trHeight w:val="300"/>
        </w:trPr>
        <w:tc>
          <w:tcPr>
            <w:tcW w:w="1857" w:type="dxa"/>
          </w:tcPr>
          <w:p w:rsidR="00CB3EF2" w:rsidRPr="00CB3EF2" w:rsidRDefault="00CB3EF2" w:rsidP="00CB3EF2">
            <w:pPr>
              <w:tabs>
                <w:tab w:val="left" w:pos="5400"/>
              </w:tabs>
            </w:pPr>
          </w:p>
        </w:tc>
        <w:tc>
          <w:tcPr>
            <w:tcW w:w="1583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Total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704</w:t>
            </w:r>
          </w:p>
        </w:tc>
        <w:tc>
          <w:tcPr>
            <w:tcW w:w="1129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668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563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613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533</w:t>
            </w:r>
          </w:p>
        </w:tc>
        <w:tc>
          <w:tcPr>
            <w:tcW w:w="1084" w:type="dxa"/>
            <w:noWrap/>
          </w:tcPr>
          <w:p w:rsidR="00CB3EF2" w:rsidRPr="00CB3EF2" w:rsidRDefault="00CB3EF2" w:rsidP="00CB3EF2">
            <w:pPr>
              <w:tabs>
                <w:tab w:val="left" w:pos="5400"/>
              </w:tabs>
            </w:pPr>
            <w:r>
              <w:t>388</w:t>
            </w:r>
          </w:p>
        </w:tc>
      </w:tr>
    </w:tbl>
    <w:p w:rsidR="00CB3EF2" w:rsidRDefault="00CB3EF2" w:rsidP="00793DD5">
      <w:pPr>
        <w:tabs>
          <w:tab w:val="left" w:pos="5400"/>
        </w:tabs>
      </w:pPr>
      <w:r w:rsidRPr="00CB3EF2">
        <w:t xml:space="preserve">All statistics are provisional and should be treated as management information. All data have been extracted from Police Scotland internal systems and are correct as at </w:t>
      </w:r>
      <w:r w:rsidRPr="00CB3EF2">
        <w:lastRenderedPageBreak/>
        <w:t>03/02/2023.</w:t>
      </w:r>
      <w:r>
        <w:t xml:space="preserve"> </w:t>
      </w:r>
      <w:r w:rsidRPr="00CB3EF2">
        <w:t>Note - the data is subject to change and will be updated on the next extract of data from CRaSH on 3rd March 2023.</w:t>
      </w:r>
    </w:p>
    <w:p w:rsidR="00CB3EF2" w:rsidRPr="00B11A55" w:rsidRDefault="00CB3EF2" w:rsidP="00793DD5">
      <w:pPr>
        <w:tabs>
          <w:tab w:val="left" w:pos="5400"/>
        </w:tabs>
      </w:pPr>
    </w:p>
    <w:p w:rsidR="00CB3EF2" w:rsidRPr="00CB3EF2" w:rsidRDefault="00CB3EF2" w:rsidP="00CB3EF2">
      <w:pPr>
        <w:pStyle w:val="Heading2"/>
      </w:pPr>
      <w:r w:rsidRPr="00CB3EF2">
        <w:t xml:space="preserve">For all of these, I would like the offending vehicle (ie, the vehicle involved in the collision) to be specified. </w:t>
      </w:r>
    </w:p>
    <w:p w:rsidR="00CB3EF2" w:rsidRPr="00CB3EF2" w:rsidRDefault="00CB3EF2" w:rsidP="00CB3EF2">
      <w:r w:rsidRPr="00CB3EF2">
        <w:t>H</w:t>
      </w:r>
      <w:r>
        <w:t xml:space="preserve">aving considered this question </w:t>
      </w:r>
      <w:r w:rsidRPr="00CB3EF2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CB3EF2" w:rsidRPr="00CB3EF2" w:rsidRDefault="00CB3EF2" w:rsidP="00CB3EF2">
      <w:r w:rsidRPr="00CB3EF2">
        <w:t xml:space="preserve">As you may be aware the current cost threshold is £600 and I estimate that it would cost well in excess of this amount to process your request. </w:t>
      </w:r>
    </w:p>
    <w:p w:rsidR="00CB3EF2" w:rsidRPr="00CB3EF2" w:rsidRDefault="00CB3EF2" w:rsidP="00CB3EF2">
      <w:r w:rsidRPr="00CB3EF2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CB3EF2" w:rsidRDefault="00CB3EF2" w:rsidP="00CB3EF2">
      <w:r w:rsidRPr="00CB3EF2">
        <w:t xml:space="preserve">By way of explanation, the only way to provide an accurate response to your request would be to </w:t>
      </w:r>
      <w:r>
        <w:t>examine each and every report to establish the type of vehicles involved</w:t>
      </w:r>
      <w:r w:rsidRPr="00CB3EF2">
        <w:t xml:space="preserve"> -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F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87C66"/>
    <w:multiLevelType w:val="hybridMultilevel"/>
    <w:tmpl w:val="72F8FC34"/>
    <w:lvl w:ilvl="0" w:tplc="515ED8C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B1D2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125E"/>
    <w:rsid w:val="00BF6B81"/>
    <w:rsid w:val="00C077A8"/>
    <w:rsid w:val="00C606A2"/>
    <w:rsid w:val="00C63872"/>
    <w:rsid w:val="00C84948"/>
    <w:rsid w:val="00CB3EF2"/>
    <w:rsid w:val="00CF1111"/>
    <w:rsid w:val="00D05706"/>
    <w:rsid w:val="00D27DC5"/>
    <w:rsid w:val="00D47E36"/>
    <w:rsid w:val="00DC4F54"/>
    <w:rsid w:val="00E55D79"/>
    <w:rsid w:val="00EB109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publication/reported-road-casualties-scotland-202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965</Words>
  <Characters>5503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2023-03-06T14:27:00Z</cp:lastPrinted>
  <dcterms:created xsi:type="dcterms:W3CDTF">2021-10-06T12:31:00Z</dcterms:created>
  <dcterms:modified xsi:type="dcterms:W3CDTF">2023-03-06T14:27:00Z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