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E2B9CAB" w:rsidR="00B17211" w:rsidRPr="00B17211" w:rsidRDefault="00B17211" w:rsidP="007F490F">
            <w:r w:rsidRPr="007F490F">
              <w:rPr>
                <w:rStyle w:val="Heading2Char"/>
              </w:rPr>
              <w:t>Our reference:</w:t>
            </w:r>
            <w:r>
              <w:t xml:space="preserve">  FOI 2</w:t>
            </w:r>
            <w:r w:rsidR="00EF0FBB">
              <w:t>5</w:t>
            </w:r>
            <w:r>
              <w:t>-</w:t>
            </w:r>
            <w:r w:rsidR="003A116F">
              <w:t>3641</w:t>
            </w:r>
          </w:p>
          <w:p w14:paraId="34BDABA6" w14:textId="16F0E4E2" w:rsidR="00B17211" w:rsidRDefault="00456324" w:rsidP="00EE2373">
            <w:r w:rsidRPr="007F490F">
              <w:rPr>
                <w:rStyle w:val="Heading2Char"/>
              </w:rPr>
              <w:t>Respon</w:t>
            </w:r>
            <w:r w:rsidR="007D55F6">
              <w:rPr>
                <w:rStyle w:val="Heading2Char"/>
              </w:rPr>
              <w:t>ded to:</w:t>
            </w:r>
            <w:r w:rsidR="007F490F">
              <w:t xml:space="preserve">  </w:t>
            </w:r>
            <w:r w:rsidR="00F03287">
              <w:t>10</w:t>
            </w:r>
            <w:r w:rsidR="003A116F">
              <w:t xml:space="preserve">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56C3FDB" w14:textId="7B47A3CD" w:rsidR="00B81622" w:rsidRDefault="00B81622" w:rsidP="00B81622">
      <w:pPr>
        <w:pStyle w:val="Heading2"/>
        <w:rPr>
          <w:rFonts w:eastAsia="Times New Roman"/>
        </w:rPr>
      </w:pPr>
      <w:r>
        <w:rPr>
          <w:rFonts w:eastAsia="Times New Roman"/>
        </w:rPr>
        <w:t>I would like to submit an FOI request asking for the total cost of Police Scotland's Operation Stringent investigation into disgraced surgeon Sam Eljamel.</w:t>
      </w:r>
    </w:p>
    <w:p w14:paraId="0E11A230" w14:textId="0663F633" w:rsidR="00B81622" w:rsidRDefault="00B81622" w:rsidP="00B81622">
      <w:pPr>
        <w:pStyle w:val="Heading2"/>
        <w:rPr>
          <w:rFonts w:eastAsia="Times New Roman"/>
        </w:rPr>
      </w:pPr>
      <w:r>
        <w:rPr>
          <w:rFonts w:eastAsia="Times New Roman"/>
        </w:rPr>
        <w:t>Where possible, I would like this to be broken down by year, from when the investigation was first launched in 2018 to the present day.</w:t>
      </w:r>
    </w:p>
    <w:p w14:paraId="5587D1B8" w14:textId="77777777" w:rsidR="00B81622" w:rsidRDefault="00B81622" w:rsidP="00B81622">
      <w:pPr>
        <w:pStyle w:val="Heading2"/>
        <w:rPr>
          <w:rFonts w:eastAsia="Times New Roman"/>
        </w:rPr>
      </w:pPr>
      <w:r>
        <w:rPr>
          <w:rFonts w:eastAsia="Times New Roman"/>
        </w:rPr>
        <w:t>Any further costs breakdowns relating to staff and/or resources would be greatly appreciated as well.</w:t>
      </w:r>
    </w:p>
    <w:p w14:paraId="29372433" w14:textId="77777777" w:rsidR="001929A3" w:rsidRDefault="001929A3" w:rsidP="001929A3">
      <w:r>
        <w:t>In</w:t>
      </w:r>
      <w:r w:rsidRPr="00B524D9">
        <w:t xml:space="preserve"> terms of Section 17 of the Act, this letter represents a formal notice that information is not held.</w:t>
      </w:r>
    </w:p>
    <w:p w14:paraId="6A3410EA" w14:textId="4AD7A1EC" w:rsidR="001929A3" w:rsidRPr="00B524D9" w:rsidRDefault="001929A3" w:rsidP="001929A3">
      <w:r>
        <w:t>In relation to Operation Stringent and b</w:t>
      </w:r>
      <w:r w:rsidRPr="00B524D9">
        <w:t>y way of explanation, the total costs relating to any investigation, both relating to the investigation itself and the number of hours involved, are difficult to quantify as the nature of policing means that officers are deployed to wherever their services are most required.</w:t>
      </w:r>
    </w:p>
    <w:p w14:paraId="6A79C3E9" w14:textId="77777777" w:rsidR="001929A3" w:rsidRPr="00B524D9" w:rsidRDefault="001929A3" w:rsidP="001929A3">
      <w:r w:rsidRPr="00B524D9">
        <w:t>Furthermore, the number of officers required throughout an investigation will fluctuate and officers involved in a particular investigation, or multiple investigations, can be redeployed to other duties at any time, dependant on their skillsets.</w:t>
      </w:r>
    </w:p>
    <w:p w14:paraId="5C5DB8DB" w14:textId="2AA05CC1" w:rsidR="001929A3" w:rsidRPr="00B524D9" w:rsidRDefault="001929A3" w:rsidP="001929A3">
      <w:pPr>
        <w:rPr>
          <w:rFonts w:eastAsia="Times New Roman"/>
          <w:color w:val="000000"/>
        </w:rPr>
      </w:pPr>
      <w:r w:rsidRPr="00B524D9">
        <w:t>Police Scotland</w:t>
      </w:r>
      <w:r w:rsidR="009A3696">
        <w:t xml:space="preserve"> </w:t>
      </w:r>
      <w:r w:rsidRPr="00B524D9">
        <w:t>may keep limited records for investigations, which record overtime costs and non-pay costs.  These costs do not provide an accurate reflection of the total number of hours spent on an investigation nor do they provide, for the reasons stated above, an accurate cost for an investigation. The costs do not include, for example, officer hours where that officer would have been on duty anyway and as such are not recorded as a specific expense to a particular investigation.</w:t>
      </w:r>
      <w:r w:rsidRPr="00B524D9">
        <w:rPr>
          <w:rFonts w:eastAsia="Times New Roman"/>
          <w:color w:val="000000"/>
        </w:rPr>
        <w:t xml:space="preserve"> </w:t>
      </w:r>
    </w:p>
    <w:p w14:paraId="12898307" w14:textId="7EEFE99F" w:rsidR="001929A3" w:rsidRPr="00B524D9" w:rsidRDefault="001929A3" w:rsidP="001929A3">
      <w:pPr>
        <w:rPr>
          <w:rFonts w:eastAsia="Times New Roman"/>
        </w:rPr>
      </w:pPr>
      <w:r w:rsidRPr="00B524D9">
        <w:rPr>
          <w:rFonts w:eastAsia="Times New Roman"/>
          <w:color w:val="000000"/>
        </w:rPr>
        <w:t xml:space="preserve">However, to be of assistance, </w:t>
      </w:r>
      <w:r w:rsidRPr="00B524D9">
        <w:rPr>
          <w:rFonts w:eastAsia="Times New Roman"/>
        </w:rPr>
        <w:t xml:space="preserve">I can </w:t>
      </w:r>
      <w:r>
        <w:rPr>
          <w:rFonts w:eastAsia="Times New Roman"/>
        </w:rPr>
        <w:t>provide the figures below for 202</w:t>
      </w:r>
      <w:r w:rsidR="00760DF7">
        <w:rPr>
          <w:rFonts w:eastAsia="Times New Roman"/>
        </w:rPr>
        <w:t>4</w:t>
      </w:r>
      <w:r>
        <w:rPr>
          <w:rFonts w:eastAsia="Times New Roman"/>
        </w:rPr>
        <w:t xml:space="preserve"> onwards which are held</w:t>
      </w:r>
      <w:r w:rsidRPr="00B524D9">
        <w:rPr>
          <w:rFonts w:eastAsia="Times New Roman"/>
        </w:rPr>
        <w:t xml:space="preserve"> </w:t>
      </w:r>
      <w:r>
        <w:rPr>
          <w:rFonts w:eastAsia="Times New Roman"/>
        </w:rPr>
        <w:t>in relation to th</w:t>
      </w:r>
      <w:r w:rsidR="009A3696">
        <w:rPr>
          <w:rFonts w:eastAsia="Times New Roman"/>
        </w:rPr>
        <w:t>is</w:t>
      </w:r>
      <w:r>
        <w:rPr>
          <w:rFonts w:eastAsia="Times New Roman"/>
        </w:rPr>
        <w:t xml:space="preserve"> investigation. </w:t>
      </w:r>
    </w:p>
    <w:p w14:paraId="6E99EB67" w14:textId="77777777" w:rsidR="001929A3" w:rsidRPr="001929A3" w:rsidRDefault="001929A3" w:rsidP="001929A3"/>
    <w:tbl>
      <w:tblPr>
        <w:tblStyle w:val="TableGrid"/>
        <w:tblW w:w="7594" w:type="dxa"/>
        <w:tblLook w:val="04A0" w:firstRow="1" w:lastRow="0" w:firstColumn="1" w:lastColumn="0" w:noHBand="0" w:noVBand="1"/>
      </w:tblPr>
      <w:tblGrid>
        <w:gridCol w:w="1898"/>
        <w:gridCol w:w="1899"/>
        <w:gridCol w:w="1898"/>
        <w:gridCol w:w="1899"/>
      </w:tblGrid>
      <w:tr w:rsidR="001929A3" w:rsidRPr="00557306" w14:paraId="4F6F63E4" w14:textId="77777777" w:rsidTr="001929A3">
        <w:trPr>
          <w:tblHeader/>
        </w:trPr>
        <w:tc>
          <w:tcPr>
            <w:tcW w:w="1898" w:type="dxa"/>
            <w:shd w:val="clear" w:color="auto" w:fill="D9D9D9" w:themeFill="background1" w:themeFillShade="D9"/>
          </w:tcPr>
          <w:p w14:paraId="00A88B71" w14:textId="08773A9F" w:rsidR="001929A3" w:rsidRPr="00557306" w:rsidRDefault="001929A3" w:rsidP="0034230E">
            <w:pPr>
              <w:spacing w:line="240" w:lineRule="auto"/>
              <w:rPr>
                <w:b/>
              </w:rPr>
            </w:pPr>
          </w:p>
        </w:tc>
        <w:tc>
          <w:tcPr>
            <w:tcW w:w="1899" w:type="dxa"/>
            <w:shd w:val="clear" w:color="auto" w:fill="D9D9D9" w:themeFill="background1" w:themeFillShade="D9"/>
          </w:tcPr>
          <w:p w14:paraId="5CFA0C2C" w14:textId="014B1D74" w:rsidR="001929A3" w:rsidRPr="00557306" w:rsidRDefault="001929A3" w:rsidP="0034230E">
            <w:pPr>
              <w:spacing w:line="240" w:lineRule="auto"/>
              <w:rPr>
                <w:b/>
              </w:rPr>
            </w:pPr>
            <w:r>
              <w:rPr>
                <w:b/>
              </w:rPr>
              <w:t>20</w:t>
            </w:r>
            <w:r w:rsidR="00F03287">
              <w:rPr>
                <w:b/>
              </w:rPr>
              <w:t>24/25</w:t>
            </w:r>
          </w:p>
        </w:tc>
        <w:tc>
          <w:tcPr>
            <w:tcW w:w="1898" w:type="dxa"/>
            <w:shd w:val="clear" w:color="auto" w:fill="D9D9D9" w:themeFill="background1" w:themeFillShade="D9"/>
          </w:tcPr>
          <w:p w14:paraId="7FB1CE92" w14:textId="250BAC98" w:rsidR="001929A3" w:rsidRPr="00557306" w:rsidRDefault="001929A3" w:rsidP="0034230E">
            <w:pPr>
              <w:spacing w:line="240" w:lineRule="auto"/>
              <w:rPr>
                <w:b/>
              </w:rPr>
            </w:pPr>
            <w:r>
              <w:rPr>
                <w:b/>
              </w:rPr>
              <w:t>202</w:t>
            </w:r>
            <w:r w:rsidR="00F03287">
              <w:rPr>
                <w:b/>
              </w:rPr>
              <w:t>5/26</w:t>
            </w:r>
          </w:p>
        </w:tc>
        <w:tc>
          <w:tcPr>
            <w:tcW w:w="1899" w:type="dxa"/>
            <w:shd w:val="clear" w:color="auto" w:fill="D9D9D9" w:themeFill="background1" w:themeFillShade="D9"/>
          </w:tcPr>
          <w:p w14:paraId="634EB37E" w14:textId="39F04AA9" w:rsidR="001929A3" w:rsidRPr="00557306" w:rsidRDefault="001929A3" w:rsidP="0034230E">
            <w:pPr>
              <w:spacing w:line="240" w:lineRule="auto"/>
              <w:rPr>
                <w:b/>
              </w:rPr>
            </w:pPr>
            <w:r>
              <w:rPr>
                <w:b/>
              </w:rPr>
              <w:t xml:space="preserve">Total </w:t>
            </w:r>
          </w:p>
        </w:tc>
      </w:tr>
      <w:tr w:rsidR="001929A3" w14:paraId="018027C0" w14:textId="77777777" w:rsidTr="001929A3">
        <w:tc>
          <w:tcPr>
            <w:tcW w:w="1898" w:type="dxa"/>
          </w:tcPr>
          <w:p w14:paraId="7F57FF8F" w14:textId="24DD8481" w:rsidR="001929A3" w:rsidRDefault="001929A3" w:rsidP="0034230E">
            <w:pPr>
              <w:tabs>
                <w:tab w:val="left" w:pos="5400"/>
              </w:tabs>
              <w:spacing w:line="240" w:lineRule="auto"/>
            </w:pPr>
            <w:r>
              <w:t>Overtime</w:t>
            </w:r>
          </w:p>
        </w:tc>
        <w:tc>
          <w:tcPr>
            <w:tcW w:w="1899" w:type="dxa"/>
          </w:tcPr>
          <w:p w14:paraId="6DF41A11" w14:textId="0D3A27D0" w:rsidR="001929A3" w:rsidRDefault="001929A3" w:rsidP="0034230E">
            <w:pPr>
              <w:tabs>
                <w:tab w:val="left" w:pos="5400"/>
              </w:tabs>
              <w:spacing w:line="240" w:lineRule="auto"/>
            </w:pPr>
            <w:r>
              <w:t>£4,424</w:t>
            </w:r>
          </w:p>
        </w:tc>
        <w:tc>
          <w:tcPr>
            <w:tcW w:w="1898" w:type="dxa"/>
          </w:tcPr>
          <w:p w14:paraId="4898E79A" w14:textId="665E20E2" w:rsidR="001929A3" w:rsidRDefault="001929A3" w:rsidP="0034230E">
            <w:pPr>
              <w:tabs>
                <w:tab w:val="left" w:pos="5400"/>
              </w:tabs>
              <w:spacing w:line="240" w:lineRule="auto"/>
            </w:pPr>
            <w:r>
              <w:t>0</w:t>
            </w:r>
          </w:p>
        </w:tc>
        <w:tc>
          <w:tcPr>
            <w:tcW w:w="1899" w:type="dxa"/>
          </w:tcPr>
          <w:p w14:paraId="2CF9C84D" w14:textId="11755A99" w:rsidR="001929A3" w:rsidRDefault="001929A3" w:rsidP="0034230E">
            <w:pPr>
              <w:tabs>
                <w:tab w:val="left" w:pos="5400"/>
              </w:tabs>
              <w:spacing w:line="240" w:lineRule="auto"/>
            </w:pPr>
            <w:r>
              <w:t>£4,424</w:t>
            </w:r>
          </w:p>
        </w:tc>
      </w:tr>
      <w:tr w:rsidR="001929A3" w14:paraId="7812D2D5" w14:textId="77777777" w:rsidTr="001929A3">
        <w:tc>
          <w:tcPr>
            <w:tcW w:w="1898" w:type="dxa"/>
          </w:tcPr>
          <w:p w14:paraId="11BF26C6" w14:textId="6CC1F644" w:rsidR="001929A3" w:rsidRDefault="001929A3" w:rsidP="0034230E">
            <w:pPr>
              <w:tabs>
                <w:tab w:val="left" w:pos="5400"/>
              </w:tabs>
              <w:spacing w:line="240" w:lineRule="auto"/>
            </w:pPr>
            <w:proofErr w:type="gramStart"/>
            <w:r>
              <w:t>Non Pay</w:t>
            </w:r>
            <w:proofErr w:type="gramEnd"/>
          </w:p>
        </w:tc>
        <w:tc>
          <w:tcPr>
            <w:tcW w:w="1899" w:type="dxa"/>
          </w:tcPr>
          <w:p w14:paraId="6D3F46A7" w14:textId="16350044" w:rsidR="001929A3" w:rsidRDefault="001929A3" w:rsidP="0034230E">
            <w:pPr>
              <w:tabs>
                <w:tab w:val="left" w:pos="5400"/>
              </w:tabs>
              <w:spacing w:line="240" w:lineRule="auto"/>
            </w:pPr>
            <w:r>
              <w:t>£46</w:t>
            </w:r>
          </w:p>
        </w:tc>
        <w:tc>
          <w:tcPr>
            <w:tcW w:w="1898" w:type="dxa"/>
          </w:tcPr>
          <w:p w14:paraId="2F8674DF" w14:textId="3BBF7CD9" w:rsidR="001929A3" w:rsidRDefault="001929A3" w:rsidP="0034230E">
            <w:pPr>
              <w:tabs>
                <w:tab w:val="left" w:pos="5400"/>
              </w:tabs>
              <w:spacing w:line="240" w:lineRule="auto"/>
            </w:pPr>
            <w:r>
              <w:t>£12,483</w:t>
            </w:r>
          </w:p>
        </w:tc>
        <w:tc>
          <w:tcPr>
            <w:tcW w:w="1899" w:type="dxa"/>
          </w:tcPr>
          <w:p w14:paraId="543E60C2" w14:textId="7584E520" w:rsidR="001929A3" w:rsidRDefault="001929A3" w:rsidP="0034230E">
            <w:pPr>
              <w:tabs>
                <w:tab w:val="left" w:pos="5400"/>
              </w:tabs>
              <w:spacing w:line="240" w:lineRule="auto"/>
            </w:pPr>
            <w:r>
              <w:t>£12,528</w:t>
            </w:r>
          </w:p>
        </w:tc>
      </w:tr>
      <w:tr w:rsidR="001929A3" w14:paraId="71901AFC" w14:textId="77777777" w:rsidTr="001929A3">
        <w:tc>
          <w:tcPr>
            <w:tcW w:w="1898" w:type="dxa"/>
          </w:tcPr>
          <w:p w14:paraId="0A8A9959" w14:textId="77777777" w:rsidR="001929A3" w:rsidRDefault="001929A3" w:rsidP="0034230E">
            <w:pPr>
              <w:tabs>
                <w:tab w:val="left" w:pos="5400"/>
              </w:tabs>
              <w:spacing w:line="240" w:lineRule="auto"/>
            </w:pPr>
          </w:p>
        </w:tc>
        <w:tc>
          <w:tcPr>
            <w:tcW w:w="1899" w:type="dxa"/>
          </w:tcPr>
          <w:p w14:paraId="0229B2E5" w14:textId="4675BD22" w:rsidR="001929A3" w:rsidRDefault="009A3696" w:rsidP="0034230E">
            <w:pPr>
              <w:tabs>
                <w:tab w:val="left" w:pos="5400"/>
              </w:tabs>
              <w:spacing w:line="240" w:lineRule="auto"/>
            </w:pPr>
            <w:r>
              <w:t>£4,479</w:t>
            </w:r>
          </w:p>
        </w:tc>
        <w:tc>
          <w:tcPr>
            <w:tcW w:w="1898" w:type="dxa"/>
          </w:tcPr>
          <w:p w14:paraId="14C09A37" w14:textId="54BCE1B8" w:rsidR="001929A3" w:rsidRDefault="009A3696" w:rsidP="0034230E">
            <w:pPr>
              <w:tabs>
                <w:tab w:val="left" w:pos="5400"/>
              </w:tabs>
              <w:spacing w:line="240" w:lineRule="auto"/>
            </w:pPr>
            <w:r>
              <w:t>£12,473</w:t>
            </w:r>
          </w:p>
        </w:tc>
        <w:tc>
          <w:tcPr>
            <w:tcW w:w="1899" w:type="dxa"/>
          </w:tcPr>
          <w:p w14:paraId="3BE8EB1A" w14:textId="222CBBE4" w:rsidR="001929A3" w:rsidRDefault="009A3696" w:rsidP="0034230E">
            <w:pPr>
              <w:tabs>
                <w:tab w:val="left" w:pos="5400"/>
              </w:tabs>
              <w:spacing w:line="240" w:lineRule="auto"/>
            </w:pPr>
            <w:r>
              <w:t>£16,952</w:t>
            </w:r>
          </w:p>
        </w:tc>
      </w:tr>
    </w:tbl>
    <w:p w14:paraId="34BDABB8" w14:textId="77777777" w:rsidR="00255F1E" w:rsidRPr="00B11A55" w:rsidRDefault="00255F1E" w:rsidP="00375AA0">
      <w:pPr>
        <w:tabs>
          <w:tab w:val="left" w:pos="5400"/>
        </w:tabs>
      </w:pP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C0B0D1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C35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072AAA8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C35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78694E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C35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5F0F1E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C359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F38327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C359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F4D391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C359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7D"/>
    <w:multiLevelType w:val="hybridMultilevel"/>
    <w:tmpl w:val="1A908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46161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29A3"/>
    <w:rsid w:val="00195CC4"/>
    <w:rsid w:val="001F2261"/>
    <w:rsid w:val="00207326"/>
    <w:rsid w:val="00253DF6"/>
    <w:rsid w:val="00255F1E"/>
    <w:rsid w:val="002C359D"/>
    <w:rsid w:val="002C47FE"/>
    <w:rsid w:val="0034364D"/>
    <w:rsid w:val="0036503B"/>
    <w:rsid w:val="00375AA0"/>
    <w:rsid w:val="00376A4A"/>
    <w:rsid w:val="00381234"/>
    <w:rsid w:val="003A116F"/>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60DF7"/>
    <w:rsid w:val="00785DBC"/>
    <w:rsid w:val="00793DD5"/>
    <w:rsid w:val="007D55F6"/>
    <w:rsid w:val="007F490F"/>
    <w:rsid w:val="0086779C"/>
    <w:rsid w:val="00874BFD"/>
    <w:rsid w:val="008964EF"/>
    <w:rsid w:val="00915E01"/>
    <w:rsid w:val="009631A4"/>
    <w:rsid w:val="00977296"/>
    <w:rsid w:val="009A3696"/>
    <w:rsid w:val="009D2AA5"/>
    <w:rsid w:val="009D2F57"/>
    <w:rsid w:val="00A25E93"/>
    <w:rsid w:val="00A320FF"/>
    <w:rsid w:val="00A70AC0"/>
    <w:rsid w:val="00A84EA9"/>
    <w:rsid w:val="00AC443C"/>
    <w:rsid w:val="00B033D6"/>
    <w:rsid w:val="00B11A55"/>
    <w:rsid w:val="00B17211"/>
    <w:rsid w:val="00B461B2"/>
    <w:rsid w:val="00B654B6"/>
    <w:rsid w:val="00B71B3C"/>
    <w:rsid w:val="00B81622"/>
    <w:rsid w:val="00BC389E"/>
    <w:rsid w:val="00BE1888"/>
    <w:rsid w:val="00BF6B81"/>
    <w:rsid w:val="00C077A8"/>
    <w:rsid w:val="00C14FF4"/>
    <w:rsid w:val="00C1679F"/>
    <w:rsid w:val="00C606A2"/>
    <w:rsid w:val="00C63872"/>
    <w:rsid w:val="00C84948"/>
    <w:rsid w:val="00C94ED8"/>
    <w:rsid w:val="00CF1111"/>
    <w:rsid w:val="00D05706"/>
    <w:rsid w:val="00D10F0B"/>
    <w:rsid w:val="00D27DC5"/>
    <w:rsid w:val="00D47E36"/>
    <w:rsid w:val="00E42592"/>
    <w:rsid w:val="00E55D79"/>
    <w:rsid w:val="00EE2373"/>
    <w:rsid w:val="00EF0FBB"/>
    <w:rsid w:val="00EF4761"/>
    <w:rsid w:val="00F03287"/>
    <w:rsid w:val="00FA3040"/>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Mention">
    <w:name w:val="Mention"/>
    <w:basedOn w:val="DefaultParagraphFont"/>
    <w:uiPriority w:val="99"/>
    <w:unhideWhenUsed/>
    <w:rsid w:val="00B81622"/>
    <w:rPr>
      <w:color w:val="2B579A"/>
      <w:shd w:val="clear" w:color="auto" w:fill="E1DFDD"/>
    </w:rPr>
  </w:style>
  <w:style w:type="character" w:styleId="UnresolvedMention">
    <w:name w:val="Unresolved Mention"/>
    <w:basedOn w:val="DefaultParagraphFont"/>
    <w:uiPriority w:val="99"/>
    <w:semiHidden/>
    <w:unhideWhenUsed/>
    <w:rsid w:val="00B81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220618">
      <w:bodyDiv w:val="1"/>
      <w:marLeft w:val="0"/>
      <w:marRight w:val="0"/>
      <w:marTop w:val="0"/>
      <w:marBottom w:val="0"/>
      <w:divBdr>
        <w:top w:val="none" w:sz="0" w:space="0" w:color="auto"/>
        <w:left w:val="none" w:sz="0" w:space="0" w:color="auto"/>
        <w:bottom w:val="none" w:sz="0" w:space="0" w:color="auto"/>
        <w:right w:val="none" w:sz="0" w:space="0" w:color="auto"/>
      </w:divBdr>
    </w:div>
    <w:div w:id="1004741721">
      <w:bodyDiv w:val="1"/>
      <w:marLeft w:val="0"/>
      <w:marRight w:val="0"/>
      <w:marTop w:val="0"/>
      <w:marBottom w:val="0"/>
      <w:divBdr>
        <w:top w:val="none" w:sz="0" w:space="0" w:color="auto"/>
        <w:left w:val="none" w:sz="0" w:space="0" w:color="auto"/>
        <w:bottom w:val="none" w:sz="0" w:space="0" w:color="auto"/>
        <w:right w:val="none" w:sz="0" w:space="0" w:color="auto"/>
      </w:divBdr>
    </w:div>
    <w:div w:id="1026827531">
      <w:bodyDiv w:val="1"/>
      <w:marLeft w:val="0"/>
      <w:marRight w:val="0"/>
      <w:marTop w:val="0"/>
      <w:marBottom w:val="0"/>
      <w:divBdr>
        <w:top w:val="none" w:sz="0" w:space="0" w:color="auto"/>
        <w:left w:val="none" w:sz="0" w:space="0" w:color="auto"/>
        <w:bottom w:val="none" w:sz="0" w:space="0" w:color="auto"/>
        <w:right w:val="none" w:sz="0" w:space="0" w:color="auto"/>
      </w:divBdr>
    </w:div>
    <w:div w:id="209200246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0e32d40b-a8f5-4c24-a46b-b72b5f0b9b52"/>
    <ds:schemaRef ds:uri="http://purl.org/dc/term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2025-12-12T13:35:00Z</cp:lastPrinted>
  <dcterms:created xsi:type="dcterms:W3CDTF">2025-12-05T12:57:00Z</dcterms:created>
  <dcterms:modified xsi:type="dcterms:W3CDTF">2025-12-12T13:36:00Z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