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50FC24" w:rsidR="00B17211" w:rsidRPr="00B17211" w:rsidRDefault="00B17211" w:rsidP="007F490F">
            <w:r w:rsidRPr="007F490F">
              <w:rPr>
                <w:rStyle w:val="Heading2Char"/>
              </w:rPr>
              <w:t>Our reference:</w:t>
            </w:r>
            <w:r>
              <w:t xml:space="preserve">  FOI 2</w:t>
            </w:r>
            <w:r w:rsidR="00B4358E">
              <w:t>5</w:t>
            </w:r>
            <w:r>
              <w:t>-</w:t>
            </w:r>
            <w:r w:rsidR="00443FA8">
              <w:t>0506</w:t>
            </w:r>
          </w:p>
          <w:p w14:paraId="34BDABA6" w14:textId="53AEBFA4" w:rsidR="00B17211" w:rsidRDefault="00456324" w:rsidP="00EE2373">
            <w:r w:rsidRPr="007F490F">
              <w:rPr>
                <w:rStyle w:val="Heading2Char"/>
              </w:rPr>
              <w:t>Respon</w:t>
            </w:r>
            <w:r w:rsidR="007D55F6">
              <w:rPr>
                <w:rStyle w:val="Heading2Char"/>
              </w:rPr>
              <w:t>ded to:</w:t>
            </w:r>
            <w:r w:rsidR="007F490F">
              <w:t xml:space="preserve">  </w:t>
            </w:r>
            <w:r w:rsidR="00443FA8">
              <w:t>0</w:t>
            </w:r>
            <w:r w:rsidR="005F6D39">
              <w:t>7</w:t>
            </w:r>
            <w:r w:rsidR="00443FA8">
              <w:t xml:space="preserve"> 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3F6AD4" w14:textId="77777777" w:rsidR="00AB7B8C" w:rsidRDefault="00AB7B8C" w:rsidP="00AB7B8C">
      <w:pPr>
        <w:pStyle w:val="Heading2"/>
      </w:pPr>
      <w:r w:rsidRPr="00AB7B8C">
        <w:t>Do Police Scotland retain a list of 'Politically Exposed Persons' also known as 'PEPs' which is flagged to responding officers when attending to incident / crime reports made by a 'PEP' to Police Scotland?</w:t>
      </w:r>
    </w:p>
    <w:p w14:paraId="37FE0B19" w14:textId="4DAB6727" w:rsidR="008D6350" w:rsidRDefault="008D6350" w:rsidP="00B603AB">
      <w:pPr>
        <w:tabs>
          <w:tab w:val="left" w:pos="5400"/>
        </w:tabs>
      </w:pPr>
      <w:r>
        <w:t xml:space="preserve">Our interpretation of a ‘Politically Exposed Person’ </w:t>
      </w:r>
      <w:r w:rsidRPr="008D6350">
        <w:t xml:space="preserve">is </w:t>
      </w:r>
      <w:r>
        <w:t>some</w:t>
      </w:r>
      <w:r w:rsidRPr="008D6350">
        <w:t>one who has been entrusted with a prominent public function</w:t>
      </w:r>
      <w:r>
        <w:t xml:space="preserve"> and who therefore </w:t>
      </w:r>
      <w:r w:rsidRPr="008D6350">
        <w:t>presents a higher risk for potential involvement in bribery and corruption by virtue of their position and the influence they may hold</w:t>
      </w:r>
      <w:r>
        <w:t xml:space="preserve">. </w:t>
      </w:r>
    </w:p>
    <w:p w14:paraId="7A7C25F4" w14:textId="7D94093B" w:rsidR="00B603AB" w:rsidRDefault="00B603AB" w:rsidP="00B603AB">
      <w:pPr>
        <w:tabs>
          <w:tab w:val="left" w:pos="5400"/>
        </w:tabs>
        <w:rPr>
          <w:rFonts w:eastAsiaTheme="majorEastAsia" w:cstheme="majorBidi"/>
          <w:bCs/>
          <w:color w:val="000000" w:themeColor="text1"/>
          <w:szCs w:val="26"/>
        </w:rPr>
      </w:pPr>
      <w:r w:rsidRPr="00B603AB">
        <w:t>Police Scotland do no</w:t>
      </w:r>
      <w:r>
        <w:t>t</w:t>
      </w:r>
      <w:r w:rsidRPr="00B603AB">
        <w:t xml:space="preserve"> </w:t>
      </w:r>
      <w:r w:rsidR="008D6350">
        <w:t>hold</w:t>
      </w:r>
      <w:r w:rsidRPr="00B603AB">
        <w:t xml:space="preserve"> </w:t>
      </w:r>
      <w:r w:rsidR="008D6350">
        <w:t xml:space="preserve">such a list and </w:t>
      </w:r>
      <w:r>
        <w:rPr>
          <w:rFonts w:eastAsiaTheme="majorEastAsia" w:cstheme="majorBidi"/>
          <w:bCs/>
          <w:color w:val="000000" w:themeColor="text1"/>
          <w:szCs w:val="26"/>
        </w:rPr>
        <w:t>section 17 of the Act therefore applies</w:t>
      </w:r>
      <w:r w:rsidR="008D6350">
        <w:rPr>
          <w:rFonts w:eastAsiaTheme="majorEastAsia" w:cstheme="majorBidi"/>
          <w:bCs/>
          <w:color w:val="000000" w:themeColor="text1"/>
          <w:szCs w:val="26"/>
        </w:rPr>
        <w:t xml:space="preserve"> as the information is not held</w:t>
      </w:r>
      <w:r>
        <w:rPr>
          <w:rFonts w:eastAsiaTheme="majorEastAsia" w:cstheme="majorBidi"/>
          <w:bCs/>
          <w:color w:val="000000" w:themeColor="text1"/>
          <w:szCs w:val="26"/>
        </w:rPr>
        <w:t>.</w:t>
      </w:r>
    </w:p>
    <w:p w14:paraId="476912CB" w14:textId="77777777" w:rsidR="008D6350" w:rsidRPr="00B603AB" w:rsidRDefault="008D6350" w:rsidP="00B603AB">
      <w:pPr>
        <w:tabs>
          <w:tab w:val="left" w:pos="5400"/>
        </w:tabs>
        <w:rPr>
          <w:rFonts w:eastAsiaTheme="majorEastAsia" w:cstheme="majorBidi"/>
          <w:bCs/>
          <w:color w:val="000000" w:themeColor="text1"/>
          <w:szCs w:val="26"/>
        </w:rPr>
      </w:pPr>
    </w:p>
    <w:p w14:paraId="15F21B17" w14:textId="77777777" w:rsidR="00AB7B8C" w:rsidRDefault="00AB7B8C" w:rsidP="00AB7B8C">
      <w:pPr>
        <w:pStyle w:val="Heading2"/>
      </w:pPr>
      <w:r w:rsidRPr="00AB7B8C">
        <w:t>Do Police Scotland retain a list of Members of the Scottish Parliament (MSP) and / or Members of Parliament (MP) which is flagged to responding officers when attending to incident / crime reports made by an MSP or MP to Police Scotland?</w:t>
      </w:r>
    </w:p>
    <w:p w14:paraId="6614132A" w14:textId="0200A031" w:rsidR="00AB7B8C" w:rsidRDefault="00AB7B8C" w:rsidP="00AB7B8C">
      <w:pPr>
        <w:rPr>
          <w:color w:val="FF0000"/>
          <w:sz w:val="22"/>
          <w:szCs w:val="22"/>
        </w:rPr>
      </w:pPr>
      <w:r w:rsidRPr="00AB7B8C">
        <w:t xml:space="preserve">Police Scotland do retain lists of Members of Scottish Parliament (MSP) and Members of Parliament (MP) </w:t>
      </w:r>
      <w:r>
        <w:t>which</w:t>
      </w:r>
      <w:r w:rsidRPr="00AB7B8C">
        <w:t xml:space="preserve"> are flagged to attending officers when attending an incident or crime report</w:t>
      </w:r>
      <w:r w:rsidRPr="00AB7B8C">
        <w:rPr>
          <w:color w:val="FF0000"/>
          <w:sz w:val="22"/>
          <w:szCs w:val="22"/>
        </w:rPr>
        <w:t>.    </w:t>
      </w:r>
    </w:p>
    <w:p w14:paraId="795B0E38" w14:textId="77777777" w:rsidR="008D6350" w:rsidRPr="00AB7B8C" w:rsidRDefault="008D6350" w:rsidP="00AB7B8C">
      <w:pPr>
        <w:rPr>
          <w:color w:val="FF0000"/>
          <w:sz w:val="22"/>
          <w:szCs w:val="22"/>
        </w:rPr>
      </w:pPr>
    </w:p>
    <w:p w14:paraId="0405ED31" w14:textId="77777777" w:rsidR="00AB7B8C" w:rsidRDefault="00AB7B8C" w:rsidP="00AB7B8C">
      <w:pPr>
        <w:pStyle w:val="Heading2"/>
      </w:pPr>
      <w:r w:rsidRPr="00AB7B8C">
        <w:t>If Police Scotland do retain a list of PEPs / MSPs / MPs can you please provide the total number of crime / incident reports submitted by each separate group in the periods 1 April 2021 to 31 March 2022; 1 April 2022 to 31 March 2023; 1 April 2023 to 1 April 2024; 1 April 2024 to 6 February 2025.</w:t>
      </w:r>
    </w:p>
    <w:p w14:paraId="2E75A6ED" w14:textId="77777777" w:rsidR="008D6350" w:rsidRDefault="008D6350" w:rsidP="006879B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7291ACAF" w14:textId="77777777" w:rsidR="008D6350" w:rsidRPr="00453F0A" w:rsidRDefault="008D6350" w:rsidP="006879B0">
      <w:r>
        <w:lastRenderedPageBreak/>
        <w:t>I am therefore refusing to provide the information sought in terms of s</w:t>
      </w:r>
      <w:r w:rsidRPr="00453F0A">
        <w:t xml:space="preserve">ection 12(1) </w:t>
      </w:r>
      <w:r>
        <w:t xml:space="preserve">- </w:t>
      </w:r>
      <w:r w:rsidRPr="00453F0A">
        <w:t>Excessive Cost of Compliance.</w:t>
      </w:r>
    </w:p>
    <w:p w14:paraId="34BDABBD" w14:textId="5D17CA2E" w:rsidR="00BF6B81" w:rsidRDefault="008D6350" w:rsidP="00443FA8">
      <w:r>
        <w:t xml:space="preserve">We </w:t>
      </w:r>
      <w:r w:rsidR="00443FA8" w:rsidRPr="00443FA8">
        <w:t xml:space="preserve">do have processes in place </w:t>
      </w:r>
      <w:r>
        <w:t>whereby incidents can be flagged as related to Operation Bridger (UK MPs) or Operation Sandbed (Scottish MSPs) as relevant, but it does not automatically follow that the incident was submitted by the MP/ MSP.</w:t>
      </w:r>
    </w:p>
    <w:p w14:paraId="5A64838E" w14:textId="0CBE71C2" w:rsidR="008D6350" w:rsidRDefault="008D6350" w:rsidP="00443FA8">
      <w:r>
        <w:t>It would therefore be necessary to review each of these incidents individually for relevance to your request, an exercise which, due to the numbers involved, I estimate would cost more than £600.</w:t>
      </w:r>
    </w:p>
    <w:p w14:paraId="40E47252" w14:textId="77777777" w:rsidR="00443FA8" w:rsidRPr="00B11A55" w:rsidRDefault="00443FA8" w:rsidP="00443FA8"/>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E8E1E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D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BC06F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D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69BC4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D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F1B7A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D3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59537D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D3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8729F1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D3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B74BA8"/>
    <w:multiLevelType w:val="multilevel"/>
    <w:tmpl w:val="7E62D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430707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2058D"/>
    <w:rsid w:val="00253DF6"/>
    <w:rsid w:val="00255F1E"/>
    <w:rsid w:val="002B7114"/>
    <w:rsid w:val="00332319"/>
    <w:rsid w:val="0036503B"/>
    <w:rsid w:val="003D6D03"/>
    <w:rsid w:val="003E12CA"/>
    <w:rsid w:val="004010DC"/>
    <w:rsid w:val="00412F3E"/>
    <w:rsid w:val="004341F0"/>
    <w:rsid w:val="00443FA8"/>
    <w:rsid w:val="00456324"/>
    <w:rsid w:val="00464084"/>
    <w:rsid w:val="00475460"/>
    <w:rsid w:val="00490317"/>
    <w:rsid w:val="00491644"/>
    <w:rsid w:val="00496A08"/>
    <w:rsid w:val="004E1605"/>
    <w:rsid w:val="004F653C"/>
    <w:rsid w:val="005126CB"/>
    <w:rsid w:val="00540A52"/>
    <w:rsid w:val="00557306"/>
    <w:rsid w:val="0059321B"/>
    <w:rsid w:val="005F10F6"/>
    <w:rsid w:val="005F6D39"/>
    <w:rsid w:val="0060183F"/>
    <w:rsid w:val="00645CFA"/>
    <w:rsid w:val="00657A5E"/>
    <w:rsid w:val="00685D46"/>
    <w:rsid w:val="006C35E5"/>
    <w:rsid w:val="006D5799"/>
    <w:rsid w:val="00743BB0"/>
    <w:rsid w:val="00750D83"/>
    <w:rsid w:val="00752ED6"/>
    <w:rsid w:val="00785DBC"/>
    <w:rsid w:val="00793DD5"/>
    <w:rsid w:val="007D55F6"/>
    <w:rsid w:val="007F490F"/>
    <w:rsid w:val="0080345C"/>
    <w:rsid w:val="008060E5"/>
    <w:rsid w:val="0086779C"/>
    <w:rsid w:val="00874BFD"/>
    <w:rsid w:val="008964EF"/>
    <w:rsid w:val="008D6350"/>
    <w:rsid w:val="00906245"/>
    <w:rsid w:val="00915E01"/>
    <w:rsid w:val="00944E7A"/>
    <w:rsid w:val="009631A4"/>
    <w:rsid w:val="00977296"/>
    <w:rsid w:val="00977D1F"/>
    <w:rsid w:val="00A061E3"/>
    <w:rsid w:val="00A25E93"/>
    <w:rsid w:val="00A320FF"/>
    <w:rsid w:val="00A70AC0"/>
    <w:rsid w:val="00A725F0"/>
    <w:rsid w:val="00A84EA9"/>
    <w:rsid w:val="00AB7B8C"/>
    <w:rsid w:val="00AC443C"/>
    <w:rsid w:val="00AE741E"/>
    <w:rsid w:val="00B11A55"/>
    <w:rsid w:val="00B17211"/>
    <w:rsid w:val="00B4358E"/>
    <w:rsid w:val="00B461B2"/>
    <w:rsid w:val="00B603AB"/>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D3333"/>
    <w:rsid w:val="00CF1111"/>
    <w:rsid w:val="00D05706"/>
    <w:rsid w:val="00D27DC5"/>
    <w:rsid w:val="00D44B13"/>
    <w:rsid w:val="00D47E36"/>
    <w:rsid w:val="00D7784F"/>
    <w:rsid w:val="00DA2748"/>
    <w:rsid w:val="00E55D79"/>
    <w:rsid w:val="00E75C65"/>
    <w:rsid w:val="00EE2373"/>
    <w:rsid w:val="00EF4761"/>
    <w:rsid w:val="00EF6523"/>
    <w:rsid w:val="00F21D44"/>
    <w:rsid w:val="00FA641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571390">
      <w:bodyDiv w:val="1"/>
      <w:marLeft w:val="0"/>
      <w:marRight w:val="0"/>
      <w:marTop w:val="0"/>
      <w:marBottom w:val="0"/>
      <w:divBdr>
        <w:top w:val="none" w:sz="0" w:space="0" w:color="auto"/>
        <w:left w:val="none" w:sz="0" w:space="0" w:color="auto"/>
        <w:bottom w:val="none" w:sz="0" w:space="0" w:color="auto"/>
        <w:right w:val="none" w:sz="0" w:space="0" w:color="auto"/>
      </w:divBdr>
    </w:div>
    <w:div w:id="903027682">
      <w:bodyDiv w:val="1"/>
      <w:marLeft w:val="0"/>
      <w:marRight w:val="0"/>
      <w:marTop w:val="0"/>
      <w:marBottom w:val="0"/>
      <w:divBdr>
        <w:top w:val="none" w:sz="0" w:space="0" w:color="auto"/>
        <w:left w:val="none" w:sz="0" w:space="0" w:color="auto"/>
        <w:bottom w:val="none" w:sz="0" w:space="0" w:color="auto"/>
        <w:right w:val="none" w:sz="0" w:space="0" w:color="auto"/>
      </w:divBdr>
    </w:div>
    <w:div w:id="1770810709">
      <w:bodyDiv w:val="1"/>
      <w:marLeft w:val="0"/>
      <w:marRight w:val="0"/>
      <w:marTop w:val="0"/>
      <w:marBottom w:val="0"/>
      <w:divBdr>
        <w:top w:val="none" w:sz="0" w:space="0" w:color="auto"/>
        <w:left w:val="none" w:sz="0" w:space="0" w:color="auto"/>
        <w:bottom w:val="none" w:sz="0" w:space="0" w:color="auto"/>
        <w:right w:val="none" w:sz="0" w:space="0" w:color="auto"/>
      </w:divBdr>
    </w:div>
    <w:div w:id="1996643117">
      <w:bodyDiv w:val="1"/>
      <w:marLeft w:val="0"/>
      <w:marRight w:val="0"/>
      <w:marTop w:val="0"/>
      <w:marBottom w:val="0"/>
      <w:divBdr>
        <w:top w:val="none" w:sz="0" w:space="0" w:color="auto"/>
        <w:left w:val="none" w:sz="0" w:space="0" w:color="auto"/>
        <w:bottom w:val="none" w:sz="0" w:space="0" w:color="auto"/>
        <w:right w:val="none" w:sz="0" w:space="0" w:color="auto"/>
      </w:divBdr>
    </w:div>
    <w:div w:id="20397706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503</Words>
  <Characters>2868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