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564D4C8" w14:textId="77777777" w:rsidTr="00540A52">
        <w:trPr>
          <w:trHeight w:val="2552"/>
          <w:tblHeader/>
        </w:trPr>
        <w:tc>
          <w:tcPr>
            <w:tcW w:w="2269" w:type="dxa"/>
          </w:tcPr>
          <w:p w14:paraId="74681E9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CF9FB6D" wp14:editId="3D2F33E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96B5D9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6F1CA0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4DFA75D" w14:textId="6954542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35C63">
              <w:t>2391</w:t>
            </w:r>
          </w:p>
          <w:p w14:paraId="13245F33" w14:textId="21BFF183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53DE">
              <w:t xml:space="preserve">xx October </w:t>
            </w:r>
            <w:r>
              <w:t>2023</w:t>
            </w:r>
          </w:p>
        </w:tc>
      </w:tr>
    </w:tbl>
    <w:p w14:paraId="3843F1C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1D989A" w14:textId="02E063B3" w:rsidR="003A2429" w:rsidRPr="004C609F" w:rsidRDefault="00FA53DE" w:rsidP="004C609F">
      <w:pPr>
        <w:pStyle w:val="Heading2"/>
      </w:pPr>
      <w:r w:rsidRPr="00FA53DE">
        <w:rPr>
          <w:rStyle w:val="s1"/>
          <w:rFonts w:cs="Arial"/>
          <w:bCs/>
          <w:szCs w:val="24"/>
        </w:rPr>
        <w:t xml:space="preserve">The request relates to the residential care facility managed by Applied Care and Development Limited known as Springfield House, comprising </w:t>
      </w:r>
      <w:proofErr w:type="spellStart"/>
      <w:r w:rsidRPr="00FA53DE">
        <w:rPr>
          <w:rStyle w:val="s1"/>
          <w:rFonts w:cs="Arial"/>
          <w:bCs/>
          <w:szCs w:val="24"/>
        </w:rPr>
        <w:t>Ladeddie</w:t>
      </w:r>
      <w:proofErr w:type="spellEnd"/>
      <w:r w:rsidRPr="00FA53DE">
        <w:rPr>
          <w:rStyle w:val="s1"/>
          <w:rFonts w:cs="Arial"/>
          <w:bCs/>
          <w:szCs w:val="24"/>
        </w:rPr>
        <w:t xml:space="preserve"> Farmhouse and </w:t>
      </w:r>
      <w:proofErr w:type="spellStart"/>
      <w:r w:rsidRPr="00FA53DE">
        <w:rPr>
          <w:rStyle w:val="s1"/>
          <w:rFonts w:cs="Arial"/>
          <w:bCs/>
          <w:szCs w:val="24"/>
        </w:rPr>
        <w:t>Ladeddie</w:t>
      </w:r>
      <w:proofErr w:type="spellEnd"/>
      <w:r w:rsidRPr="00FA53DE">
        <w:rPr>
          <w:rStyle w:val="s1"/>
          <w:rFonts w:cs="Arial"/>
          <w:bCs/>
          <w:szCs w:val="24"/>
        </w:rPr>
        <w:t xml:space="preserve"> Steading, Cupar, Fife KY15 5TY. </w:t>
      </w:r>
      <w:r w:rsidR="004C609F">
        <w:br/>
      </w:r>
      <w:r w:rsidRPr="00FA53DE">
        <w:t xml:space="preserve">Please provide, for the 12 months preceding the date of this request, a list of the dates on which Police Scotland attended Springfield House </w:t>
      </w:r>
    </w:p>
    <w:p w14:paraId="79127E64" w14:textId="6F77006C" w:rsidR="004C609F" w:rsidRDefault="003A2429" w:rsidP="00F967D7">
      <w:pPr>
        <w:pStyle w:val="Heading2"/>
        <w:rPr>
          <w:rFonts w:cs="Arial"/>
          <w:b w:val="0"/>
          <w:bCs/>
          <w:szCs w:val="24"/>
        </w:rPr>
      </w:pPr>
      <w:r>
        <w:t>T</w:t>
      </w:r>
      <w:r w:rsidRPr="00FA53DE">
        <w:t xml:space="preserve">he number of officers who attended on each occasion, </w:t>
      </w:r>
      <w:r w:rsidR="00F967D7" w:rsidRPr="00F967D7">
        <w:t>showing separately those visits in response to incidents recorded on STORM, and those visits which were for other purposes.</w:t>
      </w:r>
    </w:p>
    <w:p w14:paraId="399F035C" w14:textId="58CCDC85" w:rsidR="004C609F" w:rsidRPr="004C609F" w:rsidRDefault="004C609F" w:rsidP="004C609F">
      <w:r w:rsidRPr="004C609F">
        <w:t xml:space="preserve">In relation to police attendance generally, I estimate that it would cost well </w:t>
      </w:r>
      <w:proofErr w:type="gramStart"/>
      <w:r w:rsidRPr="004C609F">
        <w:t>in excess of</w:t>
      </w:r>
      <w:proofErr w:type="gramEnd"/>
      <w:r w:rsidRPr="004C609F">
        <w:t xml:space="preserve"> the current FOI cost threshold of £600 to process your request.  I am therefore refusing to provide the information sought in terms of section 16(4) of the Act, as section 12(1) - Excessive Cost of Compliance - applies.</w:t>
      </w:r>
    </w:p>
    <w:p w14:paraId="2A1C3B0D" w14:textId="3EC7DDD9" w:rsidR="004C609F" w:rsidRDefault="004C609F" w:rsidP="004C609F">
      <w:r>
        <w:t xml:space="preserve">To explain, any police officer can attend at any premises at any time, in connection with enquiries that happened at another location.  We have no way of searching </w:t>
      </w:r>
      <w:proofErr w:type="gramStart"/>
      <w:r>
        <w:t>whether or not</w:t>
      </w:r>
      <w:proofErr w:type="gramEnd"/>
      <w:r>
        <w:t xml:space="preserve"> premises have been </w:t>
      </w:r>
      <w:r w:rsidRPr="004C609F">
        <w:t>visited</w:t>
      </w:r>
      <w:r>
        <w:t>, other than where a</w:t>
      </w:r>
      <w:r w:rsidR="00F967D7">
        <w:t xml:space="preserve">n </w:t>
      </w:r>
      <w:r>
        <w:t>incident has been recorded as taking place at that locus.</w:t>
      </w:r>
    </w:p>
    <w:p w14:paraId="4F1CDEC8" w14:textId="021ABF13" w:rsidR="004C609F" w:rsidRDefault="004C609F" w:rsidP="004C609F">
      <w:r>
        <w:t xml:space="preserve">I can however provide you with details of police attended recorded STORM incidents at </w:t>
      </w:r>
      <w:proofErr w:type="spellStart"/>
      <w:r w:rsidR="006C6E49" w:rsidRPr="006C6E49">
        <w:t>Ladeddie</w:t>
      </w:r>
      <w:proofErr w:type="spellEnd"/>
      <w:r w:rsidR="006C6E49" w:rsidRPr="006C6E49">
        <w:t xml:space="preserve"> Farm, Cupar, KY15 5TY</w:t>
      </w:r>
      <w:r w:rsidR="006C6E49">
        <w:t>, for the period 1</w:t>
      </w:r>
      <w:r w:rsidR="006C6E49" w:rsidRPr="006C6E49">
        <w:t xml:space="preserve"> October 2022 to 30 September 2023</w:t>
      </w:r>
      <w:r>
        <w:t>:</w:t>
      </w: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2214"/>
        <w:gridCol w:w="819"/>
        <w:gridCol w:w="820"/>
        <w:gridCol w:w="820"/>
      </w:tblGrid>
      <w:tr w:rsidR="004C609F" w:rsidRPr="00557306" w14:paraId="1F41F91F" w14:textId="42904F6A" w:rsidTr="00F967D7">
        <w:trPr>
          <w:tblHeader/>
        </w:trPr>
        <w:tc>
          <w:tcPr>
            <w:tcW w:w="2214" w:type="dxa"/>
            <w:shd w:val="clear" w:color="auto" w:fill="D9D9D9" w:themeFill="background1" w:themeFillShade="D9"/>
          </w:tcPr>
          <w:p w14:paraId="08936DEF" w14:textId="3618CCA6" w:rsidR="004C609F" w:rsidRDefault="004C609F" w:rsidP="004C609F">
            <w:pPr>
              <w:spacing w:line="240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14:paraId="2F965AC2" w14:textId="57B2FCA7" w:rsidR="004C609F" w:rsidRPr="00557306" w:rsidRDefault="004C609F" w:rsidP="004C609F">
            <w:pPr>
              <w:spacing w:line="240" w:lineRule="auto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362491BB" w14:textId="3CC28204" w:rsidR="004C609F" w:rsidRPr="00557306" w:rsidRDefault="004C609F" w:rsidP="004C609F">
            <w:pPr>
              <w:spacing w:line="240" w:lineRule="auto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35437A4A" w14:textId="32A5F8A2" w:rsidR="004C609F" w:rsidRDefault="004C609F" w:rsidP="004C609F">
            <w:pPr>
              <w:spacing w:line="240" w:lineRule="auto"/>
              <w:rPr>
                <w:b/>
              </w:rPr>
            </w:pPr>
            <w:r>
              <w:rPr>
                <w:b/>
              </w:rPr>
              <w:t>Dec</w:t>
            </w:r>
          </w:p>
        </w:tc>
      </w:tr>
      <w:tr w:rsidR="004C609F" w14:paraId="66FC8A6E" w14:textId="78B7281F" w:rsidTr="00F967D7">
        <w:tc>
          <w:tcPr>
            <w:tcW w:w="2214" w:type="dxa"/>
          </w:tcPr>
          <w:p w14:paraId="16E894DF" w14:textId="38C5EF46" w:rsidR="004C609F" w:rsidRPr="004C609F" w:rsidRDefault="004C609F" w:rsidP="004C609F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C609F">
              <w:rPr>
                <w:b/>
                <w:bCs/>
              </w:rPr>
              <w:t>2022 Incidents</w:t>
            </w:r>
          </w:p>
        </w:tc>
        <w:tc>
          <w:tcPr>
            <w:tcW w:w="819" w:type="dxa"/>
          </w:tcPr>
          <w:p w14:paraId="0A7819B7" w14:textId="1AED2672" w:rsidR="004C609F" w:rsidRDefault="004C609F" w:rsidP="004C609F">
            <w:pPr>
              <w:tabs>
                <w:tab w:val="left" w:pos="5400"/>
              </w:tabs>
              <w:spacing w:line="240" w:lineRule="auto"/>
            </w:pPr>
            <w:r>
              <w:t>13</w:t>
            </w:r>
          </w:p>
        </w:tc>
        <w:tc>
          <w:tcPr>
            <w:tcW w:w="820" w:type="dxa"/>
          </w:tcPr>
          <w:p w14:paraId="3C7F3435" w14:textId="794B4B29" w:rsidR="004C609F" w:rsidRDefault="004C609F" w:rsidP="004C609F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  <w:tc>
          <w:tcPr>
            <w:tcW w:w="820" w:type="dxa"/>
          </w:tcPr>
          <w:p w14:paraId="258B12CB" w14:textId="24401EC4" w:rsidR="004C609F" w:rsidRDefault="004C609F" w:rsidP="004C609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</w:tbl>
    <w:p w14:paraId="3F855DE4" w14:textId="68345E14" w:rsidR="00C906CE" w:rsidRDefault="00C906CE" w:rsidP="00793DD5">
      <w:pPr>
        <w:tabs>
          <w:tab w:val="left" w:pos="5400"/>
        </w:tabs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50"/>
        <w:gridCol w:w="804"/>
        <w:gridCol w:w="805"/>
        <w:gridCol w:w="805"/>
        <w:gridCol w:w="805"/>
        <w:gridCol w:w="804"/>
        <w:gridCol w:w="805"/>
        <w:gridCol w:w="805"/>
        <w:gridCol w:w="805"/>
        <w:gridCol w:w="805"/>
      </w:tblGrid>
      <w:tr w:rsidR="004C609F" w:rsidRPr="00557306" w14:paraId="4BBE28C6" w14:textId="2B109A66" w:rsidTr="004C609F">
        <w:trPr>
          <w:tblHeader/>
        </w:trPr>
        <w:tc>
          <w:tcPr>
            <w:tcW w:w="2250" w:type="dxa"/>
            <w:shd w:val="clear" w:color="auto" w:fill="D9D9D9" w:themeFill="background1" w:themeFillShade="D9"/>
          </w:tcPr>
          <w:p w14:paraId="01280A15" w14:textId="528234E7" w:rsidR="004C609F" w:rsidRDefault="004C609F" w:rsidP="004C609F">
            <w:pPr>
              <w:spacing w:line="240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0E9C2ACA" w14:textId="5BA5C29E" w:rsidR="004C609F" w:rsidRPr="00557306" w:rsidRDefault="004C609F" w:rsidP="004C609F">
            <w:pPr>
              <w:spacing w:line="240" w:lineRule="auto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1822377D" w14:textId="064BDB9D" w:rsidR="004C609F" w:rsidRPr="00557306" w:rsidRDefault="004C609F" w:rsidP="004C609F">
            <w:pPr>
              <w:spacing w:line="240" w:lineRule="auto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3B78169" w14:textId="15E8D35D" w:rsidR="004C609F" w:rsidRPr="00557306" w:rsidRDefault="004C609F" w:rsidP="004C609F">
            <w:pPr>
              <w:spacing w:line="240" w:lineRule="auto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61EC9287" w14:textId="66501F5A" w:rsidR="004C609F" w:rsidRPr="00557306" w:rsidRDefault="004C609F" w:rsidP="004C609F">
            <w:pPr>
              <w:spacing w:line="240" w:lineRule="auto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36FFFA25" w14:textId="461C91E5" w:rsidR="004C609F" w:rsidRPr="00557306" w:rsidRDefault="004C609F" w:rsidP="004C609F">
            <w:pPr>
              <w:spacing w:line="240" w:lineRule="auto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152C3509" w14:textId="6C645C3C" w:rsidR="004C609F" w:rsidRPr="00557306" w:rsidRDefault="004C609F" w:rsidP="004C609F">
            <w:pPr>
              <w:spacing w:line="240" w:lineRule="auto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5BFB5AB5" w14:textId="75916CDF" w:rsidR="004C609F" w:rsidRPr="00557306" w:rsidRDefault="004C609F" w:rsidP="004C609F">
            <w:pPr>
              <w:spacing w:line="240" w:lineRule="auto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54D3B3AF" w14:textId="456A0BDC" w:rsidR="004C609F" w:rsidRPr="00557306" w:rsidRDefault="004C609F" w:rsidP="004C609F">
            <w:pPr>
              <w:spacing w:line="240" w:lineRule="auto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58A129EC" w14:textId="02D9999B" w:rsidR="004C609F" w:rsidRPr="00557306" w:rsidRDefault="004C609F" w:rsidP="004C609F">
            <w:pPr>
              <w:spacing w:line="240" w:lineRule="auto"/>
              <w:rPr>
                <w:b/>
              </w:rPr>
            </w:pPr>
            <w:r>
              <w:rPr>
                <w:b/>
              </w:rPr>
              <w:t>Sep</w:t>
            </w:r>
          </w:p>
        </w:tc>
      </w:tr>
      <w:tr w:rsidR="004C609F" w14:paraId="2498C0B5" w14:textId="39D22B69" w:rsidTr="004C609F">
        <w:tc>
          <w:tcPr>
            <w:tcW w:w="2250" w:type="dxa"/>
          </w:tcPr>
          <w:p w14:paraId="391F5DDE" w14:textId="7F302259" w:rsidR="004C609F" w:rsidRPr="004C609F" w:rsidRDefault="004C609F" w:rsidP="004C609F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C609F">
              <w:rPr>
                <w:b/>
                <w:bCs/>
              </w:rPr>
              <w:t>2023 Incidents</w:t>
            </w:r>
          </w:p>
        </w:tc>
        <w:tc>
          <w:tcPr>
            <w:tcW w:w="804" w:type="dxa"/>
          </w:tcPr>
          <w:p w14:paraId="7BD43FE2" w14:textId="78178392" w:rsidR="004C609F" w:rsidRDefault="004C609F" w:rsidP="004C609F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805" w:type="dxa"/>
          </w:tcPr>
          <w:p w14:paraId="18A3C0C8" w14:textId="5A1B97A4" w:rsidR="004C609F" w:rsidRDefault="004C609F" w:rsidP="004C609F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805" w:type="dxa"/>
          </w:tcPr>
          <w:p w14:paraId="5D277FE9" w14:textId="4C6FA966" w:rsidR="004C609F" w:rsidRDefault="004C609F" w:rsidP="004C609F">
            <w:pPr>
              <w:tabs>
                <w:tab w:val="left" w:pos="5400"/>
              </w:tabs>
              <w:spacing w:line="240" w:lineRule="auto"/>
            </w:pPr>
            <w:r>
              <w:t>13</w:t>
            </w:r>
          </w:p>
        </w:tc>
        <w:tc>
          <w:tcPr>
            <w:tcW w:w="805" w:type="dxa"/>
          </w:tcPr>
          <w:p w14:paraId="4F6303E1" w14:textId="2A1282D1" w:rsidR="004C609F" w:rsidRDefault="004C609F" w:rsidP="004C609F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804" w:type="dxa"/>
          </w:tcPr>
          <w:p w14:paraId="4ED82B78" w14:textId="23314E64" w:rsidR="004C609F" w:rsidRDefault="004C609F" w:rsidP="004C609F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805" w:type="dxa"/>
          </w:tcPr>
          <w:p w14:paraId="560869A4" w14:textId="35990A3A" w:rsidR="004C609F" w:rsidRDefault="004C609F" w:rsidP="004C609F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805" w:type="dxa"/>
          </w:tcPr>
          <w:p w14:paraId="1BC9AA9F" w14:textId="4B2A19E1" w:rsidR="004C609F" w:rsidRDefault="004C609F" w:rsidP="004C609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805" w:type="dxa"/>
          </w:tcPr>
          <w:p w14:paraId="22A35AC6" w14:textId="292F992B" w:rsidR="004C609F" w:rsidRDefault="004C609F" w:rsidP="004C609F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805" w:type="dxa"/>
          </w:tcPr>
          <w:p w14:paraId="6FDE1C91" w14:textId="2213C497" w:rsidR="004C609F" w:rsidRDefault="004C609F" w:rsidP="004C609F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</w:tbl>
    <w:p w14:paraId="35A5D758" w14:textId="77777777" w:rsidR="00C906CE" w:rsidRDefault="00C906CE" w:rsidP="00C906CE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14:paraId="74A64604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29D9005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4EDD67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348EE5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FED57E7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F5204E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892A613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2FD5" w14:textId="77777777" w:rsidR="00195CC4" w:rsidRDefault="00195CC4" w:rsidP="00491644">
      <w:r>
        <w:separator/>
      </w:r>
    </w:p>
  </w:endnote>
  <w:endnote w:type="continuationSeparator" w:id="0">
    <w:p w14:paraId="1A35900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90F1" w14:textId="77777777" w:rsidR="00491644" w:rsidRDefault="00491644">
    <w:pPr>
      <w:pStyle w:val="Footer"/>
    </w:pPr>
  </w:p>
  <w:p w14:paraId="7DAA4DAE" w14:textId="69C359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4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2D5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96E4A1D" wp14:editId="071E013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52099A8" wp14:editId="6EB3883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6EC2D153" w14:textId="485DD0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4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41DA" w14:textId="77777777" w:rsidR="00491644" w:rsidRDefault="00491644">
    <w:pPr>
      <w:pStyle w:val="Footer"/>
    </w:pPr>
  </w:p>
  <w:p w14:paraId="65D1F0A5" w14:textId="317935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4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09D1" w14:textId="77777777" w:rsidR="00195CC4" w:rsidRDefault="00195CC4" w:rsidP="00491644">
      <w:r>
        <w:separator/>
      </w:r>
    </w:p>
  </w:footnote>
  <w:footnote w:type="continuationSeparator" w:id="0">
    <w:p w14:paraId="4EDFA09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E3BC" w14:textId="35D814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4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1898A0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A96B" w14:textId="7F7E4AE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4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1134" w14:textId="0D638D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4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27CDC9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01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A242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609F"/>
    <w:rsid w:val="004E1605"/>
    <w:rsid w:val="004F653C"/>
    <w:rsid w:val="00540A52"/>
    <w:rsid w:val="00557306"/>
    <w:rsid w:val="006C6E49"/>
    <w:rsid w:val="00750D83"/>
    <w:rsid w:val="00793DD5"/>
    <w:rsid w:val="007C555A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B4061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06CE"/>
    <w:rsid w:val="00CF1111"/>
    <w:rsid w:val="00D05706"/>
    <w:rsid w:val="00D27DC5"/>
    <w:rsid w:val="00D47E36"/>
    <w:rsid w:val="00E55D79"/>
    <w:rsid w:val="00EF4761"/>
    <w:rsid w:val="00F35C63"/>
    <w:rsid w:val="00F967D7"/>
    <w:rsid w:val="00FA53D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53E329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p1">
    <w:name w:val="p1"/>
    <w:basedOn w:val="Normal"/>
    <w:rsid w:val="00FA53DE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p2">
    <w:name w:val="p2"/>
    <w:basedOn w:val="Normal"/>
    <w:rsid w:val="00FA53DE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  <w:style w:type="character" w:customStyle="1" w:styleId="s1">
    <w:name w:val="s1"/>
    <w:basedOn w:val="DefaultParagraphFont"/>
    <w:rsid w:val="00FA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415</Words>
  <Characters>2368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