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7CE1" w14:textId="77777777" w:rsidR="000E47CE" w:rsidRPr="00F77618" w:rsidRDefault="000E47CE" w:rsidP="000E47CE">
      <w:pPr>
        <w:rPr>
          <w:rFonts w:cs="Arial"/>
          <w:sz w:val="2"/>
          <w:szCs w:val="24"/>
        </w:rPr>
      </w:pPr>
      <w:r w:rsidRPr="00F77618">
        <w:rPr>
          <w:noProof/>
          <w:sz w:val="176"/>
        </w:rPr>
        <w:drawing>
          <wp:inline distT="0" distB="0" distL="0" distR="0" wp14:anchorId="6D3FACC9" wp14:editId="3ED49DD9">
            <wp:extent cx="1235075" cy="2256155"/>
            <wp:effectExtent l="0" t="0" r="3175" b="0"/>
            <wp:docPr id="1" name="Picture 1" descr="Police Scotland Logo in black with &quot;Police Scotland, Keeping People Safe, and Poileas Alba in tex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e Scotland Logo in black with &quot;Police Scotland, Keeping People Safe, and Poileas Alba in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5075" cy="2256155"/>
                    </a:xfrm>
                    <a:prstGeom prst="rect">
                      <a:avLst/>
                    </a:prstGeom>
                    <a:noFill/>
                    <a:ln>
                      <a:noFill/>
                    </a:ln>
                  </pic:spPr>
                </pic:pic>
              </a:graphicData>
            </a:graphic>
          </wp:inline>
        </w:drawing>
      </w:r>
    </w:p>
    <w:p w14:paraId="588AAA2A" w14:textId="77777777" w:rsidR="000E47CE" w:rsidRPr="00BE1F1A" w:rsidRDefault="002621FA" w:rsidP="000E47CE">
      <w:pPr>
        <w:pStyle w:val="Heading1"/>
        <w:spacing w:before="0" w:after="120"/>
      </w:pPr>
      <w:bookmarkStart w:id="0" w:name="_Toc125971666"/>
      <w:r>
        <w:t>Drug Related Deaths – Investigatory Considerations</w:t>
      </w:r>
      <w:bookmarkEnd w:id="0"/>
    </w:p>
    <w:p w14:paraId="5AAEF2B6" w14:textId="77777777" w:rsidR="000E47CE" w:rsidRDefault="000E47CE" w:rsidP="000E47CE">
      <w:pPr>
        <w:rPr>
          <w:rFonts w:eastAsia="Times New Roman" w:cs="Arial"/>
          <w:sz w:val="32"/>
          <w:szCs w:val="32"/>
        </w:rPr>
      </w:pPr>
      <w:r>
        <w:rPr>
          <w:rFonts w:eastAsia="Times New Roman" w:cs="Arial"/>
          <w:sz w:val="32"/>
          <w:szCs w:val="32"/>
        </w:rPr>
        <w:t>National Guidance</w:t>
      </w:r>
    </w:p>
    <w:p w14:paraId="04A207B6" w14:textId="77777777" w:rsidR="00CD369A" w:rsidRPr="00CD369A" w:rsidRDefault="00CD369A" w:rsidP="00CD369A">
      <w:pPr>
        <w:pStyle w:val="Heading2"/>
        <w:rPr>
          <w:rFonts w:eastAsia="Calibri"/>
        </w:rPr>
      </w:pPr>
      <w:bookmarkStart w:id="1" w:name="_Toc125971667"/>
      <w:r w:rsidRPr="00CD369A">
        <w:rPr>
          <w:rFonts w:eastAsia="Calibri"/>
        </w:rPr>
        <w:t>Notice:</w:t>
      </w:r>
      <w:bookmarkEnd w:id="1"/>
    </w:p>
    <w:p w14:paraId="570E918E" w14:textId="77777777" w:rsidR="00CD369A" w:rsidRPr="00CD369A" w:rsidRDefault="00CD369A" w:rsidP="00CD369A">
      <w:pPr>
        <w:rPr>
          <w:rFonts w:cs="Arial"/>
          <w:color w:val="000000"/>
          <w:szCs w:val="24"/>
        </w:rPr>
      </w:pPr>
      <w:r w:rsidRPr="00CD369A">
        <w:rPr>
          <w:rFonts w:cs="Arial"/>
          <w:color w:val="000000"/>
          <w:szCs w:val="24"/>
        </w:rPr>
        <w:t xml:space="preserve">This document has been made available through the Police Service of Scotland Freedom of Information Publication Scheme. It should not be utilised as guidance or instruction by any police officer or employee as it may have been redacted due to legal </w:t>
      </w:r>
      <w:r w:rsidR="001C101D" w:rsidRPr="00CD369A">
        <w:rPr>
          <w:rFonts w:cs="Arial"/>
          <w:color w:val="000000"/>
          <w:szCs w:val="24"/>
        </w:rPr>
        <w:t>exemptions.</w:t>
      </w:r>
    </w:p>
    <w:p w14:paraId="64F2D684" w14:textId="77777777" w:rsidR="000E47CE" w:rsidRDefault="000E47CE" w:rsidP="000E47CE">
      <w:pPr>
        <w:rPr>
          <w:rFonts w:cs="Arial"/>
          <w:color w:val="000000"/>
          <w:szCs w:val="24"/>
        </w:rPr>
      </w:pPr>
      <w:r>
        <w:rPr>
          <w:rFonts w:cs="Arial"/>
          <w:color w:val="000000"/>
          <w:szCs w:val="24"/>
        </w:rPr>
        <w:t>Ow</w:t>
      </w:r>
      <w:r w:rsidR="002621FA">
        <w:rPr>
          <w:rFonts w:cs="Arial"/>
          <w:color w:val="000000"/>
          <w:szCs w:val="24"/>
        </w:rPr>
        <w:t>ning Department: SCD National Intelligence Bureau</w:t>
      </w:r>
    </w:p>
    <w:p w14:paraId="531C6F4D" w14:textId="77777777" w:rsidR="000E47CE" w:rsidRDefault="002621FA" w:rsidP="000E47CE">
      <w:pPr>
        <w:rPr>
          <w:rFonts w:cs="Arial"/>
          <w:color w:val="000000"/>
          <w:szCs w:val="24"/>
        </w:rPr>
      </w:pPr>
      <w:r>
        <w:rPr>
          <w:rFonts w:cs="Arial"/>
          <w:color w:val="000000"/>
          <w:szCs w:val="24"/>
        </w:rPr>
        <w:t>Version Number: 1</w:t>
      </w:r>
      <w:r w:rsidR="000E47CE">
        <w:rPr>
          <w:rFonts w:cs="Arial"/>
          <w:color w:val="000000"/>
          <w:szCs w:val="24"/>
        </w:rPr>
        <w:t>.0</w:t>
      </w:r>
      <w:r>
        <w:rPr>
          <w:rFonts w:cs="Arial"/>
          <w:color w:val="000000"/>
          <w:szCs w:val="24"/>
        </w:rPr>
        <w:t xml:space="preserve">0 </w:t>
      </w:r>
    </w:p>
    <w:p w14:paraId="04E6C5A7" w14:textId="77777777" w:rsidR="000E47CE" w:rsidRDefault="002621FA" w:rsidP="000E47CE">
      <w:pPr>
        <w:rPr>
          <w:rFonts w:cs="Arial"/>
          <w:color w:val="000000"/>
          <w:szCs w:val="24"/>
        </w:rPr>
      </w:pPr>
      <w:r>
        <w:rPr>
          <w:rFonts w:cs="Arial"/>
          <w:color w:val="000000"/>
          <w:szCs w:val="24"/>
        </w:rPr>
        <w:t>Date Published: 28/12/2022</w:t>
      </w:r>
    </w:p>
    <w:p w14:paraId="243941A1" w14:textId="77777777" w:rsidR="004A430E" w:rsidRDefault="004A430E" w:rsidP="00161C69">
      <w:pPr>
        <w:pStyle w:val="TOCHeading"/>
      </w:pPr>
      <w:r>
        <w:br w:type="page"/>
      </w:r>
      <w:r>
        <w:lastRenderedPageBreak/>
        <w:t>Contents</w:t>
      </w:r>
    </w:p>
    <w:p w14:paraId="43978C8A" w14:textId="77777777" w:rsidR="008D3F9E" w:rsidRDefault="004A430E">
      <w:pPr>
        <w:pStyle w:val="TOC1"/>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125971666" w:history="1">
        <w:r w:rsidR="008D3F9E" w:rsidRPr="00006A47">
          <w:rPr>
            <w:rStyle w:val="Hyperlink"/>
            <w:noProof/>
          </w:rPr>
          <w:t>Drug Related Deaths – Investigatory Considerations</w:t>
        </w:r>
        <w:r w:rsidR="008D3F9E">
          <w:rPr>
            <w:noProof/>
            <w:webHidden/>
          </w:rPr>
          <w:tab/>
        </w:r>
        <w:r w:rsidR="008D3F9E">
          <w:rPr>
            <w:noProof/>
            <w:webHidden/>
          </w:rPr>
          <w:fldChar w:fldCharType="begin"/>
        </w:r>
        <w:r w:rsidR="008D3F9E">
          <w:rPr>
            <w:noProof/>
            <w:webHidden/>
          </w:rPr>
          <w:instrText xml:space="preserve"> PAGEREF _Toc125971666 \h </w:instrText>
        </w:r>
        <w:r w:rsidR="008D3F9E">
          <w:rPr>
            <w:noProof/>
            <w:webHidden/>
          </w:rPr>
        </w:r>
        <w:r w:rsidR="008D3F9E">
          <w:rPr>
            <w:noProof/>
            <w:webHidden/>
          </w:rPr>
          <w:fldChar w:fldCharType="separate"/>
        </w:r>
        <w:r w:rsidR="008D3F9E">
          <w:rPr>
            <w:noProof/>
            <w:webHidden/>
          </w:rPr>
          <w:t>1</w:t>
        </w:r>
        <w:r w:rsidR="008D3F9E">
          <w:rPr>
            <w:noProof/>
            <w:webHidden/>
          </w:rPr>
          <w:fldChar w:fldCharType="end"/>
        </w:r>
      </w:hyperlink>
    </w:p>
    <w:p w14:paraId="27F755D0" w14:textId="77777777" w:rsidR="008D3F9E" w:rsidRDefault="006C4F12">
      <w:pPr>
        <w:pStyle w:val="TOC2"/>
        <w:tabs>
          <w:tab w:val="right" w:leader="dot" w:pos="9038"/>
        </w:tabs>
        <w:rPr>
          <w:rFonts w:asciiTheme="minorHAnsi" w:eastAsiaTheme="minorEastAsia" w:hAnsiTheme="minorHAnsi" w:cstheme="minorBidi"/>
          <w:noProof/>
          <w:sz w:val="22"/>
        </w:rPr>
      </w:pPr>
      <w:hyperlink w:anchor="_Toc125971667" w:history="1">
        <w:r w:rsidR="008D3F9E" w:rsidRPr="00006A47">
          <w:rPr>
            <w:rStyle w:val="Hyperlink"/>
            <w:noProof/>
          </w:rPr>
          <w:t>Notice:</w:t>
        </w:r>
        <w:r w:rsidR="008D3F9E">
          <w:rPr>
            <w:noProof/>
            <w:webHidden/>
          </w:rPr>
          <w:tab/>
        </w:r>
        <w:r w:rsidR="008D3F9E">
          <w:rPr>
            <w:noProof/>
            <w:webHidden/>
          </w:rPr>
          <w:fldChar w:fldCharType="begin"/>
        </w:r>
        <w:r w:rsidR="008D3F9E">
          <w:rPr>
            <w:noProof/>
            <w:webHidden/>
          </w:rPr>
          <w:instrText xml:space="preserve"> PAGEREF _Toc125971667 \h </w:instrText>
        </w:r>
        <w:r w:rsidR="008D3F9E">
          <w:rPr>
            <w:noProof/>
            <w:webHidden/>
          </w:rPr>
        </w:r>
        <w:r w:rsidR="008D3F9E">
          <w:rPr>
            <w:noProof/>
            <w:webHidden/>
          </w:rPr>
          <w:fldChar w:fldCharType="separate"/>
        </w:r>
        <w:r w:rsidR="008D3F9E">
          <w:rPr>
            <w:noProof/>
            <w:webHidden/>
          </w:rPr>
          <w:t>1</w:t>
        </w:r>
        <w:r w:rsidR="008D3F9E">
          <w:rPr>
            <w:noProof/>
            <w:webHidden/>
          </w:rPr>
          <w:fldChar w:fldCharType="end"/>
        </w:r>
      </w:hyperlink>
    </w:p>
    <w:p w14:paraId="56A3D192" w14:textId="77777777" w:rsidR="008D3F9E" w:rsidRDefault="006C4F12">
      <w:pPr>
        <w:pStyle w:val="TOC2"/>
        <w:tabs>
          <w:tab w:val="left" w:pos="660"/>
          <w:tab w:val="right" w:leader="dot" w:pos="9038"/>
        </w:tabs>
        <w:rPr>
          <w:rFonts w:asciiTheme="minorHAnsi" w:eastAsiaTheme="minorEastAsia" w:hAnsiTheme="minorHAnsi" w:cstheme="minorBidi"/>
          <w:noProof/>
          <w:sz w:val="22"/>
        </w:rPr>
      </w:pPr>
      <w:hyperlink w:anchor="_Toc125971668" w:history="1">
        <w:r w:rsidR="008D3F9E" w:rsidRPr="00006A47">
          <w:rPr>
            <w:rStyle w:val="Hyperlink"/>
            <w:noProof/>
          </w:rPr>
          <w:t>1.</w:t>
        </w:r>
        <w:r w:rsidR="008D3F9E">
          <w:rPr>
            <w:rFonts w:asciiTheme="minorHAnsi" w:eastAsiaTheme="minorEastAsia" w:hAnsiTheme="minorHAnsi" w:cstheme="minorBidi"/>
            <w:noProof/>
            <w:sz w:val="22"/>
          </w:rPr>
          <w:tab/>
        </w:r>
        <w:r w:rsidR="008D3F9E" w:rsidRPr="00006A47">
          <w:rPr>
            <w:rStyle w:val="Hyperlink"/>
            <w:noProof/>
          </w:rPr>
          <w:t>Introduction/purpose</w:t>
        </w:r>
        <w:r w:rsidR="008D3F9E">
          <w:rPr>
            <w:noProof/>
            <w:webHidden/>
          </w:rPr>
          <w:tab/>
        </w:r>
        <w:r w:rsidR="008D3F9E">
          <w:rPr>
            <w:noProof/>
            <w:webHidden/>
          </w:rPr>
          <w:fldChar w:fldCharType="begin"/>
        </w:r>
        <w:r w:rsidR="008D3F9E">
          <w:rPr>
            <w:noProof/>
            <w:webHidden/>
          </w:rPr>
          <w:instrText xml:space="preserve"> PAGEREF _Toc125971668 \h </w:instrText>
        </w:r>
        <w:r w:rsidR="008D3F9E">
          <w:rPr>
            <w:noProof/>
            <w:webHidden/>
          </w:rPr>
        </w:r>
        <w:r w:rsidR="008D3F9E">
          <w:rPr>
            <w:noProof/>
            <w:webHidden/>
          </w:rPr>
          <w:fldChar w:fldCharType="separate"/>
        </w:r>
        <w:r w:rsidR="008D3F9E">
          <w:rPr>
            <w:noProof/>
            <w:webHidden/>
          </w:rPr>
          <w:t>3</w:t>
        </w:r>
        <w:r w:rsidR="008D3F9E">
          <w:rPr>
            <w:noProof/>
            <w:webHidden/>
          </w:rPr>
          <w:fldChar w:fldCharType="end"/>
        </w:r>
      </w:hyperlink>
    </w:p>
    <w:p w14:paraId="65ABB30A" w14:textId="77777777" w:rsidR="008D3F9E" w:rsidRDefault="006C4F12">
      <w:pPr>
        <w:pStyle w:val="TOC2"/>
        <w:tabs>
          <w:tab w:val="left" w:pos="660"/>
          <w:tab w:val="right" w:leader="dot" w:pos="9038"/>
        </w:tabs>
        <w:rPr>
          <w:rFonts w:asciiTheme="minorHAnsi" w:eastAsiaTheme="minorEastAsia" w:hAnsiTheme="minorHAnsi" w:cstheme="minorBidi"/>
          <w:noProof/>
          <w:sz w:val="22"/>
        </w:rPr>
      </w:pPr>
      <w:hyperlink w:anchor="_Toc125971669" w:history="1">
        <w:r w:rsidR="008D3F9E" w:rsidRPr="00006A47">
          <w:rPr>
            <w:rStyle w:val="Hyperlink"/>
            <w:noProof/>
          </w:rPr>
          <w:t>2.</w:t>
        </w:r>
        <w:r w:rsidR="008D3F9E">
          <w:rPr>
            <w:rFonts w:asciiTheme="minorHAnsi" w:eastAsiaTheme="minorEastAsia" w:hAnsiTheme="minorHAnsi" w:cstheme="minorBidi"/>
            <w:noProof/>
            <w:sz w:val="22"/>
          </w:rPr>
          <w:tab/>
        </w:r>
        <w:r w:rsidR="008D3F9E" w:rsidRPr="00006A47">
          <w:rPr>
            <w:rStyle w:val="Hyperlink"/>
            <w:noProof/>
          </w:rPr>
          <w:t>Initial Response</w:t>
        </w:r>
        <w:r w:rsidR="008D3F9E">
          <w:rPr>
            <w:noProof/>
            <w:webHidden/>
          </w:rPr>
          <w:tab/>
        </w:r>
        <w:r w:rsidR="008D3F9E">
          <w:rPr>
            <w:noProof/>
            <w:webHidden/>
          </w:rPr>
          <w:fldChar w:fldCharType="begin"/>
        </w:r>
        <w:r w:rsidR="008D3F9E">
          <w:rPr>
            <w:noProof/>
            <w:webHidden/>
          </w:rPr>
          <w:instrText xml:space="preserve"> PAGEREF _Toc125971669 \h </w:instrText>
        </w:r>
        <w:r w:rsidR="008D3F9E">
          <w:rPr>
            <w:noProof/>
            <w:webHidden/>
          </w:rPr>
        </w:r>
        <w:r w:rsidR="008D3F9E">
          <w:rPr>
            <w:noProof/>
            <w:webHidden/>
          </w:rPr>
          <w:fldChar w:fldCharType="separate"/>
        </w:r>
        <w:r w:rsidR="008D3F9E">
          <w:rPr>
            <w:noProof/>
            <w:webHidden/>
          </w:rPr>
          <w:t>4</w:t>
        </w:r>
        <w:r w:rsidR="008D3F9E">
          <w:rPr>
            <w:noProof/>
            <w:webHidden/>
          </w:rPr>
          <w:fldChar w:fldCharType="end"/>
        </w:r>
      </w:hyperlink>
    </w:p>
    <w:p w14:paraId="07008125"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70" w:history="1">
        <w:r w:rsidR="008D3F9E" w:rsidRPr="00006A47">
          <w:rPr>
            <w:rStyle w:val="Hyperlink"/>
            <w:noProof/>
          </w:rPr>
          <w:t>Deceased</w:t>
        </w:r>
        <w:r w:rsidR="008D3F9E">
          <w:rPr>
            <w:noProof/>
            <w:webHidden/>
          </w:rPr>
          <w:tab/>
        </w:r>
        <w:r w:rsidR="008D3F9E">
          <w:rPr>
            <w:noProof/>
            <w:webHidden/>
          </w:rPr>
          <w:fldChar w:fldCharType="begin"/>
        </w:r>
        <w:r w:rsidR="008D3F9E">
          <w:rPr>
            <w:noProof/>
            <w:webHidden/>
          </w:rPr>
          <w:instrText xml:space="preserve"> PAGEREF _Toc125971670 \h </w:instrText>
        </w:r>
        <w:r w:rsidR="008D3F9E">
          <w:rPr>
            <w:noProof/>
            <w:webHidden/>
          </w:rPr>
        </w:r>
        <w:r w:rsidR="008D3F9E">
          <w:rPr>
            <w:noProof/>
            <w:webHidden/>
          </w:rPr>
          <w:fldChar w:fldCharType="separate"/>
        </w:r>
        <w:r w:rsidR="008D3F9E">
          <w:rPr>
            <w:noProof/>
            <w:webHidden/>
          </w:rPr>
          <w:t>4</w:t>
        </w:r>
        <w:r w:rsidR="008D3F9E">
          <w:rPr>
            <w:noProof/>
            <w:webHidden/>
          </w:rPr>
          <w:fldChar w:fldCharType="end"/>
        </w:r>
      </w:hyperlink>
    </w:p>
    <w:p w14:paraId="39671B3E"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71" w:history="1">
        <w:r w:rsidR="008D3F9E" w:rsidRPr="00006A47">
          <w:rPr>
            <w:rStyle w:val="Hyperlink"/>
            <w:noProof/>
          </w:rPr>
          <w:t>Witness/Reporter</w:t>
        </w:r>
        <w:r w:rsidR="008D3F9E">
          <w:rPr>
            <w:noProof/>
            <w:webHidden/>
          </w:rPr>
          <w:tab/>
        </w:r>
        <w:r w:rsidR="008D3F9E">
          <w:rPr>
            <w:noProof/>
            <w:webHidden/>
          </w:rPr>
          <w:fldChar w:fldCharType="begin"/>
        </w:r>
        <w:r w:rsidR="008D3F9E">
          <w:rPr>
            <w:noProof/>
            <w:webHidden/>
          </w:rPr>
          <w:instrText xml:space="preserve"> PAGEREF _Toc125971671 \h </w:instrText>
        </w:r>
        <w:r w:rsidR="008D3F9E">
          <w:rPr>
            <w:noProof/>
            <w:webHidden/>
          </w:rPr>
        </w:r>
        <w:r w:rsidR="008D3F9E">
          <w:rPr>
            <w:noProof/>
            <w:webHidden/>
          </w:rPr>
          <w:fldChar w:fldCharType="separate"/>
        </w:r>
        <w:r w:rsidR="008D3F9E">
          <w:rPr>
            <w:noProof/>
            <w:webHidden/>
          </w:rPr>
          <w:t>4</w:t>
        </w:r>
        <w:r w:rsidR="008D3F9E">
          <w:rPr>
            <w:noProof/>
            <w:webHidden/>
          </w:rPr>
          <w:fldChar w:fldCharType="end"/>
        </w:r>
      </w:hyperlink>
    </w:p>
    <w:p w14:paraId="438CF935"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72" w:history="1">
        <w:r w:rsidR="008D3F9E" w:rsidRPr="00006A47">
          <w:rPr>
            <w:rStyle w:val="Hyperlink"/>
            <w:noProof/>
          </w:rPr>
          <w:t>Scene</w:t>
        </w:r>
        <w:r w:rsidR="008D3F9E">
          <w:rPr>
            <w:noProof/>
            <w:webHidden/>
          </w:rPr>
          <w:tab/>
        </w:r>
        <w:r w:rsidR="008D3F9E">
          <w:rPr>
            <w:noProof/>
            <w:webHidden/>
          </w:rPr>
          <w:fldChar w:fldCharType="begin"/>
        </w:r>
        <w:r w:rsidR="008D3F9E">
          <w:rPr>
            <w:noProof/>
            <w:webHidden/>
          </w:rPr>
          <w:instrText xml:space="preserve"> PAGEREF _Toc125971672 \h </w:instrText>
        </w:r>
        <w:r w:rsidR="008D3F9E">
          <w:rPr>
            <w:noProof/>
            <w:webHidden/>
          </w:rPr>
        </w:r>
        <w:r w:rsidR="008D3F9E">
          <w:rPr>
            <w:noProof/>
            <w:webHidden/>
          </w:rPr>
          <w:fldChar w:fldCharType="separate"/>
        </w:r>
        <w:r w:rsidR="008D3F9E">
          <w:rPr>
            <w:noProof/>
            <w:webHidden/>
          </w:rPr>
          <w:t>5</w:t>
        </w:r>
        <w:r w:rsidR="008D3F9E">
          <w:rPr>
            <w:noProof/>
            <w:webHidden/>
          </w:rPr>
          <w:fldChar w:fldCharType="end"/>
        </w:r>
      </w:hyperlink>
    </w:p>
    <w:p w14:paraId="12413E5F"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73" w:history="1">
        <w:r w:rsidR="008D3F9E" w:rsidRPr="00006A47">
          <w:rPr>
            <w:rStyle w:val="Hyperlink"/>
            <w:noProof/>
          </w:rPr>
          <w:t>Examination</w:t>
        </w:r>
        <w:r w:rsidR="008D3F9E">
          <w:rPr>
            <w:noProof/>
            <w:webHidden/>
          </w:rPr>
          <w:tab/>
        </w:r>
        <w:r w:rsidR="008D3F9E">
          <w:rPr>
            <w:noProof/>
            <w:webHidden/>
          </w:rPr>
          <w:fldChar w:fldCharType="begin"/>
        </w:r>
        <w:r w:rsidR="008D3F9E">
          <w:rPr>
            <w:noProof/>
            <w:webHidden/>
          </w:rPr>
          <w:instrText xml:space="preserve"> PAGEREF _Toc125971673 \h </w:instrText>
        </w:r>
        <w:r w:rsidR="008D3F9E">
          <w:rPr>
            <w:noProof/>
            <w:webHidden/>
          </w:rPr>
        </w:r>
        <w:r w:rsidR="008D3F9E">
          <w:rPr>
            <w:noProof/>
            <w:webHidden/>
          </w:rPr>
          <w:fldChar w:fldCharType="separate"/>
        </w:r>
        <w:r w:rsidR="008D3F9E">
          <w:rPr>
            <w:noProof/>
            <w:webHidden/>
          </w:rPr>
          <w:t>6</w:t>
        </w:r>
        <w:r w:rsidR="008D3F9E">
          <w:rPr>
            <w:noProof/>
            <w:webHidden/>
          </w:rPr>
          <w:fldChar w:fldCharType="end"/>
        </w:r>
      </w:hyperlink>
    </w:p>
    <w:p w14:paraId="6C028D5D"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74" w:history="1">
        <w:r w:rsidR="008D3F9E" w:rsidRPr="00006A47">
          <w:rPr>
            <w:rStyle w:val="Hyperlink"/>
            <w:noProof/>
          </w:rPr>
          <w:t>CID Involvement</w:t>
        </w:r>
        <w:r w:rsidR="008D3F9E">
          <w:rPr>
            <w:noProof/>
            <w:webHidden/>
          </w:rPr>
          <w:tab/>
        </w:r>
        <w:r w:rsidR="008D3F9E">
          <w:rPr>
            <w:noProof/>
            <w:webHidden/>
          </w:rPr>
          <w:fldChar w:fldCharType="begin"/>
        </w:r>
        <w:r w:rsidR="008D3F9E">
          <w:rPr>
            <w:noProof/>
            <w:webHidden/>
          </w:rPr>
          <w:instrText xml:space="preserve"> PAGEREF _Toc125971674 \h </w:instrText>
        </w:r>
        <w:r w:rsidR="008D3F9E">
          <w:rPr>
            <w:noProof/>
            <w:webHidden/>
          </w:rPr>
        </w:r>
        <w:r w:rsidR="008D3F9E">
          <w:rPr>
            <w:noProof/>
            <w:webHidden/>
          </w:rPr>
          <w:fldChar w:fldCharType="separate"/>
        </w:r>
        <w:r w:rsidR="008D3F9E">
          <w:rPr>
            <w:noProof/>
            <w:webHidden/>
          </w:rPr>
          <w:t>6</w:t>
        </w:r>
        <w:r w:rsidR="008D3F9E">
          <w:rPr>
            <w:noProof/>
            <w:webHidden/>
          </w:rPr>
          <w:fldChar w:fldCharType="end"/>
        </w:r>
      </w:hyperlink>
    </w:p>
    <w:p w14:paraId="38F6143C" w14:textId="77777777" w:rsidR="008D3F9E" w:rsidRDefault="006C4F12">
      <w:pPr>
        <w:pStyle w:val="TOC2"/>
        <w:tabs>
          <w:tab w:val="left" w:pos="660"/>
          <w:tab w:val="right" w:leader="dot" w:pos="9038"/>
        </w:tabs>
        <w:rPr>
          <w:rFonts w:asciiTheme="minorHAnsi" w:eastAsiaTheme="minorEastAsia" w:hAnsiTheme="minorHAnsi" w:cstheme="minorBidi"/>
          <w:noProof/>
          <w:sz w:val="22"/>
        </w:rPr>
      </w:pPr>
      <w:hyperlink w:anchor="_Toc125971675" w:history="1">
        <w:r w:rsidR="008D3F9E" w:rsidRPr="00006A47">
          <w:rPr>
            <w:rStyle w:val="Hyperlink"/>
            <w:noProof/>
          </w:rPr>
          <w:t>3.</w:t>
        </w:r>
        <w:r w:rsidR="008D3F9E">
          <w:rPr>
            <w:rFonts w:asciiTheme="minorHAnsi" w:eastAsiaTheme="minorEastAsia" w:hAnsiTheme="minorHAnsi" w:cstheme="minorBidi"/>
            <w:noProof/>
            <w:sz w:val="22"/>
          </w:rPr>
          <w:tab/>
        </w:r>
        <w:r w:rsidR="008D3F9E" w:rsidRPr="00006A47">
          <w:rPr>
            <w:rStyle w:val="Hyperlink"/>
            <w:noProof/>
          </w:rPr>
          <w:t>Police System Checks</w:t>
        </w:r>
        <w:r w:rsidR="008D3F9E">
          <w:rPr>
            <w:noProof/>
            <w:webHidden/>
          </w:rPr>
          <w:tab/>
        </w:r>
        <w:r w:rsidR="008D3F9E">
          <w:rPr>
            <w:noProof/>
            <w:webHidden/>
          </w:rPr>
          <w:fldChar w:fldCharType="begin"/>
        </w:r>
        <w:r w:rsidR="008D3F9E">
          <w:rPr>
            <w:noProof/>
            <w:webHidden/>
          </w:rPr>
          <w:instrText xml:space="preserve"> PAGEREF _Toc125971675 \h </w:instrText>
        </w:r>
        <w:r w:rsidR="008D3F9E">
          <w:rPr>
            <w:noProof/>
            <w:webHidden/>
          </w:rPr>
        </w:r>
        <w:r w:rsidR="008D3F9E">
          <w:rPr>
            <w:noProof/>
            <w:webHidden/>
          </w:rPr>
          <w:fldChar w:fldCharType="separate"/>
        </w:r>
        <w:r w:rsidR="008D3F9E">
          <w:rPr>
            <w:noProof/>
            <w:webHidden/>
          </w:rPr>
          <w:t>7</w:t>
        </w:r>
        <w:r w:rsidR="008D3F9E">
          <w:rPr>
            <w:noProof/>
            <w:webHidden/>
          </w:rPr>
          <w:fldChar w:fldCharType="end"/>
        </w:r>
      </w:hyperlink>
    </w:p>
    <w:p w14:paraId="5373078E" w14:textId="77777777" w:rsidR="008D3F9E" w:rsidRDefault="006C4F12">
      <w:pPr>
        <w:pStyle w:val="TOC2"/>
        <w:tabs>
          <w:tab w:val="left" w:pos="660"/>
          <w:tab w:val="right" w:leader="dot" w:pos="9038"/>
        </w:tabs>
        <w:rPr>
          <w:rFonts w:asciiTheme="minorHAnsi" w:eastAsiaTheme="minorEastAsia" w:hAnsiTheme="minorHAnsi" w:cstheme="minorBidi"/>
          <w:noProof/>
          <w:sz w:val="22"/>
        </w:rPr>
      </w:pPr>
      <w:hyperlink w:anchor="_Toc125971676" w:history="1">
        <w:r w:rsidR="008D3F9E" w:rsidRPr="00006A47">
          <w:rPr>
            <w:rStyle w:val="Hyperlink"/>
            <w:rFonts w:cs="Arial"/>
            <w:noProof/>
          </w:rPr>
          <w:t>4.</w:t>
        </w:r>
        <w:r w:rsidR="008D3F9E">
          <w:rPr>
            <w:rFonts w:asciiTheme="minorHAnsi" w:eastAsiaTheme="minorEastAsia" w:hAnsiTheme="minorHAnsi" w:cstheme="minorBidi"/>
            <w:noProof/>
            <w:sz w:val="22"/>
          </w:rPr>
          <w:tab/>
        </w:r>
        <w:r w:rsidR="008D3F9E" w:rsidRPr="00006A47">
          <w:rPr>
            <w:rStyle w:val="Hyperlink"/>
            <w:noProof/>
          </w:rPr>
          <w:t>Mobile Telephone Examination</w:t>
        </w:r>
        <w:r w:rsidR="008D3F9E">
          <w:rPr>
            <w:noProof/>
            <w:webHidden/>
          </w:rPr>
          <w:tab/>
        </w:r>
        <w:r w:rsidR="008D3F9E">
          <w:rPr>
            <w:noProof/>
            <w:webHidden/>
          </w:rPr>
          <w:fldChar w:fldCharType="begin"/>
        </w:r>
        <w:r w:rsidR="008D3F9E">
          <w:rPr>
            <w:noProof/>
            <w:webHidden/>
          </w:rPr>
          <w:instrText xml:space="preserve"> PAGEREF _Toc125971676 \h </w:instrText>
        </w:r>
        <w:r w:rsidR="008D3F9E">
          <w:rPr>
            <w:noProof/>
            <w:webHidden/>
          </w:rPr>
        </w:r>
        <w:r w:rsidR="008D3F9E">
          <w:rPr>
            <w:noProof/>
            <w:webHidden/>
          </w:rPr>
          <w:fldChar w:fldCharType="separate"/>
        </w:r>
        <w:r w:rsidR="008D3F9E">
          <w:rPr>
            <w:noProof/>
            <w:webHidden/>
          </w:rPr>
          <w:t>8</w:t>
        </w:r>
        <w:r w:rsidR="008D3F9E">
          <w:rPr>
            <w:noProof/>
            <w:webHidden/>
          </w:rPr>
          <w:fldChar w:fldCharType="end"/>
        </w:r>
      </w:hyperlink>
    </w:p>
    <w:p w14:paraId="7EF5B08B" w14:textId="77777777" w:rsidR="008D3F9E" w:rsidRDefault="006C4F12">
      <w:pPr>
        <w:pStyle w:val="TOC2"/>
        <w:tabs>
          <w:tab w:val="left" w:pos="660"/>
          <w:tab w:val="right" w:leader="dot" w:pos="9038"/>
        </w:tabs>
        <w:rPr>
          <w:rFonts w:asciiTheme="minorHAnsi" w:eastAsiaTheme="minorEastAsia" w:hAnsiTheme="minorHAnsi" w:cstheme="minorBidi"/>
          <w:noProof/>
          <w:sz w:val="22"/>
        </w:rPr>
      </w:pPr>
      <w:hyperlink w:anchor="_Toc125971677" w:history="1">
        <w:r w:rsidR="008D3F9E" w:rsidRPr="00006A47">
          <w:rPr>
            <w:rStyle w:val="Hyperlink"/>
            <w:noProof/>
          </w:rPr>
          <w:t>5.</w:t>
        </w:r>
        <w:r w:rsidR="008D3F9E">
          <w:rPr>
            <w:rFonts w:asciiTheme="minorHAnsi" w:eastAsiaTheme="minorEastAsia" w:hAnsiTheme="minorHAnsi" w:cstheme="minorBidi"/>
            <w:noProof/>
            <w:sz w:val="22"/>
          </w:rPr>
          <w:tab/>
        </w:r>
        <w:r w:rsidR="008D3F9E" w:rsidRPr="00006A47">
          <w:rPr>
            <w:rStyle w:val="Hyperlink"/>
            <w:noProof/>
          </w:rPr>
          <w:t>Other Investigative Considerations</w:t>
        </w:r>
        <w:r w:rsidR="008D3F9E">
          <w:rPr>
            <w:noProof/>
            <w:webHidden/>
          </w:rPr>
          <w:tab/>
        </w:r>
        <w:r w:rsidR="008D3F9E">
          <w:rPr>
            <w:noProof/>
            <w:webHidden/>
          </w:rPr>
          <w:fldChar w:fldCharType="begin"/>
        </w:r>
        <w:r w:rsidR="008D3F9E">
          <w:rPr>
            <w:noProof/>
            <w:webHidden/>
          </w:rPr>
          <w:instrText xml:space="preserve"> PAGEREF _Toc125971677 \h </w:instrText>
        </w:r>
        <w:r w:rsidR="008D3F9E">
          <w:rPr>
            <w:noProof/>
            <w:webHidden/>
          </w:rPr>
        </w:r>
        <w:r w:rsidR="008D3F9E">
          <w:rPr>
            <w:noProof/>
            <w:webHidden/>
          </w:rPr>
          <w:fldChar w:fldCharType="separate"/>
        </w:r>
        <w:r w:rsidR="008D3F9E">
          <w:rPr>
            <w:noProof/>
            <w:webHidden/>
          </w:rPr>
          <w:t>9</w:t>
        </w:r>
        <w:r w:rsidR="008D3F9E">
          <w:rPr>
            <w:noProof/>
            <w:webHidden/>
          </w:rPr>
          <w:fldChar w:fldCharType="end"/>
        </w:r>
      </w:hyperlink>
    </w:p>
    <w:p w14:paraId="3282BC28" w14:textId="77777777" w:rsidR="008D3F9E" w:rsidRDefault="006C4F12">
      <w:pPr>
        <w:pStyle w:val="TOC2"/>
        <w:tabs>
          <w:tab w:val="left" w:pos="660"/>
          <w:tab w:val="right" w:leader="dot" w:pos="9038"/>
        </w:tabs>
        <w:rPr>
          <w:rFonts w:asciiTheme="minorHAnsi" w:eastAsiaTheme="minorEastAsia" w:hAnsiTheme="minorHAnsi" w:cstheme="minorBidi"/>
          <w:noProof/>
          <w:sz w:val="22"/>
        </w:rPr>
      </w:pPr>
      <w:hyperlink w:anchor="_Toc125971678" w:history="1">
        <w:r w:rsidR="008D3F9E" w:rsidRPr="00006A47">
          <w:rPr>
            <w:rStyle w:val="Hyperlink"/>
            <w:noProof/>
          </w:rPr>
          <w:t>6.</w:t>
        </w:r>
        <w:r w:rsidR="008D3F9E">
          <w:rPr>
            <w:rFonts w:asciiTheme="minorHAnsi" w:eastAsiaTheme="minorEastAsia" w:hAnsiTheme="minorHAnsi" w:cstheme="minorBidi"/>
            <w:noProof/>
            <w:sz w:val="22"/>
          </w:rPr>
          <w:tab/>
        </w:r>
        <w:r w:rsidR="008D3F9E" w:rsidRPr="00006A47">
          <w:rPr>
            <w:rStyle w:val="Hyperlink"/>
            <w:noProof/>
          </w:rPr>
          <w:t>Key Contacts</w:t>
        </w:r>
        <w:r w:rsidR="008D3F9E">
          <w:rPr>
            <w:noProof/>
            <w:webHidden/>
          </w:rPr>
          <w:tab/>
        </w:r>
        <w:r w:rsidR="008D3F9E">
          <w:rPr>
            <w:noProof/>
            <w:webHidden/>
          </w:rPr>
          <w:fldChar w:fldCharType="begin"/>
        </w:r>
        <w:r w:rsidR="008D3F9E">
          <w:rPr>
            <w:noProof/>
            <w:webHidden/>
          </w:rPr>
          <w:instrText xml:space="preserve"> PAGEREF _Toc125971678 \h </w:instrText>
        </w:r>
        <w:r w:rsidR="008D3F9E">
          <w:rPr>
            <w:noProof/>
            <w:webHidden/>
          </w:rPr>
        </w:r>
        <w:r w:rsidR="008D3F9E">
          <w:rPr>
            <w:noProof/>
            <w:webHidden/>
          </w:rPr>
          <w:fldChar w:fldCharType="separate"/>
        </w:r>
        <w:r w:rsidR="008D3F9E">
          <w:rPr>
            <w:noProof/>
            <w:webHidden/>
          </w:rPr>
          <w:t>10</w:t>
        </w:r>
        <w:r w:rsidR="008D3F9E">
          <w:rPr>
            <w:noProof/>
            <w:webHidden/>
          </w:rPr>
          <w:fldChar w:fldCharType="end"/>
        </w:r>
      </w:hyperlink>
    </w:p>
    <w:p w14:paraId="5C792784"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79" w:history="1">
        <w:r w:rsidR="008D3F9E" w:rsidRPr="00006A47">
          <w:rPr>
            <w:rStyle w:val="Hyperlink"/>
            <w:noProof/>
          </w:rPr>
          <w:t>Intelligence Development Units</w:t>
        </w:r>
        <w:r w:rsidR="008D3F9E">
          <w:rPr>
            <w:noProof/>
            <w:webHidden/>
          </w:rPr>
          <w:tab/>
        </w:r>
        <w:r w:rsidR="008D3F9E">
          <w:rPr>
            <w:noProof/>
            <w:webHidden/>
          </w:rPr>
          <w:fldChar w:fldCharType="begin"/>
        </w:r>
        <w:r w:rsidR="008D3F9E">
          <w:rPr>
            <w:noProof/>
            <w:webHidden/>
          </w:rPr>
          <w:instrText xml:space="preserve"> PAGEREF _Toc125971679 \h </w:instrText>
        </w:r>
        <w:r w:rsidR="008D3F9E">
          <w:rPr>
            <w:noProof/>
            <w:webHidden/>
          </w:rPr>
        </w:r>
        <w:r w:rsidR="008D3F9E">
          <w:rPr>
            <w:noProof/>
            <w:webHidden/>
          </w:rPr>
          <w:fldChar w:fldCharType="separate"/>
        </w:r>
        <w:r w:rsidR="008D3F9E">
          <w:rPr>
            <w:noProof/>
            <w:webHidden/>
          </w:rPr>
          <w:t>11</w:t>
        </w:r>
        <w:r w:rsidR="008D3F9E">
          <w:rPr>
            <w:noProof/>
            <w:webHidden/>
          </w:rPr>
          <w:fldChar w:fldCharType="end"/>
        </w:r>
      </w:hyperlink>
    </w:p>
    <w:p w14:paraId="2EEDDCC1"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80" w:history="1">
        <w:r w:rsidR="008D3F9E" w:rsidRPr="00006A47">
          <w:rPr>
            <w:rStyle w:val="Hyperlink"/>
            <w:noProof/>
          </w:rPr>
          <w:t>STOP UNIT</w:t>
        </w:r>
        <w:r w:rsidR="008D3F9E">
          <w:rPr>
            <w:noProof/>
            <w:webHidden/>
          </w:rPr>
          <w:tab/>
        </w:r>
        <w:r w:rsidR="008D3F9E">
          <w:rPr>
            <w:noProof/>
            <w:webHidden/>
          </w:rPr>
          <w:fldChar w:fldCharType="begin"/>
        </w:r>
        <w:r w:rsidR="008D3F9E">
          <w:rPr>
            <w:noProof/>
            <w:webHidden/>
          </w:rPr>
          <w:instrText xml:space="preserve"> PAGEREF _Toc125971680 \h </w:instrText>
        </w:r>
        <w:r w:rsidR="008D3F9E">
          <w:rPr>
            <w:noProof/>
            <w:webHidden/>
          </w:rPr>
        </w:r>
        <w:r w:rsidR="008D3F9E">
          <w:rPr>
            <w:noProof/>
            <w:webHidden/>
          </w:rPr>
          <w:fldChar w:fldCharType="separate"/>
        </w:r>
        <w:r w:rsidR="008D3F9E">
          <w:rPr>
            <w:noProof/>
            <w:webHidden/>
          </w:rPr>
          <w:t>11</w:t>
        </w:r>
        <w:r w:rsidR="008D3F9E">
          <w:rPr>
            <w:noProof/>
            <w:webHidden/>
          </w:rPr>
          <w:fldChar w:fldCharType="end"/>
        </w:r>
      </w:hyperlink>
    </w:p>
    <w:p w14:paraId="763A9DDE" w14:textId="77777777" w:rsidR="008D3F9E" w:rsidRDefault="006C4F12">
      <w:pPr>
        <w:pStyle w:val="TOC3"/>
        <w:tabs>
          <w:tab w:val="right" w:leader="dot" w:pos="9038"/>
        </w:tabs>
        <w:rPr>
          <w:rFonts w:asciiTheme="minorHAnsi" w:eastAsiaTheme="minorEastAsia" w:hAnsiTheme="minorHAnsi" w:cstheme="minorBidi"/>
          <w:noProof/>
          <w:sz w:val="22"/>
        </w:rPr>
      </w:pPr>
      <w:hyperlink w:anchor="_Toc125971681" w:history="1">
        <w:r w:rsidR="008D3F9E" w:rsidRPr="00006A47">
          <w:rPr>
            <w:rStyle w:val="Hyperlink"/>
            <w:noProof/>
          </w:rPr>
          <w:t>Divisional Intelligence Offices (DIOs)</w:t>
        </w:r>
        <w:r w:rsidR="008D3F9E">
          <w:rPr>
            <w:noProof/>
            <w:webHidden/>
          </w:rPr>
          <w:tab/>
        </w:r>
        <w:r w:rsidR="008D3F9E">
          <w:rPr>
            <w:noProof/>
            <w:webHidden/>
          </w:rPr>
          <w:fldChar w:fldCharType="begin"/>
        </w:r>
        <w:r w:rsidR="008D3F9E">
          <w:rPr>
            <w:noProof/>
            <w:webHidden/>
          </w:rPr>
          <w:instrText xml:space="preserve"> PAGEREF _Toc125971681 \h </w:instrText>
        </w:r>
        <w:r w:rsidR="008D3F9E">
          <w:rPr>
            <w:noProof/>
            <w:webHidden/>
          </w:rPr>
        </w:r>
        <w:r w:rsidR="008D3F9E">
          <w:rPr>
            <w:noProof/>
            <w:webHidden/>
          </w:rPr>
          <w:fldChar w:fldCharType="separate"/>
        </w:r>
        <w:r w:rsidR="008D3F9E">
          <w:rPr>
            <w:noProof/>
            <w:webHidden/>
          </w:rPr>
          <w:t>11</w:t>
        </w:r>
        <w:r w:rsidR="008D3F9E">
          <w:rPr>
            <w:noProof/>
            <w:webHidden/>
          </w:rPr>
          <w:fldChar w:fldCharType="end"/>
        </w:r>
      </w:hyperlink>
    </w:p>
    <w:p w14:paraId="41C751F9" w14:textId="77777777" w:rsidR="008D3F9E" w:rsidRDefault="006C4F12">
      <w:pPr>
        <w:pStyle w:val="TOC2"/>
        <w:tabs>
          <w:tab w:val="right" w:leader="dot" w:pos="9038"/>
        </w:tabs>
        <w:rPr>
          <w:rFonts w:asciiTheme="minorHAnsi" w:eastAsiaTheme="minorEastAsia" w:hAnsiTheme="minorHAnsi" w:cstheme="minorBidi"/>
          <w:noProof/>
          <w:sz w:val="22"/>
        </w:rPr>
      </w:pPr>
      <w:hyperlink w:anchor="_Toc125971682" w:history="1">
        <w:r w:rsidR="008D3F9E" w:rsidRPr="00006A47">
          <w:rPr>
            <w:rStyle w:val="Hyperlink"/>
            <w:noProof/>
          </w:rPr>
          <w:t>Compliance record</w:t>
        </w:r>
        <w:r w:rsidR="008D3F9E">
          <w:rPr>
            <w:noProof/>
            <w:webHidden/>
          </w:rPr>
          <w:tab/>
        </w:r>
        <w:r w:rsidR="008D3F9E">
          <w:rPr>
            <w:noProof/>
            <w:webHidden/>
          </w:rPr>
          <w:fldChar w:fldCharType="begin"/>
        </w:r>
        <w:r w:rsidR="008D3F9E">
          <w:rPr>
            <w:noProof/>
            <w:webHidden/>
          </w:rPr>
          <w:instrText xml:space="preserve"> PAGEREF _Toc125971682 \h </w:instrText>
        </w:r>
        <w:r w:rsidR="008D3F9E">
          <w:rPr>
            <w:noProof/>
            <w:webHidden/>
          </w:rPr>
        </w:r>
        <w:r w:rsidR="008D3F9E">
          <w:rPr>
            <w:noProof/>
            <w:webHidden/>
          </w:rPr>
          <w:fldChar w:fldCharType="separate"/>
        </w:r>
        <w:r w:rsidR="008D3F9E">
          <w:rPr>
            <w:noProof/>
            <w:webHidden/>
          </w:rPr>
          <w:t>13</w:t>
        </w:r>
        <w:r w:rsidR="008D3F9E">
          <w:rPr>
            <w:noProof/>
            <w:webHidden/>
          </w:rPr>
          <w:fldChar w:fldCharType="end"/>
        </w:r>
      </w:hyperlink>
    </w:p>
    <w:p w14:paraId="16A08EE8" w14:textId="77777777" w:rsidR="008D3F9E" w:rsidRDefault="006C4F12">
      <w:pPr>
        <w:pStyle w:val="TOC2"/>
        <w:tabs>
          <w:tab w:val="right" w:leader="dot" w:pos="9038"/>
        </w:tabs>
        <w:rPr>
          <w:rFonts w:asciiTheme="minorHAnsi" w:eastAsiaTheme="minorEastAsia" w:hAnsiTheme="minorHAnsi" w:cstheme="minorBidi"/>
          <w:noProof/>
          <w:sz w:val="22"/>
        </w:rPr>
      </w:pPr>
      <w:hyperlink w:anchor="_Toc125971683" w:history="1">
        <w:r w:rsidR="008D3F9E" w:rsidRPr="00006A47">
          <w:rPr>
            <w:rStyle w:val="Hyperlink"/>
            <w:noProof/>
          </w:rPr>
          <w:t>Version control table</w:t>
        </w:r>
        <w:r w:rsidR="008D3F9E">
          <w:rPr>
            <w:noProof/>
            <w:webHidden/>
          </w:rPr>
          <w:tab/>
        </w:r>
        <w:r w:rsidR="008D3F9E">
          <w:rPr>
            <w:noProof/>
            <w:webHidden/>
          </w:rPr>
          <w:fldChar w:fldCharType="begin"/>
        </w:r>
        <w:r w:rsidR="008D3F9E">
          <w:rPr>
            <w:noProof/>
            <w:webHidden/>
          </w:rPr>
          <w:instrText xml:space="preserve"> PAGEREF _Toc125971683 \h </w:instrText>
        </w:r>
        <w:r w:rsidR="008D3F9E">
          <w:rPr>
            <w:noProof/>
            <w:webHidden/>
          </w:rPr>
        </w:r>
        <w:r w:rsidR="008D3F9E">
          <w:rPr>
            <w:noProof/>
            <w:webHidden/>
          </w:rPr>
          <w:fldChar w:fldCharType="separate"/>
        </w:r>
        <w:r w:rsidR="008D3F9E">
          <w:rPr>
            <w:noProof/>
            <w:webHidden/>
          </w:rPr>
          <w:t>13</w:t>
        </w:r>
        <w:r w:rsidR="008D3F9E">
          <w:rPr>
            <w:noProof/>
            <w:webHidden/>
          </w:rPr>
          <w:fldChar w:fldCharType="end"/>
        </w:r>
      </w:hyperlink>
    </w:p>
    <w:p w14:paraId="28971EC4" w14:textId="77777777" w:rsidR="008D3F9E" w:rsidRDefault="006C4F12">
      <w:pPr>
        <w:pStyle w:val="TOC2"/>
        <w:tabs>
          <w:tab w:val="right" w:leader="dot" w:pos="9038"/>
        </w:tabs>
        <w:rPr>
          <w:rFonts w:asciiTheme="minorHAnsi" w:eastAsiaTheme="minorEastAsia" w:hAnsiTheme="minorHAnsi" w:cstheme="minorBidi"/>
          <w:noProof/>
          <w:sz w:val="22"/>
        </w:rPr>
      </w:pPr>
      <w:hyperlink w:anchor="_Toc125971684" w:history="1">
        <w:r w:rsidR="008D3F9E" w:rsidRPr="00006A47">
          <w:rPr>
            <w:rStyle w:val="Hyperlink"/>
            <w:noProof/>
          </w:rPr>
          <w:t>Feedback</w:t>
        </w:r>
        <w:r w:rsidR="008D3F9E">
          <w:rPr>
            <w:noProof/>
            <w:webHidden/>
          </w:rPr>
          <w:tab/>
        </w:r>
        <w:r w:rsidR="008D3F9E">
          <w:rPr>
            <w:noProof/>
            <w:webHidden/>
          </w:rPr>
          <w:fldChar w:fldCharType="begin"/>
        </w:r>
        <w:r w:rsidR="008D3F9E">
          <w:rPr>
            <w:noProof/>
            <w:webHidden/>
          </w:rPr>
          <w:instrText xml:space="preserve"> PAGEREF _Toc125971684 \h </w:instrText>
        </w:r>
        <w:r w:rsidR="008D3F9E">
          <w:rPr>
            <w:noProof/>
            <w:webHidden/>
          </w:rPr>
        </w:r>
        <w:r w:rsidR="008D3F9E">
          <w:rPr>
            <w:noProof/>
            <w:webHidden/>
          </w:rPr>
          <w:fldChar w:fldCharType="separate"/>
        </w:r>
        <w:r w:rsidR="008D3F9E">
          <w:rPr>
            <w:noProof/>
            <w:webHidden/>
          </w:rPr>
          <w:t>13</w:t>
        </w:r>
        <w:r w:rsidR="008D3F9E">
          <w:rPr>
            <w:noProof/>
            <w:webHidden/>
          </w:rPr>
          <w:fldChar w:fldCharType="end"/>
        </w:r>
      </w:hyperlink>
    </w:p>
    <w:p w14:paraId="48841FCB" w14:textId="77777777" w:rsidR="00161C69" w:rsidRDefault="004A430E" w:rsidP="00161C69">
      <w:pPr>
        <w:rPr>
          <w:noProof/>
        </w:rPr>
      </w:pPr>
      <w:r>
        <w:rPr>
          <w:noProof/>
        </w:rPr>
        <w:fldChar w:fldCharType="end"/>
      </w:r>
    </w:p>
    <w:p w14:paraId="0FC47961" w14:textId="77777777" w:rsidR="00161C69" w:rsidRDefault="00161C69">
      <w:pPr>
        <w:spacing w:before="0" w:line="240" w:lineRule="auto"/>
        <w:rPr>
          <w:rFonts w:eastAsia="Times New Roman"/>
          <w:b/>
          <w:bCs/>
          <w:noProof/>
          <w:sz w:val="32"/>
          <w:szCs w:val="26"/>
        </w:rPr>
      </w:pPr>
      <w:r>
        <w:rPr>
          <w:bCs/>
          <w:noProof/>
        </w:rPr>
        <w:br w:type="page"/>
      </w:r>
    </w:p>
    <w:p w14:paraId="7F712E6A" w14:textId="77777777" w:rsidR="004546DC" w:rsidRPr="003039DB" w:rsidRDefault="005A6AB6" w:rsidP="005A6AB6">
      <w:pPr>
        <w:pStyle w:val="Heading2"/>
        <w:numPr>
          <w:ilvl w:val="0"/>
          <w:numId w:val="15"/>
        </w:numPr>
      </w:pPr>
      <w:bookmarkStart w:id="2" w:name="_Toc125971668"/>
      <w:r w:rsidRPr="003039DB">
        <w:lastRenderedPageBreak/>
        <w:t>Introduction/purpose</w:t>
      </w:r>
      <w:bookmarkEnd w:id="2"/>
    </w:p>
    <w:p w14:paraId="340E90D8" w14:textId="77777777" w:rsidR="002621FA" w:rsidRPr="002621FA" w:rsidRDefault="002621FA" w:rsidP="002621FA">
      <w:pPr>
        <w:widowControl w:val="0"/>
        <w:overflowPunct w:val="0"/>
        <w:autoSpaceDE w:val="0"/>
        <w:autoSpaceDN w:val="0"/>
        <w:adjustRightInd w:val="0"/>
        <w:spacing w:after="200"/>
        <w:textAlignment w:val="baseline"/>
        <w:rPr>
          <w:rFonts w:cs="Arial"/>
          <w:color w:val="000000" w:themeColor="text1"/>
        </w:rPr>
      </w:pPr>
      <w:r w:rsidRPr="002621FA">
        <w:rPr>
          <w:rFonts w:cs="Arial"/>
          <w:color w:val="000000" w:themeColor="text1"/>
        </w:rPr>
        <w:t xml:space="preserve">A Drug Related Death (DRD) is one where there is prima facie (on first impression) evidence of a fatal overdose of controlled drugs. Such evidence would include recent drug misuse, for example; controlled drugs and/or drugs paraphernalia found in close proximity to the deceased, and/or the deceased was known as a person who used drugs. The absence of prima facie evidence does not preclude a death from being potentially drug related, as for example, the deceased may have consumed controlled drugs away from the locus. </w:t>
      </w:r>
    </w:p>
    <w:p w14:paraId="2DD77D85" w14:textId="77777777" w:rsidR="002621FA" w:rsidRPr="002621FA" w:rsidRDefault="002621FA" w:rsidP="002621FA">
      <w:pPr>
        <w:widowControl w:val="0"/>
        <w:overflowPunct w:val="0"/>
        <w:autoSpaceDE w:val="0"/>
        <w:autoSpaceDN w:val="0"/>
        <w:adjustRightInd w:val="0"/>
        <w:spacing w:after="200"/>
        <w:textAlignment w:val="baseline"/>
        <w:rPr>
          <w:rFonts w:cs="Arial"/>
          <w:color w:val="000000" w:themeColor="text1"/>
        </w:rPr>
      </w:pPr>
      <w:r w:rsidRPr="002621FA">
        <w:rPr>
          <w:rFonts w:cs="Arial"/>
          <w:color w:val="000000" w:themeColor="text1"/>
        </w:rPr>
        <w:t>The increasing numbers of DRDs has, for many years, attracted the attention of the Scottish Government and general media interest. This has become increasingly focussed given the publication of the National Records of Scotland report which highlighted that the 2019 DRD figures were the highest recorded in Scotland since records began; and detailed that the figures had doubled when compared to those recorded a decade earlier.</w:t>
      </w:r>
    </w:p>
    <w:p w14:paraId="3EF722FF" w14:textId="77777777" w:rsidR="002621FA" w:rsidRPr="002621FA" w:rsidRDefault="002621FA" w:rsidP="002621FA">
      <w:pPr>
        <w:widowControl w:val="0"/>
        <w:overflowPunct w:val="0"/>
        <w:autoSpaceDE w:val="0"/>
        <w:autoSpaceDN w:val="0"/>
        <w:adjustRightInd w:val="0"/>
        <w:spacing w:after="200"/>
        <w:textAlignment w:val="baseline"/>
        <w:rPr>
          <w:rFonts w:cs="Arial"/>
          <w:color w:val="000000" w:themeColor="text1"/>
        </w:rPr>
      </w:pPr>
      <w:r w:rsidRPr="002621FA">
        <w:rPr>
          <w:rFonts w:cs="Arial"/>
          <w:color w:val="000000" w:themeColor="text1"/>
        </w:rPr>
        <w:t>Operation ERSO is Police Scotland’s overarching national focus to enhance the understanding, and examine the harms associated with the illegal consumption of drugs, across Scotland. This will allow for continuous improvement in the investigation of DRDs to include evidence capture, information sharing, collaboration between Divisions to maximise intelligence development and operational opportunities.</w:t>
      </w:r>
    </w:p>
    <w:p w14:paraId="2A0655A6" w14:textId="77777777" w:rsidR="003C1632" w:rsidRDefault="002621FA" w:rsidP="002621FA">
      <w:pPr>
        <w:widowControl w:val="0"/>
        <w:overflowPunct w:val="0"/>
        <w:autoSpaceDE w:val="0"/>
        <w:autoSpaceDN w:val="0"/>
        <w:adjustRightInd w:val="0"/>
        <w:spacing w:after="200"/>
        <w:textAlignment w:val="baseline"/>
        <w:rPr>
          <w:rFonts w:cs="Arial"/>
          <w:color w:val="000000" w:themeColor="text1"/>
        </w:rPr>
      </w:pPr>
      <w:r w:rsidRPr="002621FA">
        <w:rPr>
          <w:rFonts w:cs="Arial"/>
          <w:color w:val="000000" w:themeColor="text1"/>
        </w:rPr>
        <w:t>The Drug Harm Tactical Taskforce (DHTT) consists of dedicated intelligence staff based within the National Intelligence Bureau. Since implementation, work has been ongoing to capture and evaluate the full circumstances of all DRDs nationally, from the start of 2021. This involves collation and review of each death report submitted to the Crown Office and Procurator Fiscal Service (COPFS); review of productions,</w:t>
      </w:r>
      <w:r w:rsidR="000338A4">
        <w:rPr>
          <w:rFonts w:cs="Arial"/>
          <w:color w:val="000000" w:themeColor="text1"/>
        </w:rPr>
        <w:t xml:space="preserve"> </w:t>
      </w:r>
    </w:p>
    <w:p w14:paraId="50107FF2" w14:textId="77777777" w:rsidR="003C1632" w:rsidRPr="003C1632" w:rsidRDefault="003C1632" w:rsidP="003C1632">
      <w:pPr>
        <w:spacing w:line="259" w:lineRule="auto"/>
        <w:rPr>
          <w:rFonts w:cs="Arial"/>
          <w:b/>
          <w:bCs/>
          <w:snapToGrid w:val="0"/>
          <w:color w:val="000000"/>
        </w:rPr>
      </w:pPr>
      <w:r w:rsidRPr="003C1632">
        <w:rPr>
          <w:rFonts w:cs="Arial"/>
          <w:b/>
          <w:bCs/>
          <w:snapToGrid w:val="0"/>
          <w:color w:val="000000"/>
        </w:rPr>
        <w:t xml:space="preserve">‘Information has been removed due to its content being exempt in terms of the Freedom of Information (Scotland) Act 2002‘ </w:t>
      </w:r>
    </w:p>
    <w:p w14:paraId="24093B10" w14:textId="77777777" w:rsidR="002621FA" w:rsidRPr="003C1632" w:rsidRDefault="005B090F" w:rsidP="002621FA">
      <w:pPr>
        <w:widowControl w:val="0"/>
        <w:overflowPunct w:val="0"/>
        <w:autoSpaceDE w:val="0"/>
        <w:autoSpaceDN w:val="0"/>
        <w:adjustRightInd w:val="0"/>
        <w:spacing w:after="200"/>
        <w:textAlignment w:val="baseline"/>
        <w:rPr>
          <w:rFonts w:cs="Arial"/>
          <w:iCs/>
          <w:color w:val="000000" w:themeColor="text1"/>
        </w:rPr>
      </w:pPr>
      <w:r>
        <w:rPr>
          <w:rFonts w:cs="Arial"/>
          <w:b/>
          <w:iCs/>
          <w:color w:val="000000" w:themeColor="text1"/>
        </w:rPr>
        <w:t>E</w:t>
      </w:r>
      <w:r w:rsidR="000338A4" w:rsidRPr="003C1632">
        <w:rPr>
          <w:rFonts w:cs="Arial"/>
          <w:b/>
          <w:iCs/>
          <w:color w:val="000000" w:themeColor="text1"/>
        </w:rPr>
        <w:t>xempted section 34(1) of the Act and section 35(1)(a)&amp;(b)</w:t>
      </w:r>
      <w:r w:rsidR="002621FA" w:rsidRPr="003C1632">
        <w:rPr>
          <w:b/>
          <w:iCs/>
          <w:color w:val="000000" w:themeColor="text1"/>
          <w:szCs w:val="24"/>
        </w:rPr>
        <w:tab/>
      </w:r>
    </w:p>
    <w:p w14:paraId="112B879E" w14:textId="77777777" w:rsidR="00785789" w:rsidRPr="003C1632" w:rsidRDefault="002621FA" w:rsidP="00785789">
      <w:pPr>
        <w:spacing w:line="259" w:lineRule="auto"/>
        <w:rPr>
          <w:rFonts w:cs="Arial"/>
          <w:b/>
          <w:bCs/>
          <w:snapToGrid w:val="0"/>
          <w:color w:val="000000"/>
        </w:rPr>
      </w:pPr>
      <w:r w:rsidRPr="00880CFE">
        <w:rPr>
          <w:color w:val="000000" w:themeColor="text1"/>
          <w:szCs w:val="24"/>
        </w:rPr>
        <w:t>This guidance document will provide officers and authority/police staff with investigatory considerations along with assistance in providing information to assist with</w:t>
      </w:r>
      <w:r w:rsidRPr="00880CFE">
        <w:rPr>
          <w:rFonts w:cs="Arial"/>
          <w:color w:val="000000" w:themeColor="text1"/>
          <w:szCs w:val="24"/>
        </w:rPr>
        <w:t xml:space="preserve"> trends and patterns in DRDs allowing for the identification of clusters within community ward areas, and nominals of interest. </w:t>
      </w:r>
      <w:r w:rsidR="00785789" w:rsidRPr="003C1632">
        <w:rPr>
          <w:rFonts w:cs="Arial"/>
          <w:b/>
          <w:bCs/>
          <w:snapToGrid w:val="0"/>
          <w:color w:val="000000"/>
        </w:rPr>
        <w:t xml:space="preserve">‘Information has been removed </w:t>
      </w:r>
      <w:r w:rsidR="00785789" w:rsidRPr="003C1632">
        <w:rPr>
          <w:rFonts w:cs="Arial"/>
          <w:b/>
          <w:bCs/>
          <w:snapToGrid w:val="0"/>
          <w:color w:val="000000"/>
        </w:rPr>
        <w:lastRenderedPageBreak/>
        <w:t xml:space="preserve">due to its content being exempt in terms of the Freedom of Information (Scotland) Act 2002‘ </w:t>
      </w:r>
    </w:p>
    <w:p w14:paraId="4DFE71B8" w14:textId="77777777" w:rsidR="002621FA" w:rsidRPr="00785789" w:rsidRDefault="007B558F" w:rsidP="002621FA">
      <w:pPr>
        <w:pStyle w:val="CommentText"/>
        <w:spacing w:after="200"/>
        <w:rPr>
          <w:rFonts w:cs="Arial"/>
          <w:iCs/>
          <w:color w:val="000000" w:themeColor="text1"/>
          <w:sz w:val="24"/>
          <w:szCs w:val="24"/>
        </w:rPr>
      </w:pPr>
      <w:r w:rsidRPr="00785789">
        <w:rPr>
          <w:rFonts w:cs="Arial"/>
          <w:b/>
          <w:iCs/>
          <w:color w:val="000000" w:themeColor="text1"/>
          <w:sz w:val="24"/>
          <w:szCs w:val="24"/>
        </w:rPr>
        <w:t>Exempted section 34(1) of the Act and section 35(1)(a)&amp;(b)</w:t>
      </w:r>
      <w:r w:rsidRPr="00785789">
        <w:rPr>
          <w:b/>
          <w:iCs/>
          <w:color w:val="000000" w:themeColor="text1"/>
          <w:sz w:val="24"/>
          <w:szCs w:val="24"/>
        </w:rPr>
        <w:tab/>
      </w:r>
    </w:p>
    <w:p w14:paraId="355D77F6" w14:textId="77777777" w:rsidR="004546DC" w:rsidRPr="0039405B" w:rsidRDefault="002621FA" w:rsidP="0005219C">
      <w:pPr>
        <w:pStyle w:val="Heading2"/>
        <w:numPr>
          <w:ilvl w:val="0"/>
          <w:numId w:val="15"/>
        </w:numPr>
      </w:pPr>
      <w:bookmarkStart w:id="3" w:name="_Toc125971669"/>
      <w:r>
        <w:t>Initial Response</w:t>
      </w:r>
      <w:bookmarkEnd w:id="3"/>
    </w:p>
    <w:p w14:paraId="5DCFE338" w14:textId="77777777" w:rsidR="002621FA" w:rsidRDefault="002621FA" w:rsidP="002621FA">
      <w:pPr>
        <w:widowControl w:val="0"/>
        <w:overflowPunct w:val="0"/>
        <w:autoSpaceDE w:val="0"/>
        <w:autoSpaceDN w:val="0"/>
        <w:adjustRightInd w:val="0"/>
        <w:textAlignment w:val="baseline"/>
        <w:rPr>
          <w:rFonts w:cs="Arial"/>
        </w:rPr>
      </w:pPr>
      <w:bookmarkStart w:id="4" w:name="_Toc394566505"/>
      <w:r>
        <w:rPr>
          <w:rFonts w:cs="Arial"/>
        </w:rPr>
        <w:t xml:space="preserve">The initial response to investigation of drug related deaths should be guided by the </w:t>
      </w:r>
      <w:r w:rsidRPr="00BC1ACD">
        <w:rPr>
          <w:rStyle w:val="Hyperlink"/>
          <w:rFonts w:cs="Arial"/>
          <w:color w:val="000000" w:themeColor="text1"/>
          <w:u w:val="none"/>
        </w:rPr>
        <w:t>Investigation of Death National Guidance</w:t>
      </w:r>
      <w:r w:rsidRPr="00BC1ACD">
        <w:rPr>
          <w:rFonts w:cs="Arial"/>
          <w:color w:val="000000" w:themeColor="text1"/>
        </w:rPr>
        <w:t>.</w:t>
      </w:r>
      <w:r w:rsidRPr="00880CFE">
        <w:rPr>
          <w:rFonts w:cs="Arial"/>
          <w:color w:val="0000FF"/>
        </w:rPr>
        <w:t xml:space="preserve"> </w:t>
      </w:r>
      <w:r>
        <w:rPr>
          <w:rFonts w:cs="Arial"/>
        </w:rPr>
        <w:t>In addition to the measures outlined there, officers should consider the following:</w:t>
      </w:r>
    </w:p>
    <w:p w14:paraId="0B4CC6CB" w14:textId="77777777" w:rsidR="002621FA" w:rsidRDefault="002621FA" w:rsidP="002621FA">
      <w:pPr>
        <w:pStyle w:val="Heading3"/>
      </w:pPr>
      <w:bookmarkStart w:id="5" w:name="_Toc123027746"/>
      <w:bookmarkStart w:id="6" w:name="_Toc125971670"/>
      <w:r>
        <w:t>Deceased</w:t>
      </w:r>
      <w:bookmarkEnd w:id="5"/>
      <w:bookmarkEnd w:id="6"/>
    </w:p>
    <w:p w14:paraId="1B731F5B" w14:textId="77777777" w:rsidR="002621FA" w:rsidRDefault="002621FA" w:rsidP="002621FA">
      <w:pPr>
        <w:numPr>
          <w:ilvl w:val="0"/>
          <w:numId w:val="28"/>
        </w:numPr>
        <w:spacing w:after="240"/>
        <w:ind w:left="714" w:hanging="357"/>
        <w:contextualSpacing/>
      </w:pPr>
      <w:r>
        <w:t>Describe external appearance – clothing, cleanliness, foaming at mouth, injection sites, etc.</w:t>
      </w:r>
    </w:p>
    <w:p w14:paraId="2A86B615" w14:textId="77777777" w:rsidR="002621FA" w:rsidRDefault="002621FA" w:rsidP="002621FA">
      <w:pPr>
        <w:pStyle w:val="Heading3"/>
      </w:pPr>
      <w:bookmarkStart w:id="7" w:name="_Toc123027747"/>
      <w:bookmarkStart w:id="8" w:name="_Toc125971671"/>
      <w:r>
        <w:t>Witness/Reporter</w:t>
      </w:r>
      <w:bookmarkEnd w:id="7"/>
      <w:bookmarkEnd w:id="8"/>
    </w:p>
    <w:p w14:paraId="0D041D2C" w14:textId="77777777" w:rsidR="002621FA" w:rsidRPr="00D85331" w:rsidRDefault="002621FA" w:rsidP="002621FA">
      <w:pPr>
        <w:numPr>
          <w:ilvl w:val="0"/>
          <w:numId w:val="28"/>
        </w:numPr>
        <w:spacing w:after="240"/>
        <w:ind w:left="714" w:hanging="357"/>
        <w:contextualSpacing/>
      </w:pPr>
      <w:r w:rsidRPr="00D85331">
        <w:t>Consider implementing a trauma info</w:t>
      </w:r>
      <w:r>
        <w:t>rmed approach when interviewing/</w:t>
      </w:r>
      <w:r w:rsidRPr="00D85331">
        <w:t>questioni</w:t>
      </w:r>
      <w:r>
        <w:t>ng a witness/</w:t>
      </w:r>
      <w:r w:rsidRPr="00D85331">
        <w:t>reporter, consideration and regard should be given to the impact that finding the deceased may have on the witness</w:t>
      </w:r>
      <w:r>
        <w:t>/</w:t>
      </w:r>
      <w:r w:rsidRPr="00D85331">
        <w:t>reporter</w:t>
      </w:r>
    </w:p>
    <w:p w14:paraId="71DFD6C8" w14:textId="77777777" w:rsidR="002621FA" w:rsidRDefault="002621FA" w:rsidP="002621FA">
      <w:pPr>
        <w:numPr>
          <w:ilvl w:val="0"/>
          <w:numId w:val="28"/>
        </w:numPr>
        <w:spacing w:after="240"/>
        <w:ind w:left="714" w:hanging="357"/>
        <w:contextualSpacing/>
      </w:pPr>
      <w:r>
        <w:t>Does the witness/reporter have any concerns?</w:t>
      </w:r>
    </w:p>
    <w:p w14:paraId="333FA088" w14:textId="77777777" w:rsidR="002621FA" w:rsidRDefault="002621FA" w:rsidP="002621FA">
      <w:pPr>
        <w:numPr>
          <w:ilvl w:val="0"/>
          <w:numId w:val="28"/>
        </w:numPr>
        <w:spacing w:after="240"/>
        <w:ind w:left="714" w:hanging="357"/>
        <w:contextualSpacing/>
      </w:pPr>
      <w:r>
        <w:t>Can the witness/reporter provide background?</w:t>
      </w:r>
    </w:p>
    <w:p w14:paraId="2AFE4E36" w14:textId="77777777" w:rsidR="002621FA" w:rsidRPr="003823DF" w:rsidRDefault="002621FA" w:rsidP="002621FA">
      <w:pPr>
        <w:numPr>
          <w:ilvl w:val="0"/>
          <w:numId w:val="28"/>
        </w:numPr>
        <w:spacing w:after="240"/>
        <w:ind w:left="714" w:hanging="357"/>
        <w:contextualSpacing/>
      </w:pPr>
      <w:r w:rsidRPr="003823DF">
        <w:t>Previous drug/alcohol history of</w:t>
      </w:r>
      <w:r>
        <w:t xml:space="preserve"> </w:t>
      </w:r>
      <w:r w:rsidRPr="00CA0FD6">
        <w:t>deceased</w:t>
      </w:r>
      <w:r w:rsidRPr="003823DF">
        <w:t>, has routine recently changed (changed dealer</w:t>
      </w:r>
      <w:r>
        <w:t>/</w:t>
      </w:r>
      <w:r w:rsidRPr="003823DF">
        <w:t>places frequented etc.)?</w:t>
      </w:r>
    </w:p>
    <w:p w14:paraId="790B280F" w14:textId="77777777" w:rsidR="002621FA" w:rsidRDefault="002621FA" w:rsidP="002621FA">
      <w:pPr>
        <w:numPr>
          <w:ilvl w:val="0"/>
          <w:numId w:val="28"/>
        </w:numPr>
        <w:spacing w:after="240"/>
        <w:ind w:left="714" w:hanging="357"/>
        <w:contextualSpacing/>
      </w:pPr>
      <w:r w:rsidRPr="003823DF">
        <w:t>Did the deceased mix drugs</w:t>
      </w:r>
      <w:r>
        <w:t>?</w:t>
      </w:r>
      <w:r w:rsidRPr="003823DF">
        <w:t xml:space="preserve"> If so – what drugs, how much, how often, where did they purchase other drugs</w:t>
      </w:r>
      <w:r>
        <w:t>?</w:t>
      </w:r>
    </w:p>
    <w:p w14:paraId="3C0CBB5D" w14:textId="77777777" w:rsidR="002621FA" w:rsidRDefault="002621FA" w:rsidP="002621FA">
      <w:pPr>
        <w:numPr>
          <w:ilvl w:val="0"/>
          <w:numId w:val="28"/>
        </w:numPr>
        <w:spacing w:after="240"/>
        <w:ind w:left="714" w:hanging="357"/>
        <w:contextualSpacing/>
      </w:pPr>
      <w:r>
        <w:t>What was deceased’s use of drugs/what effect did they normally have on deceased?</w:t>
      </w:r>
    </w:p>
    <w:p w14:paraId="4F7CB8A0" w14:textId="77777777" w:rsidR="002621FA" w:rsidRDefault="002621FA" w:rsidP="002621FA">
      <w:pPr>
        <w:numPr>
          <w:ilvl w:val="0"/>
          <w:numId w:val="28"/>
        </w:numPr>
        <w:spacing w:after="240"/>
        <w:ind w:left="714" w:hanging="357"/>
        <w:contextualSpacing/>
      </w:pPr>
      <w:r>
        <w:t>Did deceased socialise, if so who with, how often, are they a person who uses drugs?</w:t>
      </w:r>
    </w:p>
    <w:p w14:paraId="7EC3A3CB" w14:textId="77777777" w:rsidR="002621FA" w:rsidRDefault="002621FA" w:rsidP="002621FA">
      <w:pPr>
        <w:numPr>
          <w:ilvl w:val="0"/>
          <w:numId w:val="28"/>
        </w:numPr>
        <w:spacing w:after="240"/>
        <w:ind w:left="714" w:hanging="357"/>
        <w:contextualSpacing/>
      </w:pPr>
      <w:r>
        <w:t>Who would know most about the deceased and their habits?</w:t>
      </w:r>
    </w:p>
    <w:p w14:paraId="326FA280" w14:textId="77777777" w:rsidR="002621FA" w:rsidRDefault="002621FA" w:rsidP="002621FA">
      <w:pPr>
        <w:numPr>
          <w:ilvl w:val="0"/>
          <w:numId w:val="28"/>
        </w:numPr>
        <w:spacing w:after="240"/>
        <w:ind w:left="714" w:hanging="357"/>
        <w:contextualSpacing/>
      </w:pPr>
      <w:r>
        <w:t>Has the deceased recently lost any associates due to a drug death?</w:t>
      </w:r>
    </w:p>
    <w:p w14:paraId="7FB9D6CC" w14:textId="77777777" w:rsidR="002621FA" w:rsidRDefault="002621FA" w:rsidP="002621FA">
      <w:pPr>
        <w:numPr>
          <w:ilvl w:val="0"/>
          <w:numId w:val="28"/>
        </w:numPr>
        <w:spacing w:after="240"/>
        <w:ind w:left="714" w:hanging="357"/>
        <w:contextualSpacing/>
      </w:pPr>
      <w:r>
        <w:t>Are any witnesses using drugs? Do they require medical attention?</w:t>
      </w:r>
    </w:p>
    <w:p w14:paraId="17724932" w14:textId="77777777" w:rsidR="002621FA" w:rsidRDefault="002621FA" w:rsidP="002621FA">
      <w:pPr>
        <w:numPr>
          <w:ilvl w:val="0"/>
          <w:numId w:val="28"/>
        </w:numPr>
        <w:spacing w:after="240"/>
        <w:ind w:left="714" w:hanging="357"/>
        <w:contextualSpacing/>
      </w:pPr>
      <w:r>
        <w:lastRenderedPageBreak/>
        <w:t>Is there any indication that the finder may be involved in the death?</w:t>
      </w:r>
    </w:p>
    <w:p w14:paraId="166ECB06" w14:textId="77777777" w:rsidR="002621FA" w:rsidRDefault="002621FA" w:rsidP="002621FA">
      <w:pPr>
        <w:contextualSpacing/>
        <w:rPr>
          <w:b/>
        </w:rPr>
      </w:pPr>
    </w:p>
    <w:p w14:paraId="336F6013" w14:textId="77777777" w:rsidR="002621FA" w:rsidRPr="00B42004" w:rsidRDefault="002621FA" w:rsidP="002621FA">
      <w:pPr>
        <w:spacing w:after="200"/>
        <w:contextualSpacing/>
      </w:pPr>
      <w:r w:rsidRPr="00B42004">
        <w:t>Speak to reporter, next of kin, close family members and associates to obtain a full intelligence</w:t>
      </w:r>
      <w:r>
        <w:t>/</w:t>
      </w:r>
      <w:r w:rsidRPr="00B42004">
        <w:t>evidence overview.</w:t>
      </w:r>
    </w:p>
    <w:p w14:paraId="52C589E6" w14:textId="77777777" w:rsidR="002621FA" w:rsidRDefault="002621FA" w:rsidP="002621FA">
      <w:pPr>
        <w:spacing w:after="200"/>
      </w:pPr>
      <w:r w:rsidRPr="00D85331">
        <w:t>When a death occurs in specific religions and cultures, family members and friends may seek a quick resolution to enquiries and the release of the body. Advice should be sought from Partnerships, Prevention and Community Wellbeing (PPCW) Equality and Diversity Unit or Community Advisers to ensure a professional approach is</w:t>
      </w:r>
      <w:r>
        <w:t xml:space="preserve"> adopted in these circumstances.</w:t>
      </w:r>
    </w:p>
    <w:p w14:paraId="7F4823F4" w14:textId="77777777" w:rsidR="002621FA" w:rsidRPr="00D85331" w:rsidRDefault="002621FA" w:rsidP="002621FA">
      <w:pPr>
        <w:spacing w:after="200"/>
      </w:pPr>
      <w:r w:rsidRPr="00D85331">
        <w:t xml:space="preserve">Officers should be aware that when attending a death, religious rituals may have been carried out prior to police arrival which would not necessarily amount to suspicion. The following are some examples and is not an exhaustive list: </w:t>
      </w:r>
    </w:p>
    <w:p w14:paraId="0D983AF5" w14:textId="77777777" w:rsidR="002621FA" w:rsidRDefault="002621FA" w:rsidP="002621FA">
      <w:pPr>
        <w:pStyle w:val="ListParagraph"/>
        <w:numPr>
          <w:ilvl w:val="0"/>
          <w:numId w:val="32"/>
        </w:numPr>
        <w:ind w:left="714" w:hanging="357"/>
      </w:pPr>
      <w:r>
        <w:t xml:space="preserve">Members of the Hindu faith may move their deceased, so that the head faces east and a lamp is lit next to their head. </w:t>
      </w:r>
    </w:p>
    <w:p w14:paraId="241A9176" w14:textId="77777777" w:rsidR="002621FA" w:rsidRPr="00D85331" w:rsidRDefault="002621FA" w:rsidP="002621FA">
      <w:pPr>
        <w:pStyle w:val="ListParagraph"/>
        <w:numPr>
          <w:ilvl w:val="1"/>
          <w:numId w:val="32"/>
        </w:numPr>
        <w:ind w:left="714" w:hanging="357"/>
      </w:pPr>
      <w:r>
        <w:t>In Judaism the deceased person’s eyes are closed and the body is laid on the floor and covered. Candles are then lit next to the body and the body is never left alone.</w:t>
      </w:r>
    </w:p>
    <w:p w14:paraId="2A4B2825" w14:textId="77777777" w:rsidR="002621FA" w:rsidRPr="00D85331" w:rsidRDefault="002621FA" w:rsidP="002621FA">
      <w:pPr>
        <w:spacing w:after="200"/>
        <w:rPr>
          <w:b/>
        </w:rPr>
      </w:pPr>
      <w:r w:rsidRPr="00D85331">
        <w:t xml:space="preserve">If an interpreter or translator is required refer to </w:t>
      </w:r>
      <w:r w:rsidRPr="00BC1ACD">
        <w:rPr>
          <w:rStyle w:val="Hyperlink"/>
          <w:color w:val="000000" w:themeColor="text1"/>
          <w:u w:val="none"/>
        </w:rPr>
        <w:t>Accessing Translation and Interpreting Services</w:t>
      </w:r>
      <w:r w:rsidRPr="00D85331">
        <w:t xml:space="preserve"> on the intranet for further information. </w:t>
      </w:r>
    </w:p>
    <w:p w14:paraId="204FE9D6" w14:textId="77777777" w:rsidR="002621FA" w:rsidRPr="00D85331" w:rsidRDefault="002621FA" w:rsidP="002621FA">
      <w:pPr>
        <w:pStyle w:val="Heading3"/>
      </w:pPr>
      <w:bookmarkStart w:id="9" w:name="_Toc123027748"/>
      <w:bookmarkStart w:id="10" w:name="_Toc125971672"/>
      <w:r w:rsidRPr="00D85331">
        <w:t>Scene</w:t>
      </w:r>
      <w:bookmarkEnd w:id="9"/>
      <w:bookmarkEnd w:id="10"/>
    </w:p>
    <w:p w14:paraId="34CA7AC7" w14:textId="77777777" w:rsidR="002621FA" w:rsidRPr="00D85331" w:rsidRDefault="002621FA" w:rsidP="002621FA">
      <w:pPr>
        <w:numPr>
          <w:ilvl w:val="0"/>
          <w:numId w:val="29"/>
        </w:numPr>
        <w:spacing w:after="240"/>
        <w:ind w:left="714" w:hanging="357"/>
        <w:contextualSpacing/>
      </w:pPr>
      <w:r w:rsidRPr="00D85331">
        <w:t>Consider wearing Personal Protective Equipment (PPE) before entering the locus.</w:t>
      </w:r>
    </w:p>
    <w:p w14:paraId="56D4FB6F" w14:textId="77777777" w:rsidR="002621FA" w:rsidRPr="00D85331" w:rsidRDefault="002621FA" w:rsidP="002621FA">
      <w:pPr>
        <w:numPr>
          <w:ilvl w:val="0"/>
          <w:numId w:val="29"/>
        </w:numPr>
        <w:spacing w:after="240"/>
        <w:ind w:left="714" w:hanging="357"/>
        <w:contextualSpacing/>
      </w:pPr>
      <w:r w:rsidRPr="00D85331">
        <w:t xml:space="preserve">Carry out a risk assessment of the locus for health and safety considerations, refer to </w:t>
      </w:r>
      <w:r w:rsidRPr="00BC1ACD">
        <w:rPr>
          <w:rStyle w:val="Hyperlink"/>
          <w:color w:val="000000" w:themeColor="text1"/>
          <w:u w:val="none"/>
        </w:rPr>
        <w:t>Force Health and Safety Alert</w:t>
      </w:r>
      <w:r w:rsidRPr="00D85331">
        <w:t xml:space="preserve"> should Fentanyl or Carfentanil be </w:t>
      </w:r>
      <w:r w:rsidRPr="00A8421A">
        <w:t xml:space="preserve">suspected to be within the locus. Refer to </w:t>
      </w:r>
      <w:r w:rsidRPr="00BC1ACD">
        <w:rPr>
          <w:rStyle w:val="Hyperlink"/>
          <w:rFonts w:cs="Arial"/>
          <w:color w:val="000000" w:themeColor="text1"/>
          <w:u w:val="none"/>
        </w:rPr>
        <w:t xml:space="preserve">Investigation of Death National Guidance </w:t>
      </w:r>
      <w:r w:rsidRPr="00A8421A">
        <w:t>for furt</w:t>
      </w:r>
      <w:r w:rsidRPr="00D85331">
        <w:t xml:space="preserve">her guidance in relation to risk assessments to be considered at the scene.  </w:t>
      </w:r>
    </w:p>
    <w:p w14:paraId="43BEB4AE" w14:textId="77777777" w:rsidR="002621FA" w:rsidRDefault="002621FA" w:rsidP="002621FA">
      <w:pPr>
        <w:numPr>
          <w:ilvl w:val="0"/>
          <w:numId w:val="29"/>
        </w:numPr>
        <w:spacing w:after="240"/>
        <w:ind w:left="714" w:hanging="357"/>
        <w:contextualSpacing/>
      </w:pPr>
      <w:r w:rsidRPr="00D85331">
        <w:t>Describ</w:t>
      </w:r>
      <w:r>
        <w:t>e the scene - clean, tidy, disorganised and/or dirty?</w:t>
      </w:r>
    </w:p>
    <w:p w14:paraId="06264B82" w14:textId="77777777" w:rsidR="002621FA" w:rsidRDefault="002621FA" w:rsidP="002621FA">
      <w:pPr>
        <w:numPr>
          <w:ilvl w:val="0"/>
          <w:numId w:val="29"/>
        </w:numPr>
        <w:spacing w:after="240"/>
        <w:ind w:left="714" w:hanging="357"/>
        <w:contextualSpacing/>
      </w:pPr>
      <w:r>
        <w:t>Any indication of an overdose? Evidence of illegal drug use e.g. loose pills lying around / prescription not in name of deceased / needles / methadone / foil / spoon etc.?</w:t>
      </w:r>
    </w:p>
    <w:p w14:paraId="062B7AF8" w14:textId="77777777" w:rsidR="002621FA" w:rsidRDefault="002621FA" w:rsidP="00785789">
      <w:pPr>
        <w:numPr>
          <w:ilvl w:val="0"/>
          <w:numId w:val="29"/>
        </w:numPr>
        <w:spacing w:after="240"/>
        <w:ind w:left="680" w:hanging="340"/>
        <w:contextualSpacing/>
      </w:pPr>
      <w:r>
        <w:lastRenderedPageBreak/>
        <w:t xml:space="preserve">Any evidence of how drugs were taken (hiding places/ refuse)? </w:t>
      </w:r>
    </w:p>
    <w:p w14:paraId="4D192D2C" w14:textId="77777777" w:rsidR="002621FA" w:rsidRDefault="002621FA" w:rsidP="00785789">
      <w:pPr>
        <w:numPr>
          <w:ilvl w:val="0"/>
          <w:numId w:val="29"/>
        </w:numPr>
        <w:spacing w:after="240"/>
        <w:ind w:left="680" w:hanging="340"/>
        <w:contextualSpacing/>
      </w:pPr>
      <w:r>
        <w:t>Is there blood in the surrounding location?</w:t>
      </w:r>
    </w:p>
    <w:p w14:paraId="59E6C9D9" w14:textId="77777777" w:rsidR="002621FA" w:rsidRDefault="002621FA" w:rsidP="00785789">
      <w:pPr>
        <w:numPr>
          <w:ilvl w:val="0"/>
          <w:numId w:val="29"/>
        </w:numPr>
        <w:spacing w:after="240"/>
        <w:ind w:left="680" w:hanging="340"/>
        <w:contextualSpacing/>
      </w:pPr>
      <w:r>
        <w:t xml:space="preserve">Any tablets/powders/liquids present? </w:t>
      </w:r>
    </w:p>
    <w:p w14:paraId="05DA7402" w14:textId="77777777" w:rsidR="002621FA" w:rsidRDefault="002621FA" w:rsidP="00785789">
      <w:pPr>
        <w:numPr>
          <w:ilvl w:val="0"/>
          <w:numId w:val="29"/>
        </w:numPr>
        <w:spacing w:after="240"/>
        <w:ind w:left="680" w:hanging="340"/>
        <w:contextualSpacing/>
      </w:pPr>
      <w:r>
        <w:t>Note colour, markings, quantity of pills, and how they are stored.</w:t>
      </w:r>
    </w:p>
    <w:p w14:paraId="28A132F7" w14:textId="77777777" w:rsidR="002621FA" w:rsidRDefault="002621FA" w:rsidP="00785789">
      <w:pPr>
        <w:numPr>
          <w:ilvl w:val="0"/>
          <w:numId w:val="29"/>
        </w:numPr>
        <w:spacing w:after="240"/>
        <w:ind w:left="680" w:hanging="340"/>
        <w:contextualSpacing/>
      </w:pPr>
      <w:r>
        <w:t>Take photographs of any pills in situ (follow local guidance for capturing images).</w:t>
      </w:r>
    </w:p>
    <w:p w14:paraId="4B2CF716" w14:textId="77777777" w:rsidR="002621FA" w:rsidRDefault="002621FA" w:rsidP="00785789">
      <w:pPr>
        <w:numPr>
          <w:ilvl w:val="0"/>
          <w:numId w:val="29"/>
        </w:numPr>
        <w:spacing w:after="240"/>
        <w:ind w:left="680" w:hanging="340"/>
        <w:contextualSpacing/>
      </w:pPr>
      <w:r>
        <w:t>Seize other potential evidence such as syringes and/or other equipment.</w:t>
      </w:r>
    </w:p>
    <w:p w14:paraId="170FDA2A" w14:textId="77777777" w:rsidR="002621FA" w:rsidRDefault="002621FA" w:rsidP="00785789">
      <w:pPr>
        <w:numPr>
          <w:ilvl w:val="0"/>
          <w:numId w:val="29"/>
        </w:numPr>
        <w:spacing w:after="240"/>
        <w:ind w:left="680" w:hanging="340"/>
        <w:contextualSpacing/>
      </w:pPr>
      <w:r>
        <w:t>Seize all drugs and bags/containers as productions.</w:t>
      </w:r>
    </w:p>
    <w:p w14:paraId="5631488F" w14:textId="77777777" w:rsidR="002621FA" w:rsidRDefault="002621FA" w:rsidP="00785789">
      <w:pPr>
        <w:numPr>
          <w:ilvl w:val="0"/>
          <w:numId w:val="29"/>
        </w:numPr>
        <w:spacing w:after="240"/>
        <w:ind w:left="680" w:hanging="340"/>
        <w:contextualSpacing/>
      </w:pPr>
      <w:r>
        <w:t>Note amount of cash in locus, if any, and or any bank receipts printed.</w:t>
      </w:r>
    </w:p>
    <w:p w14:paraId="3BB984D8" w14:textId="77777777" w:rsidR="00785789" w:rsidRPr="00785789" w:rsidRDefault="00785789" w:rsidP="00785789">
      <w:pPr>
        <w:pStyle w:val="ListParagraph"/>
        <w:numPr>
          <w:ilvl w:val="0"/>
          <w:numId w:val="29"/>
        </w:numPr>
        <w:ind w:left="680" w:hanging="340"/>
        <w:rPr>
          <w:rFonts w:cs="Arial"/>
          <w:b/>
          <w:bCs/>
          <w:snapToGrid w:val="0"/>
          <w:color w:val="000000"/>
        </w:rPr>
      </w:pPr>
      <w:r w:rsidRPr="00785789">
        <w:rPr>
          <w:rFonts w:cs="Arial"/>
          <w:b/>
          <w:bCs/>
          <w:snapToGrid w:val="0"/>
          <w:color w:val="000000"/>
        </w:rPr>
        <w:t xml:space="preserve">‘Information has been removed due to its content being exempt in terms of the Freedom of Information (Scotland) Act 2002‘ </w:t>
      </w:r>
    </w:p>
    <w:p w14:paraId="572A25B7" w14:textId="77777777" w:rsidR="002621FA" w:rsidRPr="00785789" w:rsidRDefault="00785789" w:rsidP="00785789">
      <w:pPr>
        <w:spacing w:after="240"/>
        <w:ind w:left="680" w:hanging="340"/>
        <w:contextualSpacing/>
        <w:rPr>
          <w:iCs/>
        </w:rPr>
      </w:pPr>
      <w:r>
        <w:rPr>
          <w:rFonts w:cs="Arial"/>
          <w:b/>
          <w:iCs/>
          <w:color w:val="000000" w:themeColor="text1"/>
        </w:rPr>
        <w:t xml:space="preserve">     </w:t>
      </w:r>
      <w:r w:rsidR="00356A2E" w:rsidRPr="00785789">
        <w:rPr>
          <w:rFonts w:cs="Arial"/>
          <w:b/>
          <w:iCs/>
          <w:color w:val="000000" w:themeColor="text1"/>
        </w:rPr>
        <w:t>Exempted section 34(1) of the Act and section 35(1)(a)&amp;(b)</w:t>
      </w:r>
      <w:r w:rsidR="00356A2E" w:rsidRPr="00785789">
        <w:rPr>
          <w:b/>
          <w:iCs/>
          <w:color w:val="000000" w:themeColor="text1"/>
          <w:szCs w:val="24"/>
        </w:rPr>
        <w:tab/>
      </w:r>
    </w:p>
    <w:p w14:paraId="06F5AFC1" w14:textId="77777777" w:rsidR="002621FA" w:rsidRDefault="002621FA" w:rsidP="002621FA">
      <w:pPr>
        <w:widowControl w:val="0"/>
        <w:overflowPunct w:val="0"/>
        <w:autoSpaceDE w:val="0"/>
        <w:autoSpaceDN w:val="0"/>
        <w:adjustRightInd w:val="0"/>
        <w:spacing w:before="0" w:line="120" w:lineRule="auto"/>
        <w:contextualSpacing/>
        <w:textAlignment w:val="baseline"/>
        <w:rPr>
          <w:rFonts w:cs="Arial"/>
        </w:rPr>
      </w:pPr>
    </w:p>
    <w:p w14:paraId="1A644387" w14:textId="77777777" w:rsidR="002621FA" w:rsidRPr="00B42004" w:rsidRDefault="002621FA" w:rsidP="002621FA">
      <w:pPr>
        <w:widowControl w:val="0"/>
        <w:overflowPunct w:val="0"/>
        <w:autoSpaceDE w:val="0"/>
        <w:autoSpaceDN w:val="0"/>
        <w:adjustRightInd w:val="0"/>
        <w:spacing w:after="200"/>
        <w:textAlignment w:val="baseline"/>
        <w:rPr>
          <w:rFonts w:cs="Arial"/>
        </w:rPr>
      </w:pPr>
      <w:r w:rsidRPr="00B42004">
        <w:t>Due to the nature of these deaths, witnesses may try to conceal evidence.</w:t>
      </w:r>
    </w:p>
    <w:p w14:paraId="137F3F4D" w14:textId="77777777" w:rsidR="002621FA" w:rsidRDefault="002621FA" w:rsidP="002621FA">
      <w:pPr>
        <w:pStyle w:val="Heading3"/>
      </w:pPr>
      <w:bookmarkStart w:id="11" w:name="_Toc123027749"/>
      <w:bookmarkStart w:id="12" w:name="_Toc125971673"/>
      <w:r>
        <w:t>Examination</w:t>
      </w:r>
      <w:bookmarkEnd w:id="11"/>
      <w:bookmarkEnd w:id="12"/>
    </w:p>
    <w:p w14:paraId="13AC3BBA" w14:textId="77777777" w:rsidR="002621FA" w:rsidRDefault="002621FA" w:rsidP="002621FA">
      <w:pPr>
        <w:numPr>
          <w:ilvl w:val="0"/>
          <w:numId w:val="30"/>
        </w:numPr>
        <w:spacing w:after="240"/>
        <w:ind w:left="714" w:hanging="357"/>
        <w:contextualSpacing/>
      </w:pPr>
      <w:r>
        <w:t xml:space="preserve">Are there any wounds on body not consistent with current circumstances? </w:t>
      </w:r>
    </w:p>
    <w:p w14:paraId="517BFE60" w14:textId="77777777" w:rsidR="002621FA" w:rsidRDefault="002621FA" w:rsidP="002621FA">
      <w:pPr>
        <w:numPr>
          <w:ilvl w:val="0"/>
          <w:numId w:val="30"/>
        </w:numPr>
        <w:spacing w:after="240"/>
        <w:ind w:left="714" w:hanging="357"/>
        <w:contextualSpacing/>
      </w:pPr>
      <w:r>
        <w:t>Bruising, blood, sickness?</w:t>
      </w:r>
    </w:p>
    <w:p w14:paraId="1CDA7E5F" w14:textId="77777777" w:rsidR="002621FA" w:rsidRDefault="002621FA" w:rsidP="002621FA">
      <w:pPr>
        <w:numPr>
          <w:ilvl w:val="0"/>
          <w:numId w:val="30"/>
        </w:numPr>
        <w:spacing w:after="240"/>
        <w:ind w:left="714" w:hanging="357"/>
        <w:contextualSpacing/>
      </w:pPr>
      <w:r>
        <w:t xml:space="preserve">Signs of drug administration inconsistent with history given? </w:t>
      </w:r>
    </w:p>
    <w:p w14:paraId="052EBFA8" w14:textId="77777777" w:rsidR="002621FA" w:rsidRDefault="002621FA" w:rsidP="002621FA">
      <w:pPr>
        <w:numPr>
          <w:ilvl w:val="0"/>
          <w:numId w:val="30"/>
        </w:numPr>
        <w:spacing w:after="240"/>
        <w:ind w:left="714" w:hanging="357"/>
        <w:contextualSpacing/>
      </w:pPr>
      <w:r>
        <w:t xml:space="preserve">Was the body moved prior to your arrival? </w:t>
      </w:r>
    </w:p>
    <w:p w14:paraId="6D7B4BE6" w14:textId="77777777" w:rsidR="002621FA" w:rsidRDefault="002621FA" w:rsidP="002621FA">
      <w:pPr>
        <w:numPr>
          <w:ilvl w:val="0"/>
          <w:numId w:val="30"/>
        </w:numPr>
        <w:spacing w:after="240"/>
        <w:ind w:left="714" w:hanging="357"/>
        <w:contextualSpacing/>
      </w:pPr>
      <w:r>
        <w:t>If yes, ask for description how found?</w:t>
      </w:r>
    </w:p>
    <w:p w14:paraId="2E1B956A" w14:textId="77777777" w:rsidR="002621FA" w:rsidRDefault="002621FA" w:rsidP="002621FA">
      <w:pPr>
        <w:numPr>
          <w:ilvl w:val="0"/>
          <w:numId w:val="30"/>
        </w:numPr>
        <w:spacing w:after="240"/>
        <w:ind w:left="714" w:hanging="357"/>
        <w:contextualSpacing/>
      </w:pPr>
      <w:r>
        <w:t>Unusual disturbance at scene?</w:t>
      </w:r>
    </w:p>
    <w:p w14:paraId="733FDBD8" w14:textId="77777777" w:rsidR="002621FA" w:rsidRDefault="002621FA" w:rsidP="002621FA">
      <w:pPr>
        <w:numPr>
          <w:ilvl w:val="0"/>
          <w:numId w:val="30"/>
        </w:numPr>
        <w:spacing w:after="240"/>
        <w:ind w:left="714" w:hanging="357"/>
        <w:contextualSpacing/>
      </w:pPr>
      <w:r>
        <w:t>Is the property secure? Is it usually secure, any valuables missing?</w:t>
      </w:r>
    </w:p>
    <w:p w14:paraId="73E1F396" w14:textId="77777777" w:rsidR="002621FA" w:rsidRDefault="002621FA" w:rsidP="002621FA">
      <w:pPr>
        <w:numPr>
          <w:ilvl w:val="0"/>
          <w:numId w:val="30"/>
        </w:numPr>
        <w:spacing w:after="240"/>
        <w:ind w:left="714" w:hanging="357"/>
        <w:contextualSpacing/>
      </w:pPr>
      <w:r>
        <w:t>Any inconsistencies with the circumstances?</w:t>
      </w:r>
    </w:p>
    <w:p w14:paraId="3E4AC717" w14:textId="77777777" w:rsidR="002621FA" w:rsidRPr="003823DF" w:rsidRDefault="002621FA" w:rsidP="002621FA">
      <w:pPr>
        <w:numPr>
          <w:ilvl w:val="0"/>
          <w:numId w:val="30"/>
        </w:numPr>
        <w:spacing w:after="240"/>
        <w:ind w:left="714" w:hanging="357"/>
        <w:contextualSpacing/>
      </w:pPr>
      <w:r>
        <w:t>Who else is there and why</w:t>
      </w:r>
      <w:r w:rsidRPr="005825ED">
        <w:t>?</w:t>
      </w:r>
    </w:p>
    <w:p w14:paraId="55C49219" w14:textId="77777777" w:rsidR="002621FA" w:rsidRDefault="002621FA" w:rsidP="002621FA">
      <w:pPr>
        <w:widowControl w:val="0"/>
        <w:overflowPunct w:val="0"/>
        <w:autoSpaceDE w:val="0"/>
        <w:autoSpaceDN w:val="0"/>
        <w:adjustRightInd w:val="0"/>
        <w:spacing w:line="120" w:lineRule="auto"/>
        <w:contextualSpacing/>
        <w:textAlignment w:val="baseline"/>
        <w:rPr>
          <w:rFonts w:cs="Arial"/>
        </w:rPr>
      </w:pPr>
    </w:p>
    <w:p w14:paraId="7125B3A1" w14:textId="77777777" w:rsidR="002621FA" w:rsidRPr="00B42004" w:rsidRDefault="002621FA" w:rsidP="002621FA">
      <w:pPr>
        <w:widowControl w:val="0"/>
        <w:overflowPunct w:val="0"/>
        <w:autoSpaceDE w:val="0"/>
        <w:autoSpaceDN w:val="0"/>
        <w:adjustRightInd w:val="0"/>
        <w:spacing w:after="200"/>
        <w:textAlignment w:val="baseline"/>
        <w:rPr>
          <w:rFonts w:cs="Arial"/>
        </w:rPr>
      </w:pPr>
      <w:r w:rsidRPr="00B42004">
        <w:rPr>
          <w:rFonts w:cs="Arial"/>
        </w:rPr>
        <w:t>If you are suspicious that a drug has been administered by a 3rd party - request a supervisor’s attendance.</w:t>
      </w:r>
    </w:p>
    <w:p w14:paraId="4E690C91" w14:textId="77777777" w:rsidR="002621FA" w:rsidRPr="005D70E6" w:rsidRDefault="002621FA" w:rsidP="002621FA">
      <w:pPr>
        <w:pStyle w:val="Heading3"/>
      </w:pPr>
      <w:bookmarkStart w:id="13" w:name="_Toc123027750"/>
      <w:bookmarkStart w:id="14" w:name="_Toc125971674"/>
      <w:r w:rsidRPr="003F238A">
        <w:lastRenderedPageBreak/>
        <w:t>CID Involvement</w:t>
      </w:r>
      <w:bookmarkEnd w:id="13"/>
      <w:bookmarkEnd w:id="14"/>
    </w:p>
    <w:p w14:paraId="2F13F1DD" w14:textId="77777777" w:rsidR="002621FA" w:rsidRPr="003F238A" w:rsidRDefault="002621FA" w:rsidP="002621FA">
      <w:pPr>
        <w:numPr>
          <w:ilvl w:val="0"/>
          <w:numId w:val="31"/>
        </w:numPr>
        <w:spacing w:after="240"/>
        <w:ind w:left="714" w:hanging="357"/>
        <w:contextualSpacing/>
      </w:pPr>
      <w:r>
        <w:t>CID officers will ensure uniform c</w:t>
      </w:r>
      <w:r w:rsidRPr="003F238A">
        <w:t>olleagues have full control of the scene and that all witnesses are secured.</w:t>
      </w:r>
    </w:p>
    <w:p w14:paraId="2B32874C" w14:textId="77777777" w:rsidR="002621FA" w:rsidRPr="003F238A" w:rsidRDefault="002621FA" w:rsidP="002621FA">
      <w:pPr>
        <w:numPr>
          <w:ilvl w:val="0"/>
          <w:numId w:val="31"/>
        </w:numPr>
        <w:spacing w:after="240"/>
        <w:ind w:left="714" w:hanging="357"/>
        <w:contextualSpacing/>
      </w:pPr>
      <w:r w:rsidRPr="003F238A">
        <w:t xml:space="preserve">CID officer(s) </w:t>
      </w:r>
      <w:r>
        <w:t xml:space="preserve">to </w:t>
      </w:r>
      <w:r w:rsidRPr="003F238A">
        <w:t>attend scene and make enquires with uniform colleagues.</w:t>
      </w:r>
    </w:p>
    <w:p w14:paraId="4C7D4A8C" w14:textId="77777777" w:rsidR="0035386E" w:rsidRPr="0035386E" w:rsidRDefault="002621FA" w:rsidP="0035386E">
      <w:pPr>
        <w:pStyle w:val="ListParagraph"/>
        <w:numPr>
          <w:ilvl w:val="0"/>
          <w:numId w:val="31"/>
        </w:numPr>
        <w:spacing w:line="259" w:lineRule="auto"/>
        <w:rPr>
          <w:rFonts w:cs="Arial"/>
          <w:b/>
          <w:bCs/>
          <w:snapToGrid w:val="0"/>
          <w:color w:val="000000"/>
        </w:rPr>
      </w:pPr>
      <w:r w:rsidRPr="003F238A">
        <w:t xml:space="preserve">CID officers to make all appropriate checks </w:t>
      </w:r>
      <w:r w:rsidR="0035386E" w:rsidRPr="0035386E">
        <w:rPr>
          <w:rFonts w:cs="Arial"/>
          <w:b/>
          <w:bCs/>
          <w:snapToGrid w:val="0"/>
          <w:color w:val="000000"/>
        </w:rPr>
        <w:t xml:space="preserve">‘Information has been removed due to its content being exempt in terms of the Freedom of Information (Scotland) Act 2002‘ </w:t>
      </w:r>
    </w:p>
    <w:p w14:paraId="7DA1B1D3" w14:textId="77777777" w:rsidR="00356A2E" w:rsidRPr="0035386E" w:rsidRDefault="0035386E" w:rsidP="0035386E">
      <w:pPr>
        <w:spacing w:after="240"/>
        <w:ind w:left="714"/>
        <w:contextualSpacing/>
        <w:rPr>
          <w:iCs/>
        </w:rPr>
      </w:pPr>
      <w:r>
        <w:rPr>
          <w:rFonts w:cs="Arial"/>
          <w:b/>
          <w:iCs/>
          <w:color w:val="000000" w:themeColor="text1"/>
        </w:rPr>
        <w:t>E</w:t>
      </w:r>
      <w:r w:rsidR="00356A2E" w:rsidRPr="0035386E">
        <w:rPr>
          <w:rFonts w:cs="Arial"/>
          <w:b/>
          <w:iCs/>
          <w:color w:val="000000" w:themeColor="text1"/>
        </w:rPr>
        <w:t>xempted section 34(1) of the Act and section 35(1)(a)&amp;(b)</w:t>
      </w:r>
      <w:r w:rsidR="00356A2E" w:rsidRPr="0035386E">
        <w:rPr>
          <w:b/>
          <w:iCs/>
          <w:color w:val="000000" w:themeColor="text1"/>
          <w:szCs w:val="24"/>
        </w:rPr>
        <w:tab/>
      </w:r>
    </w:p>
    <w:p w14:paraId="3F2FEB1B" w14:textId="77777777" w:rsidR="002621FA" w:rsidRPr="003F238A" w:rsidRDefault="002621FA" w:rsidP="002621FA">
      <w:pPr>
        <w:numPr>
          <w:ilvl w:val="0"/>
          <w:numId w:val="31"/>
        </w:numPr>
        <w:spacing w:after="240"/>
        <w:ind w:left="714" w:hanging="357"/>
        <w:contextualSpacing/>
      </w:pPr>
      <w:r w:rsidRPr="003F238A">
        <w:t>CID officers thereafter confirm that circumstances meet the criteria for a suspected DRD and inform CID supervisor.</w:t>
      </w:r>
    </w:p>
    <w:p w14:paraId="2C5B439A" w14:textId="77777777" w:rsidR="002621FA" w:rsidRPr="003F238A" w:rsidRDefault="002621FA" w:rsidP="002621FA">
      <w:pPr>
        <w:numPr>
          <w:ilvl w:val="0"/>
          <w:numId w:val="31"/>
        </w:numPr>
        <w:spacing w:after="240"/>
        <w:ind w:left="714" w:hanging="357"/>
        <w:contextualSpacing/>
      </w:pPr>
      <w:r>
        <w:t>If applicable a CID supervisor will follow Divisional CID on call notification protocols.</w:t>
      </w:r>
    </w:p>
    <w:p w14:paraId="443D27CA" w14:textId="77777777" w:rsidR="002621FA" w:rsidRPr="00002BFB" w:rsidRDefault="002621FA" w:rsidP="002621FA">
      <w:pPr>
        <w:numPr>
          <w:ilvl w:val="0"/>
          <w:numId w:val="31"/>
        </w:numPr>
        <w:spacing w:after="240"/>
        <w:ind w:left="714" w:hanging="357"/>
        <w:contextualSpacing/>
      </w:pPr>
      <w:r w:rsidRPr="003F238A">
        <w:t xml:space="preserve">Where applicable, </w:t>
      </w:r>
      <w:r>
        <w:t xml:space="preserve">consider the deployment </w:t>
      </w:r>
      <w:r w:rsidRPr="003F238A">
        <w:t>of a Crime Scene Manager (CSM) to assess the scene and review all forensic opportunities.</w:t>
      </w:r>
    </w:p>
    <w:p w14:paraId="792C36BD" w14:textId="77777777" w:rsidR="00AA7CEC" w:rsidRPr="0005219C" w:rsidRDefault="002621FA" w:rsidP="0005219C">
      <w:pPr>
        <w:pStyle w:val="Heading2"/>
        <w:numPr>
          <w:ilvl w:val="0"/>
          <w:numId w:val="15"/>
        </w:numPr>
      </w:pPr>
      <w:bookmarkStart w:id="15" w:name="_Toc125971675"/>
      <w:r>
        <w:t>Police System Checks</w:t>
      </w:r>
      <w:bookmarkEnd w:id="15"/>
    </w:p>
    <w:p w14:paraId="303CE001" w14:textId="77777777" w:rsidR="0035386E" w:rsidRPr="003C1632" w:rsidRDefault="002621FA" w:rsidP="0035386E">
      <w:pPr>
        <w:spacing w:line="259" w:lineRule="auto"/>
        <w:rPr>
          <w:rFonts w:cs="Arial"/>
          <w:b/>
          <w:bCs/>
          <w:snapToGrid w:val="0"/>
          <w:color w:val="000000"/>
        </w:rPr>
      </w:pPr>
      <w:r w:rsidRPr="00F75A9F">
        <w:rPr>
          <w:rFonts w:cs="Arial"/>
          <w:szCs w:val="24"/>
          <w:lang w:val="en"/>
        </w:rPr>
        <w:t>All suspected and known DRDs should have full Police system checks carried out.</w:t>
      </w:r>
      <w:r w:rsidR="0035386E">
        <w:rPr>
          <w:rFonts w:cs="Arial"/>
          <w:szCs w:val="24"/>
          <w:lang w:val="en"/>
        </w:rPr>
        <w:t xml:space="preserve"> </w:t>
      </w:r>
      <w:r w:rsidR="0035386E" w:rsidRPr="003C1632">
        <w:rPr>
          <w:rFonts w:cs="Arial"/>
          <w:b/>
          <w:bCs/>
          <w:snapToGrid w:val="0"/>
          <w:color w:val="000000"/>
        </w:rPr>
        <w:t xml:space="preserve">‘Information has been removed due to its content being exempt in terms of the Freedom of Information (Scotland) Act 2002‘ </w:t>
      </w:r>
    </w:p>
    <w:p w14:paraId="2A6A5D35" w14:textId="77777777" w:rsidR="00356A2E" w:rsidRPr="0035386E" w:rsidRDefault="00356A2E" w:rsidP="002621FA">
      <w:pPr>
        <w:spacing w:after="200"/>
        <w:rPr>
          <w:b/>
          <w:iCs/>
          <w:color w:val="000000" w:themeColor="text1"/>
          <w:szCs w:val="24"/>
        </w:rPr>
      </w:pPr>
      <w:r w:rsidRPr="0035386E">
        <w:rPr>
          <w:rFonts w:cs="Arial"/>
          <w:b/>
          <w:iCs/>
          <w:color w:val="000000" w:themeColor="text1"/>
        </w:rPr>
        <w:t>Exempted section 34(1) of the Act and section 35(1)(a)&amp;(b)</w:t>
      </w:r>
      <w:r w:rsidRPr="0035386E">
        <w:rPr>
          <w:b/>
          <w:iCs/>
          <w:color w:val="000000" w:themeColor="text1"/>
          <w:szCs w:val="24"/>
        </w:rPr>
        <w:tab/>
      </w:r>
    </w:p>
    <w:p w14:paraId="4D8681BC" w14:textId="77777777" w:rsidR="002621FA" w:rsidRPr="00F75A9F" w:rsidRDefault="002621FA" w:rsidP="002621FA">
      <w:pPr>
        <w:spacing w:after="200"/>
        <w:rPr>
          <w:rFonts w:cs="Arial"/>
          <w:szCs w:val="24"/>
          <w:lang w:val="en"/>
        </w:rPr>
      </w:pPr>
      <w:r w:rsidRPr="00F75A9F">
        <w:rPr>
          <w:rFonts w:cs="Arial"/>
          <w:szCs w:val="24"/>
          <w:lang w:val="en"/>
        </w:rPr>
        <w:t>Additionally, early identification of any associations to known drug dealers may assist in ascertaining local and/or national drug distribution patterns for further enquiry.</w:t>
      </w:r>
    </w:p>
    <w:p w14:paraId="3C2BEE13" w14:textId="77777777" w:rsidR="002621FA" w:rsidRDefault="002621FA" w:rsidP="00356A2E">
      <w:pPr>
        <w:spacing w:after="200"/>
        <w:rPr>
          <w:rFonts w:cs="Arial"/>
          <w:szCs w:val="24"/>
          <w:lang w:val="en"/>
        </w:rPr>
      </w:pPr>
      <w:r w:rsidRPr="00F75A9F">
        <w:rPr>
          <w:rFonts w:cs="Arial"/>
          <w:szCs w:val="24"/>
          <w:lang w:val="en"/>
        </w:rPr>
        <w:t xml:space="preserve">Police system checks should be carried out on the deceased and any individual identified as a person of interest or connected to the deceased. Police system checks should include information pertaining to the locus and any mobile phone numbers identified. </w:t>
      </w:r>
    </w:p>
    <w:p w14:paraId="7C593480" w14:textId="77777777" w:rsidR="0035386E" w:rsidRPr="003C1632" w:rsidRDefault="0035386E" w:rsidP="0035386E">
      <w:pPr>
        <w:spacing w:line="259" w:lineRule="auto"/>
        <w:rPr>
          <w:rFonts w:cs="Arial"/>
          <w:b/>
          <w:bCs/>
          <w:snapToGrid w:val="0"/>
          <w:color w:val="000000"/>
        </w:rPr>
      </w:pPr>
      <w:r w:rsidRPr="003C1632">
        <w:rPr>
          <w:rFonts w:cs="Arial"/>
          <w:b/>
          <w:bCs/>
          <w:snapToGrid w:val="0"/>
          <w:color w:val="000000"/>
        </w:rPr>
        <w:t xml:space="preserve">‘Information has been removed due to its content being exempt in terms of the Freedom of Information (Scotland) Act 2002‘ </w:t>
      </w:r>
    </w:p>
    <w:p w14:paraId="05401E65" w14:textId="77777777" w:rsidR="00356A2E" w:rsidRPr="0035386E" w:rsidRDefault="00356A2E" w:rsidP="00356A2E">
      <w:pPr>
        <w:spacing w:after="200"/>
        <w:rPr>
          <w:rFonts w:cs="Arial"/>
          <w:iCs/>
          <w:lang w:val="en"/>
        </w:rPr>
      </w:pPr>
      <w:r w:rsidRPr="0035386E">
        <w:rPr>
          <w:rFonts w:cs="Arial"/>
          <w:b/>
          <w:iCs/>
          <w:color w:val="000000" w:themeColor="text1"/>
        </w:rPr>
        <w:t>Exempted section 34(1) of the Act and section 35(1)(a)&amp;(b)</w:t>
      </w:r>
      <w:r w:rsidRPr="0035386E">
        <w:rPr>
          <w:b/>
          <w:iCs/>
          <w:color w:val="000000" w:themeColor="text1"/>
          <w:szCs w:val="24"/>
        </w:rPr>
        <w:tab/>
      </w:r>
    </w:p>
    <w:p w14:paraId="07DAC0F7" w14:textId="77777777" w:rsidR="002621FA" w:rsidRPr="005D70E6" w:rsidRDefault="002621FA" w:rsidP="002621FA">
      <w:pPr>
        <w:spacing w:after="200"/>
        <w:contextualSpacing/>
        <w:rPr>
          <w:rFonts w:cs="Arial"/>
          <w:szCs w:val="24"/>
        </w:rPr>
      </w:pPr>
      <w:r w:rsidRPr="00F75A9F">
        <w:rPr>
          <w:rFonts w:cs="Arial"/>
          <w:szCs w:val="24"/>
        </w:rPr>
        <w:lastRenderedPageBreak/>
        <w:t>Investigating Officers should consider requesting the assistance of their Divisional Intelligence Officers to assist with SID related searches request</w:t>
      </w:r>
      <w:r>
        <w:rPr>
          <w:rFonts w:cs="Arial"/>
          <w:szCs w:val="24"/>
        </w:rPr>
        <w:t>ing the following:</w:t>
      </w:r>
    </w:p>
    <w:p w14:paraId="6E298703" w14:textId="77777777" w:rsidR="0035386E" w:rsidRPr="003C1632" w:rsidRDefault="0035386E" w:rsidP="0035386E">
      <w:pPr>
        <w:spacing w:line="259" w:lineRule="auto"/>
        <w:rPr>
          <w:rFonts w:cs="Arial"/>
          <w:b/>
          <w:bCs/>
          <w:snapToGrid w:val="0"/>
          <w:color w:val="000000"/>
        </w:rPr>
      </w:pPr>
      <w:r w:rsidRPr="003C1632">
        <w:rPr>
          <w:rFonts w:cs="Arial"/>
          <w:b/>
          <w:bCs/>
          <w:snapToGrid w:val="0"/>
          <w:color w:val="000000"/>
        </w:rPr>
        <w:t xml:space="preserve">‘Information has been removed due to its content being exempt in terms of the Freedom of Information (Scotland) Act 2002‘ </w:t>
      </w:r>
    </w:p>
    <w:p w14:paraId="4A2D82A3" w14:textId="77777777" w:rsidR="00FD5234" w:rsidRPr="0035386E" w:rsidRDefault="00356A2E" w:rsidP="002621FA">
      <w:pPr>
        <w:pStyle w:val="NoSpacing"/>
        <w:spacing w:before="240" w:after="200" w:line="336" w:lineRule="auto"/>
        <w:rPr>
          <w:b/>
          <w:iCs/>
          <w:color w:val="000000" w:themeColor="text1"/>
          <w:szCs w:val="24"/>
        </w:rPr>
      </w:pPr>
      <w:r w:rsidRPr="0035386E">
        <w:rPr>
          <w:rFonts w:cs="Arial"/>
          <w:b/>
          <w:iCs/>
          <w:color w:val="000000" w:themeColor="text1"/>
        </w:rPr>
        <w:t>Exempted section 34(1) of the Act and section 35(1)(a)&amp;(b)</w:t>
      </w:r>
      <w:r w:rsidRPr="0035386E">
        <w:rPr>
          <w:b/>
          <w:iCs/>
          <w:color w:val="000000" w:themeColor="text1"/>
          <w:szCs w:val="24"/>
        </w:rPr>
        <w:tab/>
      </w:r>
    </w:p>
    <w:p w14:paraId="4EF98D7E" w14:textId="77777777" w:rsidR="002621FA" w:rsidRPr="008E6D7C" w:rsidRDefault="002621FA" w:rsidP="002621FA">
      <w:pPr>
        <w:pStyle w:val="NoSpacing"/>
        <w:spacing w:before="240" w:after="200" w:line="336" w:lineRule="auto"/>
        <w:rPr>
          <w:rFonts w:cs="Arial"/>
          <w:szCs w:val="24"/>
        </w:rPr>
      </w:pPr>
      <w:r w:rsidRPr="00F75A9F">
        <w:rPr>
          <w:rFonts w:cs="Arial"/>
          <w:szCs w:val="24"/>
        </w:rPr>
        <w:t>A general summary of findings should include persons of potential interest, commodity type, description and recommendations for further enquiry or intelligence development; this should be used to investigate the DRD.</w:t>
      </w:r>
    </w:p>
    <w:p w14:paraId="56B5F24A" w14:textId="77777777" w:rsidR="00452C76" w:rsidRPr="00132405" w:rsidRDefault="00D05399" w:rsidP="0005219C">
      <w:pPr>
        <w:pStyle w:val="Heading2"/>
        <w:numPr>
          <w:ilvl w:val="0"/>
          <w:numId w:val="15"/>
        </w:numPr>
        <w:rPr>
          <w:rFonts w:cs="Arial"/>
          <w:szCs w:val="24"/>
        </w:rPr>
      </w:pPr>
      <w:bookmarkStart w:id="16" w:name="_Toc125971676"/>
      <w:r>
        <w:t>Mobile Telephone Examination</w:t>
      </w:r>
      <w:bookmarkEnd w:id="16"/>
    </w:p>
    <w:p w14:paraId="1D1CE0B8" w14:textId="77777777" w:rsidR="00D05399" w:rsidRDefault="00D05399" w:rsidP="00D05399">
      <w:pPr>
        <w:spacing w:after="200"/>
      </w:pPr>
      <w:r>
        <w:t xml:space="preserve">Mobile telephone devices found at a DRD that are assessed as being current / in use by the deceased should be seized and confirmation sought to whether or not they are password protected. At this time, there should be no manual examination of the contents of the device. </w:t>
      </w:r>
    </w:p>
    <w:p w14:paraId="77E5B288" w14:textId="77777777" w:rsidR="00D05399" w:rsidRDefault="00D05399" w:rsidP="00D05399">
      <w:pPr>
        <w:spacing w:after="200"/>
      </w:pPr>
      <w:r>
        <w:t xml:space="preserve">Investigating officers should then request initial examination in line with the </w:t>
      </w:r>
      <w:r w:rsidRPr="00BC1ACD">
        <w:rPr>
          <w:rStyle w:val="Hyperlink"/>
          <w:color w:val="000000" w:themeColor="text1"/>
          <w:u w:val="none"/>
        </w:rPr>
        <w:t>Cyber Kiosk National Guidance.</w:t>
      </w:r>
      <w:r>
        <w:t xml:space="preserve"> </w:t>
      </w:r>
    </w:p>
    <w:p w14:paraId="41FEF462" w14:textId="77777777" w:rsidR="0035386E" w:rsidRPr="003C1632" w:rsidRDefault="0035386E" w:rsidP="0035386E">
      <w:pPr>
        <w:spacing w:line="259" w:lineRule="auto"/>
        <w:rPr>
          <w:rFonts w:cs="Arial"/>
          <w:b/>
          <w:bCs/>
          <w:snapToGrid w:val="0"/>
          <w:color w:val="000000"/>
        </w:rPr>
      </w:pPr>
      <w:r w:rsidRPr="003C1632">
        <w:rPr>
          <w:rFonts w:cs="Arial"/>
          <w:b/>
          <w:bCs/>
          <w:snapToGrid w:val="0"/>
          <w:color w:val="000000"/>
        </w:rPr>
        <w:t xml:space="preserve">‘Information has been removed due to its content being exempt in terms of the Freedom of Information (Scotland) Act 2002‘ </w:t>
      </w:r>
    </w:p>
    <w:p w14:paraId="6CF21982" w14:textId="77777777" w:rsidR="00FD5234" w:rsidRPr="0035386E" w:rsidRDefault="00FD5234" w:rsidP="00D05399">
      <w:pPr>
        <w:spacing w:after="200"/>
        <w:rPr>
          <w:b/>
          <w:iCs/>
          <w:color w:val="000000" w:themeColor="text1"/>
          <w:szCs w:val="24"/>
        </w:rPr>
      </w:pPr>
      <w:r w:rsidRPr="0035386E">
        <w:rPr>
          <w:rFonts w:cs="Arial"/>
          <w:b/>
          <w:iCs/>
          <w:color w:val="000000" w:themeColor="text1"/>
        </w:rPr>
        <w:t>Exempted section 34(1) of the Act and section 35(1)(a)&amp;(b)</w:t>
      </w:r>
      <w:r w:rsidRPr="0035386E">
        <w:rPr>
          <w:b/>
          <w:iCs/>
          <w:color w:val="000000" w:themeColor="text1"/>
          <w:szCs w:val="24"/>
        </w:rPr>
        <w:tab/>
      </w:r>
    </w:p>
    <w:p w14:paraId="1EC97C20" w14:textId="77777777" w:rsidR="00D3666C" w:rsidRDefault="00D05399" w:rsidP="00D05399">
      <w:pPr>
        <w:spacing w:after="200"/>
        <w:rPr>
          <w:rFonts w:cs="Arial"/>
          <w:b/>
          <w:i/>
          <w:color w:val="000000" w:themeColor="text1"/>
        </w:rPr>
      </w:pPr>
      <w:r>
        <w:t>The following should be adhered to where a telephone examination is concerned:</w:t>
      </w:r>
      <w:r w:rsidR="00D3666C" w:rsidRPr="00D3666C">
        <w:rPr>
          <w:rFonts w:cs="Arial"/>
          <w:b/>
          <w:i/>
          <w:color w:val="000000" w:themeColor="text1"/>
        </w:rPr>
        <w:t xml:space="preserve"> </w:t>
      </w:r>
    </w:p>
    <w:p w14:paraId="32ABA0AE" w14:textId="77777777" w:rsidR="0035386E" w:rsidRPr="003C1632" w:rsidRDefault="0035386E" w:rsidP="0035386E">
      <w:pPr>
        <w:spacing w:line="259" w:lineRule="auto"/>
        <w:rPr>
          <w:rFonts w:cs="Arial"/>
          <w:b/>
          <w:bCs/>
          <w:snapToGrid w:val="0"/>
          <w:color w:val="000000"/>
        </w:rPr>
      </w:pPr>
      <w:r w:rsidRPr="003C1632">
        <w:rPr>
          <w:rFonts w:cs="Arial"/>
          <w:b/>
          <w:bCs/>
          <w:snapToGrid w:val="0"/>
          <w:color w:val="000000"/>
        </w:rPr>
        <w:t xml:space="preserve">‘Information has been removed due to its content being exempt in terms of the Freedom of Information (Scotland) Act 2002‘ </w:t>
      </w:r>
    </w:p>
    <w:p w14:paraId="7D4010DE" w14:textId="77777777" w:rsidR="00D05399" w:rsidRPr="0035386E" w:rsidRDefault="00D3666C" w:rsidP="00D05399">
      <w:pPr>
        <w:spacing w:after="200"/>
        <w:rPr>
          <w:iCs/>
        </w:rPr>
      </w:pPr>
      <w:r w:rsidRPr="0035386E">
        <w:rPr>
          <w:rFonts w:cs="Arial"/>
          <w:b/>
          <w:iCs/>
          <w:color w:val="000000" w:themeColor="text1"/>
        </w:rPr>
        <w:t>Exempted section 34(1) of the Act and section 35(1)(a)&amp;(b)</w:t>
      </w:r>
      <w:r w:rsidRPr="0035386E">
        <w:rPr>
          <w:b/>
          <w:iCs/>
          <w:color w:val="000000" w:themeColor="text1"/>
          <w:szCs w:val="24"/>
        </w:rPr>
        <w:tab/>
      </w:r>
    </w:p>
    <w:p w14:paraId="1DD416CD" w14:textId="77777777" w:rsidR="00D05399" w:rsidRDefault="00D05399" w:rsidP="00D05399">
      <w:pPr>
        <w:spacing w:before="0" w:line="120" w:lineRule="auto"/>
      </w:pPr>
    </w:p>
    <w:p w14:paraId="6C7B7D94" w14:textId="77777777" w:rsidR="00132405" w:rsidRDefault="00D3666C" w:rsidP="0005219C">
      <w:pPr>
        <w:pStyle w:val="Heading2"/>
        <w:numPr>
          <w:ilvl w:val="0"/>
          <w:numId w:val="15"/>
        </w:numPr>
      </w:pPr>
      <w:bookmarkStart w:id="17" w:name="_Toc125971677"/>
      <w:bookmarkEnd w:id="4"/>
      <w:r>
        <w:t>O</w:t>
      </w:r>
      <w:r w:rsidR="00D05399">
        <w:t>ther Investigative Considerations</w:t>
      </w:r>
      <w:bookmarkEnd w:id="17"/>
    </w:p>
    <w:p w14:paraId="588D7F11" w14:textId="77777777" w:rsidR="00D05399" w:rsidRDefault="00D05399" w:rsidP="00D05399">
      <w:pPr>
        <w:spacing w:after="200"/>
      </w:pPr>
      <w:r>
        <w:t xml:space="preserve">When investigating a DRD the general investigative principles for all criminality apply. The </w:t>
      </w:r>
      <w:r w:rsidRPr="00BC1ACD">
        <w:rPr>
          <w:rStyle w:val="Hyperlink"/>
          <w:color w:val="000000" w:themeColor="text1"/>
          <w:u w:val="none"/>
        </w:rPr>
        <w:t>Crime Investigation SOP</w:t>
      </w:r>
      <w:r w:rsidRPr="00BC1ACD">
        <w:rPr>
          <w:color w:val="000000" w:themeColor="text1"/>
        </w:rPr>
        <w:t xml:space="preserve"> </w:t>
      </w:r>
      <w:r>
        <w:t>provides more detailed guidance. Officers should consider the following where applicable:</w:t>
      </w:r>
    </w:p>
    <w:p w14:paraId="47508305" w14:textId="77777777" w:rsidR="00D05399" w:rsidRDefault="00D05399" w:rsidP="00D05399">
      <w:pPr>
        <w:spacing w:before="0" w:line="120" w:lineRule="auto"/>
      </w:pPr>
    </w:p>
    <w:p w14:paraId="76BF3A78" w14:textId="77777777" w:rsidR="00D05399" w:rsidRDefault="00D05399" w:rsidP="00D05399">
      <w:pPr>
        <w:numPr>
          <w:ilvl w:val="0"/>
          <w:numId w:val="37"/>
        </w:numPr>
        <w:spacing w:after="240"/>
        <w:ind w:left="714" w:hanging="357"/>
        <w:contextualSpacing/>
      </w:pPr>
      <w:r>
        <w:t>House to House – can neighbours describe a frequent visitor to the locus? Abnormal behaviour of the deceased or guests? Any associates names mentioned?</w:t>
      </w:r>
    </w:p>
    <w:p w14:paraId="2132FDC3" w14:textId="77777777" w:rsidR="00D05399" w:rsidRDefault="00D05399" w:rsidP="00D05399">
      <w:pPr>
        <w:numPr>
          <w:ilvl w:val="0"/>
          <w:numId w:val="37"/>
        </w:numPr>
        <w:spacing w:after="240"/>
        <w:ind w:left="714" w:hanging="357"/>
        <w:contextualSpacing/>
      </w:pPr>
      <w:r>
        <w:t>Check for any CCTV in the area – consider local shops or a pharmacy visited daily?</w:t>
      </w:r>
    </w:p>
    <w:p w14:paraId="3C3DF888" w14:textId="77777777" w:rsidR="00D05399" w:rsidRDefault="00D05399" w:rsidP="00D05399">
      <w:pPr>
        <w:numPr>
          <w:ilvl w:val="0"/>
          <w:numId w:val="37"/>
        </w:numPr>
        <w:spacing w:after="240"/>
        <w:ind w:left="714" w:hanging="357"/>
        <w:contextualSpacing/>
      </w:pPr>
      <w:r>
        <w:t>Provide contact details to family.</w:t>
      </w:r>
    </w:p>
    <w:p w14:paraId="30745951" w14:textId="77777777" w:rsidR="00D05399" w:rsidRDefault="00D05399" w:rsidP="00D05399">
      <w:pPr>
        <w:numPr>
          <w:ilvl w:val="0"/>
          <w:numId w:val="37"/>
        </w:numPr>
        <w:spacing w:after="240"/>
        <w:ind w:left="714" w:hanging="357"/>
        <w:contextualSpacing/>
      </w:pPr>
      <w:r>
        <w:t xml:space="preserve">Inform </w:t>
      </w:r>
      <w:r w:rsidRPr="00BC1ACD">
        <w:rPr>
          <w:rStyle w:val="Hyperlink"/>
          <w:color w:val="000000" w:themeColor="text1"/>
          <w:u w:val="none"/>
        </w:rPr>
        <w:t>local IDU</w:t>
      </w:r>
      <w:r w:rsidRPr="00BC1ACD">
        <w:rPr>
          <w:color w:val="000000" w:themeColor="text1"/>
        </w:rPr>
        <w:t>.</w:t>
      </w:r>
    </w:p>
    <w:p w14:paraId="7A933F14" w14:textId="77777777" w:rsidR="00D05399" w:rsidRDefault="00D05399" w:rsidP="00D05399">
      <w:pPr>
        <w:numPr>
          <w:ilvl w:val="0"/>
          <w:numId w:val="37"/>
        </w:numPr>
        <w:spacing w:after="240"/>
        <w:ind w:left="714" w:hanging="357"/>
        <w:contextualSpacing/>
      </w:pPr>
      <w:r>
        <w:t xml:space="preserve">Submit SID log of death and circumstances – message to </w:t>
      </w:r>
      <w:r w:rsidRPr="005825ED">
        <w:t>Specialist Crime Division National Intelligence Bureau (SCD NIB)</w:t>
      </w:r>
      <w:r>
        <w:t xml:space="preserve"> for the attention of Op ERSO.</w:t>
      </w:r>
    </w:p>
    <w:p w14:paraId="7DE7ED7B" w14:textId="77777777" w:rsidR="00D05399" w:rsidRDefault="00D05399" w:rsidP="00D05399">
      <w:pPr>
        <w:numPr>
          <w:ilvl w:val="0"/>
          <w:numId w:val="37"/>
        </w:numPr>
        <w:spacing w:after="240"/>
        <w:ind w:left="714" w:hanging="357"/>
        <w:contextualSpacing/>
      </w:pPr>
      <w:r>
        <w:t>Submit SID logs of any additional relevant information with the SID Headings DRUG DEATH – message to SCD NIB FAO Op ERSO.</w:t>
      </w:r>
    </w:p>
    <w:p w14:paraId="458E7468" w14:textId="77777777" w:rsidR="00892C3D" w:rsidRPr="00892C3D" w:rsidRDefault="00D05399" w:rsidP="00892C3D">
      <w:pPr>
        <w:pStyle w:val="ListParagraph"/>
        <w:numPr>
          <w:ilvl w:val="0"/>
          <w:numId w:val="37"/>
        </w:numPr>
        <w:spacing w:line="259" w:lineRule="auto"/>
        <w:rPr>
          <w:rFonts w:cs="Arial"/>
          <w:b/>
          <w:bCs/>
          <w:snapToGrid w:val="0"/>
          <w:color w:val="000000"/>
        </w:rPr>
      </w:pPr>
      <w:r>
        <w:t xml:space="preserve">Email Op ERSO </w:t>
      </w:r>
      <w:r w:rsidR="00892C3D" w:rsidRPr="00892C3D">
        <w:rPr>
          <w:rFonts w:cs="Arial"/>
          <w:b/>
          <w:bCs/>
          <w:snapToGrid w:val="0"/>
          <w:color w:val="000000"/>
        </w:rPr>
        <w:t xml:space="preserve">‘Information has been removed due to its content being exempt in terms of the Freedom of Information (Scotland) Act 2002‘ </w:t>
      </w:r>
    </w:p>
    <w:p w14:paraId="051482D7" w14:textId="77777777" w:rsidR="00D05399" w:rsidRPr="00D80EBC" w:rsidRDefault="00D3666C" w:rsidP="00892C3D">
      <w:pPr>
        <w:spacing w:after="240"/>
        <w:ind w:left="714"/>
        <w:contextualSpacing/>
        <w:rPr>
          <w:color w:val="000000" w:themeColor="text1"/>
        </w:rPr>
      </w:pPr>
      <w:r w:rsidRPr="00892C3D">
        <w:rPr>
          <w:rStyle w:val="Hyperlink"/>
          <w:b/>
          <w:iCs/>
          <w:color w:val="auto"/>
          <w:u w:val="none"/>
        </w:rPr>
        <w:t>Exempted section 30(c)</w:t>
      </w:r>
      <w:r>
        <w:rPr>
          <w:b/>
          <w:i/>
        </w:rPr>
        <w:t xml:space="preserve"> </w:t>
      </w:r>
      <w:r w:rsidR="00D05399">
        <w:t xml:space="preserve">with incident number, death report number and synopsis/copy of report; including additional questions as detailed in the </w:t>
      </w:r>
      <w:r w:rsidR="00D05399">
        <w:rPr>
          <w:color w:val="000000" w:themeColor="text1"/>
        </w:rPr>
        <w:t>Operation Erso - Checklist</w:t>
      </w:r>
      <w:r w:rsidR="00D05399" w:rsidRPr="00D80EBC">
        <w:rPr>
          <w:color w:val="000000" w:themeColor="text1"/>
        </w:rPr>
        <w:t xml:space="preserve"> (form </w:t>
      </w:r>
      <w:r w:rsidR="00D05399" w:rsidRPr="00BC1ACD">
        <w:rPr>
          <w:rStyle w:val="Hyperlink"/>
          <w:color w:val="000000" w:themeColor="text1"/>
          <w:u w:val="none"/>
        </w:rPr>
        <w:t>084-031</w:t>
      </w:r>
      <w:r w:rsidR="00D05399" w:rsidRPr="00D80EBC">
        <w:rPr>
          <w:color w:val="000000" w:themeColor="text1"/>
        </w:rPr>
        <w:t>).</w:t>
      </w:r>
    </w:p>
    <w:p w14:paraId="7EEC2966" w14:textId="77777777" w:rsidR="00D05399" w:rsidRDefault="00D05399" w:rsidP="00D05399">
      <w:pPr>
        <w:tabs>
          <w:tab w:val="left" w:pos="1200"/>
          <w:tab w:val="left" w:pos="2240"/>
        </w:tabs>
        <w:spacing w:before="0" w:line="120" w:lineRule="auto"/>
      </w:pPr>
      <w:r>
        <w:tab/>
      </w:r>
      <w:r>
        <w:tab/>
      </w:r>
    </w:p>
    <w:p w14:paraId="44FD3035" w14:textId="77777777" w:rsidR="00892C3D" w:rsidRDefault="00892C3D" w:rsidP="00892C3D">
      <w:pPr>
        <w:pStyle w:val="ListParagraph"/>
        <w:numPr>
          <w:ilvl w:val="0"/>
          <w:numId w:val="37"/>
        </w:numPr>
        <w:spacing w:line="259" w:lineRule="auto"/>
        <w:rPr>
          <w:rFonts w:cs="Arial"/>
          <w:b/>
          <w:bCs/>
          <w:snapToGrid w:val="0"/>
          <w:color w:val="000000"/>
        </w:rPr>
      </w:pPr>
      <w:r w:rsidRPr="00892C3D">
        <w:rPr>
          <w:rFonts w:cs="Arial"/>
          <w:b/>
          <w:bCs/>
          <w:snapToGrid w:val="0"/>
          <w:color w:val="000000"/>
        </w:rPr>
        <w:t xml:space="preserve">‘Information has been removed due to its content being exempt in terms of the Freedom of Information (Scotland) Act 2002‘ </w:t>
      </w:r>
    </w:p>
    <w:p w14:paraId="402F285C" w14:textId="77777777" w:rsidR="00892C3D" w:rsidRPr="00892C3D" w:rsidRDefault="00892C3D" w:rsidP="00892C3D">
      <w:pPr>
        <w:pStyle w:val="ListParagraph"/>
        <w:spacing w:line="259" w:lineRule="auto"/>
        <w:ind w:left="720"/>
        <w:rPr>
          <w:rFonts w:cs="Arial"/>
          <w:b/>
          <w:bCs/>
          <w:snapToGrid w:val="0"/>
          <w:color w:val="000000"/>
        </w:rPr>
      </w:pPr>
    </w:p>
    <w:p w14:paraId="6C2C39B8" w14:textId="77777777" w:rsidR="00D3666C" w:rsidRPr="00892C3D" w:rsidRDefault="00D3666C" w:rsidP="00892C3D">
      <w:pPr>
        <w:pStyle w:val="ListParagraph"/>
        <w:tabs>
          <w:tab w:val="left" w:pos="1200"/>
        </w:tabs>
        <w:spacing w:after="200"/>
        <w:ind w:left="720"/>
        <w:rPr>
          <w:iCs/>
        </w:rPr>
      </w:pPr>
      <w:r w:rsidRPr="00892C3D">
        <w:rPr>
          <w:rFonts w:cs="Arial"/>
          <w:b/>
          <w:iCs/>
          <w:color w:val="000000" w:themeColor="text1"/>
        </w:rPr>
        <w:t>Exempted section 34(1) of the Act and section 35(1)(a)&amp;(b)</w:t>
      </w:r>
      <w:r w:rsidRPr="00892C3D">
        <w:rPr>
          <w:b/>
          <w:iCs/>
          <w:color w:val="000000" w:themeColor="text1"/>
        </w:rPr>
        <w:tab/>
      </w:r>
    </w:p>
    <w:p w14:paraId="77AF420C" w14:textId="77777777" w:rsidR="00D3666C" w:rsidRDefault="00D3666C" w:rsidP="00D3666C">
      <w:pPr>
        <w:pStyle w:val="ListParagraph"/>
      </w:pPr>
    </w:p>
    <w:p w14:paraId="1985D074" w14:textId="77777777" w:rsidR="00D05399" w:rsidRDefault="00D05399" w:rsidP="00D3666C">
      <w:pPr>
        <w:tabs>
          <w:tab w:val="left" w:pos="1200"/>
        </w:tabs>
        <w:spacing w:after="200"/>
      </w:pPr>
      <w:r>
        <w:t>When investigating a DRD, it is highly likely that enquiry officers will come into contact with other people who use drugs or those who were aware of the deceased’s lifestyle. The following questions should be considered for use when speaking to associates of the deceased in an effort to gain as much information as possible:</w:t>
      </w:r>
    </w:p>
    <w:p w14:paraId="3D9AC2FD" w14:textId="77777777" w:rsidR="00D05399" w:rsidRDefault="00D05399" w:rsidP="00D05399">
      <w:pPr>
        <w:tabs>
          <w:tab w:val="left" w:pos="1200"/>
        </w:tabs>
        <w:spacing w:before="0" w:line="120" w:lineRule="auto"/>
      </w:pPr>
    </w:p>
    <w:p w14:paraId="75373D5F" w14:textId="77777777" w:rsidR="00D05399" w:rsidRDefault="00D05399" w:rsidP="00D05399">
      <w:pPr>
        <w:numPr>
          <w:ilvl w:val="0"/>
          <w:numId w:val="38"/>
        </w:numPr>
        <w:spacing w:after="240"/>
        <w:ind w:left="714" w:hanging="357"/>
        <w:contextualSpacing/>
      </w:pPr>
      <w:r>
        <w:t>Do you have any knowledge of the deceased’s drug use?</w:t>
      </w:r>
    </w:p>
    <w:p w14:paraId="633A6111" w14:textId="77777777" w:rsidR="00D05399" w:rsidRDefault="00D05399" w:rsidP="00D05399">
      <w:pPr>
        <w:numPr>
          <w:ilvl w:val="0"/>
          <w:numId w:val="38"/>
        </w:numPr>
        <w:spacing w:after="240"/>
        <w:ind w:left="714" w:hanging="357"/>
        <w:contextualSpacing/>
      </w:pPr>
      <w:r>
        <w:t>Where/who did the deceased purchase their drugs from?</w:t>
      </w:r>
    </w:p>
    <w:p w14:paraId="51AAB73F" w14:textId="77777777" w:rsidR="00D05399" w:rsidRDefault="00D05399" w:rsidP="00D05399">
      <w:pPr>
        <w:numPr>
          <w:ilvl w:val="0"/>
          <w:numId w:val="38"/>
        </w:numPr>
        <w:spacing w:after="240"/>
        <w:ind w:left="714" w:hanging="357"/>
        <w:contextualSpacing/>
      </w:pPr>
      <w:r>
        <w:t>Can you describe their dealer if you don’t know by name or won’t provide name?</w:t>
      </w:r>
    </w:p>
    <w:p w14:paraId="1D44BF36" w14:textId="77777777" w:rsidR="00D05399" w:rsidRDefault="00D05399" w:rsidP="00D05399">
      <w:pPr>
        <w:numPr>
          <w:ilvl w:val="0"/>
          <w:numId w:val="38"/>
        </w:numPr>
        <w:spacing w:after="240"/>
        <w:ind w:left="714" w:hanging="357"/>
        <w:contextualSpacing/>
      </w:pPr>
      <w:r>
        <w:t>How often did the deceased consume drugs?</w:t>
      </w:r>
    </w:p>
    <w:p w14:paraId="71682D7E" w14:textId="77777777" w:rsidR="00D05399" w:rsidRDefault="00D05399" w:rsidP="00D05399">
      <w:pPr>
        <w:numPr>
          <w:ilvl w:val="0"/>
          <w:numId w:val="38"/>
        </w:numPr>
        <w:spacing w:after="240"/>
        <w:ind w:left="714" w:hanging="357"/>
        <w:contextualSpacing/>
      </w:pPr>
      <w:r>
        <w:t>What quantities of drugs did the deceased consume?</w:t>
      </w:r>
    </w:p>
    <w:p w14:paraId="44A6216D" w14:textId="77777777" w:rsidR="00D05399" w:rsidRDefault="00D05399" w:rsidP="00D05399">
      <w:pPr>
        <w:numPr>
          <w:ilvl w:val="0"/>
          <w:numId w:val="38"/>
        </w:numPr>
        <w:spacing w:after="240"/>
        <w:ind w:left="714" w:hanging="357"/>
        <w:contextualSpacing/>
      </w:pPr>
      <w:r>
        <w:lastRenderedPageBreak/>
        <w:t>Describe knowledge of any pills/tablets the deceased recently bought? Markings, colour, size etc.</w:t>
      </w:r>
    </w:p>
    <w:p w14:paraId="345D26BE" w14:textId="77777777" w:rsidR="00D05399" w:rsidRDefault="00D05399" w:rsidP="00D05399">
      <w:pPr>
        <w:numPr>
          <w:ilvl w:val="0"/>
          <w:numId w:val="38"/>
        </w:numPr>
        <w:spacing w:after="240"/>
        <w:ind w:left="714" w:hanging="357"/>
        <w:contextualSpacing/>
      </w:pPr>
      <w:r>
        <w:t>Describe quality of drugs bought? What were the effects?</w:t>
      </w:r>
    </w:p>
    <w:p w14:paraId="74A4202F" w14:textId="77777777" w:rsidR="00D05399" w:rsidRDefault="00D05399" w:rsidP="00D05399">
      <w:pPr>
        <w:spacing w:before="0" w:line="120" w:lineRule="auto"/>
      </w:pPr>
    </w:p>
    <w:p w14:paraId="5773B11F" w14:textId="77777777" w:rsidR="00D05399" w:rsidRDefault="00D05399" w:rsidP="00D05399">
      <w:pPr>
        <w:spacing w:after="200"/>
      </w:pPr>
      <w:r>
        <w:t>Information gleaned from an associate can assist with the intelligence profile concerning the deceased and their drug use. Questions about recent and previous drug use can provide vital information in confirming the cause the death.</w:t>
      </w:r>
    </w:p>
    <w:p w14:paraId="0C5ECA75" w14:textId="77777777" w:rsidR="00D05399" w:rsidRDefault="00D05399" w:rsidP="00D05399">
      <w:pPr>
        <w:pStyle w:val="Heading2"/>
        <w:numPr>
          <w:ilvl w:val="0"/>
          <w:numId w:val="15"/>
        </w:numPr>
      </w:pPr>
      <w:bookmarkStart w:id="18" w:name="_Toc125971678"/>
      <w:r>
        <w:t>Key Contacts</w:t>
      </w:r>
      <w:bookmarkEnd w:id="18"/>
    </w:p>
    <w:p w14:paraId="2B8995F7" w14:textId="77777777" w:rsidR="00C7675C" w:rsidRPr="00C7675C" w:rsidRDefault="00C7675C" w:rsidP="00C7675C">
      <w:pPr>
        <w:spacing w:line="259" w:lineRule="auto"/>
        <w:rPr>
          <w:rFonts w:cs="Arial"/>
          <w:b/>
          <w:bCs/>
          <w:snapToGrid w:val="0"/>
          <w:color w:val="000000"/>
        </w:rPr>
      </w:pPr>
      <w:r w:rsidRPr="00C7675C">
        <w:rPr>
          <w:rFonts w:cs="Arial"/>
          <w:b/>
          <w:bCs/>
          <w:snapToGrid w:val="0"/>
          <w:color w:val="000000"/>
        </w:rPr>
        <w:t xml:space="preserve">‘Information has been removed due to its content being exempt in terms of the Freedom of Information (Scotland) Act 2002‘ </w:t>
      </w:r>
    </w:p>
    <w:p w14:paraId="584AE5B1" w14:textId="77777777" w:rsidR="00D3666C" w:rsidRPr="00C7675C" w:rsidRDefault="00D3666C" w:rsidP="00D3666C">
      <w:pPr>
        <w:rPr>
          <w:b/>
          <w:iCs/>
        </w:rPr>
      </w:pPr>
      <w:r w:rsidRPr="00C7675C">
        <w:rPr>
          <w:b/>
          <w:iCs/>
        </w:rPr>
        <w:t>Exempted Section 30(c)</w:t>
      </w:r>
    </w:p>
    <w:p w14:paraId="4C5AA3A6" w14:textId="77777777" w:rsidR="00C7675C" w:rsidRDefault="00C7675C" w:rsidP="00D13A85">
      <w:pPr>
        <w:pStyle w:val="Heading2"/>
      </w:pPr>
      <w:bookmarkStart w:id="19" w:name="_Toc125971682"/>
    </w:p>
    <w:p w14:paraId="4C44E3CE" w14:textId="77777777" w:rsidR="00C7675C" w:rsidRDefault="00C7675C" w:rsidP="00D13A85">
      <w:pPr>
        <w:pStyle w:val="Heading2"/>
      </w:pPr>
    </w:p>
    <w:p w14:paraId="09E44123" w14:textId="77777777" w:rsidR="00C7675C" w:rsidRDefault="00C7675C" w:rsidP="00D13A85">
      <w:pPr>
        <w:pStyle w:val="Heading2"/>
      </w:pPr>
    </w:p>
    <w:p w14:paraId="14A39364" w14:textId="77777777" w:rsidR="00C7675C" w:rsidRDefault="00C7675C" w:rsidP="00D13A85">
      <w:pPr>
        <w:pStyle w:val="Heading2"/>
      </w:pPr>
    </w:p>
    <w:p w14:paraId="625A153B" w14:textId="77777777" w:rsidR="00C7675C" w:rsidRDefault="00C7675C" w:rsidP="00D13A85">
      <w:pPr>
        <w:pStyle w:val="Heading2"/>
      </w:pPr>
    </w:p>
    <w:p w14:paraId="34ED513A" w14:textId="77777777" w:rsidR="00C7675C" w:rsidRDefault="00C7675C" w:rsidP="00D13A85">
      <w:pPr>
        <w:pStyle w:val="Heading2"/>
      </w:pPr>
    </w:p>
    <w:p w14:paraId="0F51DAEA" w14:textId="77777777" w:rsidR="00C7675C" w:rsidRPr="00C7675C" w:rsidRDefault="00C7675C" w:rsidP="00C7675C"/>
    <w:p w14:paraId="5248095D" w14:textId="77777777" w:rsidR="004546DC" w:rsidRDefault="004546DC" w:rsidP="00D13A85">
      <w:pPr>
        <w:pStyle w:val="Heading2"/>
      </w:pPr>
      <w:r w:rsidRPr="006C7D8A">
        <w:lastRenderedPageBreak/>
        <w:t xml:space="preserve">Compliance </w:t>
      </w:r>
      <w:r w:rsidR="00845E8C">
        <w:t>r</w:t>
      </w:r>
      <w:r w:rsidRPr="006C7D8A">
        <w:t>ecord</w:t>
      </w:r>
      <w:bookmarkEnd w:id="19"/>
    </w:p>
    <w:p w14:paraId="309C2421" w14:textId="77777777" w:rsidR="00E74798" w:rsidRDefault="00F025C4" w:rsidP="00F025C4">
      <w:pPr>
        <w:tabs>
          <w:tab w:val="left" w:pos="5245"/>
        </w:tabs>
      </w:pPr>
      <w:r>
        <w:t>EqHIRA completion/review date:</w:t>
      </w:r>
      <w:r>
        <w:tab/>
      </w:r>
      <w:r w:rsidR="00C7675C">
        <w:t>21/12/2022</w:t>
      </w:r>
    </w:p>
    <w:p w14:paraId="7122DCAD" w14:textId="77777777" w:rsidR="00E74798" w:rsidRDefault="00E74798" w:rsidP="00F025C4">
      <w:pPr>
        <w:tabs>
          <w:tab w:val="left" w:pos="5245"/>
        </w:tabs>
      </w:pPr>
      <w:r>
        <w:t xml:space="preserve">Information Management Compliant: </w:t>
      </w:r>
      <w:r w:rsidR="00F025C4">
        <w:tab/>
      </w:r>
      <w:r w:rsidR="008B7BDE">
        <w:t>Yes</w:t>
      </w:r>
    </w:p>
    <w:p w14:paraId="6178DF1E" w14:textId="77777777" w:rsidR="00E74798" w:rsidRDefault="00E74798" w:rsidP="00F025C4">
      <w:pPr>
        <w:tabs>
          <w:tab w:val="left" w:pos="5245"/>
        </w:tabs>
      </w:pPr>
      <w:r>
        <w:t xml:space="preserve">Health and Safety Compliant: </w:t>
      </w:r>
      <w:r w:rsidR="00F025C4">
        <w:tab/>
      </w:r>
      <w:r w:rsidR="008B7BDE">
        <w:t>Yes</w:t>
      </w:r>
    </w:p>
    <w:p w14:paraId="75146EEB" w14:textId="77777777" w:rsidR="004546DC" w:rsidRPr="009E0114" w:rsidRDefault="004546DC" w:rsidP="00F025C4">
      <w:pPr>
        <w:pStyle w:val="Heading2"/>
      </w:pPr>
      <w:bookmarkStart w:id="20" w:name="_Toc125971683"/>
      <w:r w:rsidRPr="00174A79">
        <w:t xml:space="preserve">Version </w:t>
      </w:r>
      <w:r w:rsidR="00845E8C">
        <w:t>c</w:t>
      </w:r>
      <w:r w:rsidRPr="00174A79">
        <w:t xml:space="preserve">ontrol </w:t>
      </w:r>
      <w:r w:rsidR="00845E8C">
        <w:t>t</w:t>
      </w:r>
      <w:r w:rsidRPr="00174A79">
        <w:t>able</w:t>
      </w:r>
      <w:bookmarkEnd w:id="20"/>
    </w:p>
    <w:tbl>
      <w:tblPr>
        <w:tblStyle w:val="TableGrid"/>
        <w:tblW w:w="5000" w:type="pct"/>
        <w:tblLayout w:type="fixed"/>
        <w:tblLook w:val="01E0" w:firstRow="1" w:lastRow="1" w:firstColumn="1" w:lastColumn="1" w:noHBand="0" w:noVBand="0"/>
        <w:tblCaption w:val="Version Control Table"/>
        <w:tblDescription w:val="This table contains history of amendments and approval date for each version of this document. "/>
      </w:tblPr>
      <w:tblGrid>
        <w:gridCol w:w="1696"/>
        <w:gridCol w:w="5344"/>
        <w:gridCol w:w="1998"/>
      </w:tblGrid>
      <w:tr w:rsidR="004546DC" w:rsidRPr="00A324B2" w14:paraId="7260713D" w14:textId="77777777" w:rsidTr="00997AD9">
        <w:trPr>
          <w:trHeight w:val="307"/>
          <w:tblHeader/>
        </w:trPr>
        <w:tc>
          <w:tcPr>
            <w:tcW w:w="1696" w:type="dxa"/>
          </w:tcPr>
          <w:p w14:paraId="2BF0123A" w14:textId="77777777" w:rsidR="004546DC" w:rsidRPr="007E214E" w:rsidRDefault="004546DC" w:rsidP="00DA47BF">
            <w:pPr>
              <w:pStyle w:val="TableFieldHeading"/>
            </w:pPr>
            <w:r w:rsidRPr="00BD2249">
              <w:t>Version</w:t>
            </w:r>
          </w:p>
        </w:tc>
        <w:tc>
          <w:tcPr>
            <w:tcW w:w="5344" w:type="dxa"/>
          </w:tcPr>
          <w:p w14:paraId="33F8016E" w14:textId="77777777" w:rsidR="004546DC" w:rsidRPr="007E214E" w:rsidRDefault="004546DC" w:rsidP="00DA47BF">
            <w:pPr>
              <w:pStyle w:val="TableFieldHeading"/>
            </w:pPr>
            <w:r w:rsidRPr="00BD2249">
              <w:t xml:space="preserve">History of </w:t>
            </w:r>
            <w:r w:rsidR="00717072">
              <w:t>a</w:t>
            </w:r>
            <w:r w:rsidR="00717072" w:rsidRPr="00BD2249">
              <w:t>mendments</w:t>
            </w:r>
          </w:p>
        </w:tc>
        <w:tc>
          <w:tcPr>
            <w:tcW w:w="1998" w:type="dxa"/>
          </w:tcPr>
          <w:p w14:paraId="4C5BA1F1" w14:textId="77777777" w:rsidR="004546DC" w:rsidRPr="007E214E" w:rsidRDefault="004546DC" w:rsidP="00DA47BF">
            <w:pPr>
              <w:pStyle w:val="TableFieldHeading"/>
            </w:pPr>
            <w:r>
              <w:t xml:space="preserve">Approval </w:t>
            </w:r>
            <w:r w:rsidR="00717072">
              <w:t>date</w:t>
            </w:r>
          </w:p>
        </w:tc>
      </w:tr>
      <w:tr w:rsidR="004546DC" w:rsidRPr="00A324B2" w14:paraId="58071AB6" w14:textId="77777777" w:rsidTr="00997AD9">
        <w:trPr>
          <w:trHeight w:val="397"/>
          <w:tblHeader/>
        </w:trPr>
        <w:tc>
          <w:tcPr>
            <w:tcW w:w="1696" w:type="dxa"/>
          </w:tcPr>
          <w:p w14:paraId="78E5376E" w14:textId="77777777" w:rsidR="004546DC" w:rsidRPr="007E214E" w:rsidRDefault="004546DC" w:rsidP="00DA47BF">
            <w:pPr>
              <w:pStyle w:val="TableFieldContent"/>
            </w:pPr>
            <w:r>
              <w:t>1.00</w:t>
            </w:r>
          </w:p>
        </w:tc>
        <w:tc>
          <w:tcPr>
            <w:tcW w:w="5344" w:type="dxa"/>
          </w:tcPr>
          <w:p w14:paraId="0C8C63FC" w14:textId="77777777" w:rsidR="004546DC" w:rsidRPr="00C75D25" w:rsidRDefault="004546DC" w:rsidP="00DA47BF">
            <w:pPr>
              <w:pStyle w:val="TableFieldContent"/>
            </w:pPr>
            <w:r>
              <w:t>Initial Approved Version</w:t>
            </w:r>
          </w:p>
        </w:tc>
        <w:tc>
          <w:tcPr>
            <w:tcW w:w="1998" w:type="dxa"/>
          </w:tcPr>
          <w:p w14:paraId="00E4791E" w14:textId="77777777" w:rsidR="004546DC" w:rsidRDefault="00C7675C" w:rsidP="00DA47BF">
            <w:pPr>
              <w:pStyle w:val="TableFieldContent"/>
            </w:pPr>
            <w:r>
              <w:t>21/12/2022</w:t>
            </w:r>
          </w:p>
        </w:tc>
      </w:tr>
    </w:tbl>
    <w:p w14:paraId="23989568" w14:textId="77777777" w:rsidR="00AA7CEC" w:rsidRPr="00940BDB" w:rsidRDefault="00AA7CEC" w:rsidP="00AA7CEC">
      <w:pPr>
        <w:pStyle w:val="Heading2"/>
      </w:pPr>
      <w:bookmarkStart w:id="21" w:name="_Toc125971684"/>
      <w:r w:rsidRPr="00940BDB">
        <w:t>Feedback</w:t>
      </w:r>
      <w:bookmarkEnd w:id="21"/>
    </w:p>
    <w:p w14:paraId="2FA87B31" w14:textId="77777777" w:rsidR="00AA7CEC" w:rsidRPr="00940BDB" w:rsidRDefault="00AA7CEC" w:rsidP="00AA7CEC">
      <w:pPr>
        <w:pStyle w:val="ParagraphContent"/>
      </w:pPr>
      <w:r w:rsidRPr="00940BDB">
        <w:t>All Po</w:t>
      </w:r>
      <w:r>
        <w:t xml:space="preserve">lice Scotland </w:t>
      </w:r>
      <w:r w:rsidRPr="00AA7CEC">
        <w:t>service delivery Policies, Standard Operating Procedures (SOPs) and National Guidance are subject to regular</w:t>
      </w:r>
      <w:r w:rsidRPr="00940BDB">
        <w:t xml:space="preserve"> reviews. It is important that user feedback is taken into account when documents are reviewed. </w:t>
      </w:r>
    </w:p>
    <w:p w14:paraId="6D8ADA6B" w14:textId="77777777" w:rsidR="00AA7CEC" w:rsidRDefault="00AA7CEC" w:rsidP="00AA7CEC">
      <w:pPr>
        <w:pStyle w:val="ParagraphContent"/>
      </w:pPr>
      <w:r w:rsidRPr="00940BDB">
        <w:t>If any officer</w:t>
      </w:r>
      <w:r w:rsidR="00997AD9">
        <w:t xml:space="preserve"> / </w:t>
      </w:r>
      <w:r w:rsidRPr="00940BDB">
        <w:t>staff member wishes to provide comment, or make sugge</w:t>
      </w:r>
      <w:r>
        <w:t>stions for improvements to this</w:t>
      </w:r>
      <w:r w:rsidRPr="00940BDB">
        <w:t xml:space="preserve"> or any associated document, </w:t>
      </w:r>
      <w:r w:rsidRPr="00CD369A">
        <w:rPr>
          <w:rStyle w:val="Hyperlink"/>
        </w:rPr>
        <w:t>Force Form 066-014</w:t>
      </w:r>
      <w:r>
        <w:rPr>
          <w:color w:val="0000FF"/>
        </w:rPr>
        <w:t xml:space="preserve"> </w:t>
      </w:r>
      <w:r>
        <w:t>should be used.</w:t>
      </w:r>
    </w:p>
    <w:p w14:paraId="02EA2FFD" w14:textId="77777777" w:rsidR="00AA7CEC" w:rsidRPr="00CF37D7" w:rsidRDefault="00AA7CEC" w:rsidP="00D13A85"/>
    <w:sectPr w:rsidR="00AA7CEC" w:rsidRPr="00CF37D7" w:rsidSect="00801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C827" w14:textId="77777777" w:rsidR="006C4F12" w:rsidRDefault="006C4F12" w:rsidP="00765717">
      <w:r>
        <w:separator/>
      </w:r>
    </w:p>
  </w:endnote>
  <w:endnote w:type="continuationSeparator" w:id="0">
    <w:p w14:paraId="32E353F7" w14:textId="77777777" w:rsidR="006C4F12" w:rsidRDefault="006C4F12" w:rsidP="007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useoSans-300">
    <w:altName w:val="Museo Sans 300"/>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6BB7" w14:textId="77777777" w:rsidR="00C6502C" w:rsidRDefault="00C6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D0EB" w14:textId="77777777" w:rsidR="00C4193B" w:rsidRPr="00CD369A" w:rsidRDefault="00C4193B" w:rsidP="00166258">
    <w:pPr>
      <w:pStyle w:val="Footer"/>
      <w:spacing w:before="0" w:line="240" w:lineRule="auto"/>
      <w:rPr>
        <w:rFonts w:cs="Arial"/>
        <w:sz w:val="20"/>
        <w:szCs w:val="20"/>
      </w:rPr>
    </w:pPr>
    <w:r w:rsidRPr="00CF37D7">
      <w:rPr>
        <w:sz w:val="20"/>
        <w:szCs w:val="20"/>
      </w:rPr>
      <w:t xml:space="preserve">Version </w:t>
    </w:r>
    <w:r w:rsidR="002621FA">
      <w:rPr>
        <w:sz w:val="20"/>
        <w:szCs w:val="20"/>
      </w:rPr>
      <w:t>1</w:t>
    </w:r>
    <w:r w:rsidR="008B7BDE">
      <w:rPr>
        <w:sz w:val="20"/>
        <w:szCs w:val="20"/>
      </w:rPr>
      <w:t>.00</w:t>
    </w:r>
    <w:r w:rsidR="00CD369A">
      <w:rPr>
        <w:sz w:val="20"/>
        <w:szCs w:val="20"/>
      </w:rPr>
      <w:t xml:space="preserve"> </w:t>
    </w:r>
    <w:r w:rsidR="00CD369A">
      <w:rPr>
        <w:rFonts w:cs="Arial"/>
        <w:sz w:val="20"/>
        <w:szCs w:val="20"/>
      </w:rPr>
      <w:t>(Publication Scheme)</w:t>
    </w:r>
    <w:r w:rsidR="00CD369A">
      <w:rPr>
        <w:rFonts w:cs="Arial"/>
        <w:sz w:val="20"/>
        <w:szCs w:val="20"/>
      </w:rPr>
      <w:tab/>
    </w:r>
    <w:r>
      <w:rPr>
        <w:sz w:val="20"/>
        <w:szCs w:val="20"/>
      </w:rPr>
      <w:tab/>
    </w:r>
    <w:r w:rsidRPr="00CF37D7">
      <w:rPr>
        <w:sz w:val="20"/>
        <w:szCs w:val="20"/>
      </w:rPr>
      <w:fldChar w:fldCharType="begin"/>
    </w:r>
    <w:r w:rsidRPr="00CF37D7">
      <w:rPr>
        <w:sz w:val="20"/>
        <w:szCs w:val="20"/>
      </w:rPr>
      <w:instrText xml:space="preserve"> PAGE   \* MERGEFORMAT </w:instrText>
    </w:r>
    <w:r w:rsidRPr="00CF37D7">
      <w:rPr>
        <w:sz w:val="20"/>
        <w:szCs w:val="20"/>
      </w:rPr>
      <w:fldChar w:fldCharType="separate"/>
    </w:r>
    <w:r w:rsidR="00D3666C">
      <w:rPr>
        <w:noProof/>
        <w:sz w:val="20"/>
        <w:szCs w:val="20"/>
      </w:rPr>
      <w:t>7</w:t>
    </w:r>
    <w:r w:rsidRPr="00CF37D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64FE" w14:textId="77777777" w:rsidR="00CD369A" w:rsidRPr="00765717" w:rsidRDefault="00C4193B" w:rsidP="00CD369A">
    <w:pPr>
      <w:pStyle w:val="Footer"/>
      <w:spacing w:before="0" w:line="240" w:lineRule="auto"/>
      <w:rPr>
        <w:rFonts w:cs="Arial"/>
        <w:sz w:val="20"/>
        <w:szCs w:val="20"/>
      </w:rPr>
    </w:pPr>
    <w:r w:rsidRPr="00765717">
      <w:rPr>
        <w:rFonts w:cs="Arial"/>
        <w:sz w:val="20"/>
        <w:szCs w:val="20"/>
      </w:rPr>
      <w:t xml:space="preserve">Version </w:t>
    </w:r>
    <w:r w:rsidR="002621FA">
      <w:rPr>
        <w:rFonts w:cs="Arial"/>
        <w:sz w:val="20"/>
        <w:szCs w:val="20"/>
      </w:rPr>
      <w:t>1</w:t>
    </w:r>
    <w:r w:rsidR="005A6AB6">
      <w:rPr>
        <w:rFonts w:cs="Arial"/>
        <w:sz w:val="20"/>
        <w:szCs w:val="20"/>
      </w:rPr>
      <w:t>.00</w:t>
    </w:r>
    <w:r w:rsidR="00CD369A">
      <w:rPr>
        <w:rFonts w:cs="Arial"/>
        <w:sz w:val="20"/>
        <w:szCs w:val="20"/>
      </w:rPr>
      <w:t xml:space="preserve"> (Publication Scheme)</w:t>
    </w:r>
  </w:p>
  <w:p w14:paraId="0E732E28" w14:textId="77777777" w:rsidR="00C4193B" w:rsidRDefault="00C4193B" w:rsidP="00166258">
    <w:pPr>
      <w:pStyle w:val="Footer"/>
      <w:spacing w:before="0" w:line="240" w:lineRule="auto"/>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5DED" w14:textId="77777777" w:rsidR="006C4F12" w:rsidRDefault="006C4F12" w:rsidP="00765717">
      <w:r>
        <w:separator/>
      </w:r>
    </w:p>
  </w:footnote>
  <w:footnote w:type="continuationSeparator" w:id="0">
    <w:p w14:paraId="65BA2922" w14:textId="77777777" w:rsidR="006C4F12" w:rsidRDefault="006C4F12" w:rsidP="00765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65E2" w14:textId="77777777" w:rsidR="00C6502C" w:rsidRDefault="00C6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E197" w14:textId="77777777" w:rsidR="00C4193B" w:rsidRPr="00166258" w:rsidRDefault="00166258" w:rsidP="00166258">
    <w:pPr>
      <w:pStyle w:val="Header"/>
      <w:tabs>
        <w:tab w:val="left" w:pos="3048"/>
      </w:tabs>
      <w:spacing w:before="0" w:line="240" w:lineRule="auto"/>
      <w:rPr>
        <w:rFonts w:ascii="Arial Black" w:hAnsi="Arial Black"/>
        <w:b/>
        <w:szCs w:val="24"/>
      </w:rPr>
    </w:pPr>
    <w:r>
      <w:rPr>
        <w:rFonts w:ascii="Arial Black" w:hAnsi="Arial Black"/>
        <w:b/>
        <w:szCs w:val="24"/>
      </w:rPr>
      <w:tab/>
    </w:r>
    <w:r>
      <w:rPr>
        <w:rFonts w:ascii="Arial Black" w:hAnsi="Arial Black"/>
        <w:b/>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C163" w14:textId="77777777" w:rsidR="00C6502C" w:rsidRDefault="00C6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78C"/>
    <w:multiLevelType w:val="hybridMultilevel"/>
    <w:tmpl w:val="5E5E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4179E"/>
    <w:multiLevelType w:val="hybridMultilevel"/>
    <w:tmpl w:val="6DB2C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7B0A2F"/>
    <w:multiLevelType w:val="hybridMultilevel"/>
    <w:tmpl w:val="B48A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F1877"/>
    <w:multiLevelType w:val="hybridMultilevel"/>
    <w:tmpl w:val="7AA69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D218AA"/>
    <w:multiLevelType w:val="hybridMultilevel"/>
    <w:tmpl w:val="26C484CC"/>
    <w:lvl w:ilvl="0" w:tplc="5FC80C6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C09F1"/>
    <w:multiLevelType w:val="hybridMultilevel"/>
    <w:tmpl w:val="C058635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64B0B"/>
    <w:multiLevelType w:val="hybridMultilevel"/>
    <w:tmpl w:val="1F58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A7A67"/>
    <w:multiLevelType w:val="hybridMultilevel"/>
    <w:tmpl w:val="095EAE0E"/>
    <w:lvl w:ilvl="0" w:tplc="00425AF0">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07943"/>
    <w:multiLevelType w:val="hybridMultilevel"/>
    <w:tmpl w:val="982A0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43B67"/>
    <w:multiLevelType w:val="hybridMultilevel"/>
    <w:tmpl w:val="514096C6"/>
    <w:lvl w:ilvl="0" w:tplc="0809000F">
      <w:start w:val="1"/>
      <w:numFmt w:val="decimal"/>
      <w:lvlText w:val="%1."/>
      <w:lvlJc w:val="left"/>
      <w:pPr>
        <w:ind w:left="1080" w:hanging="360"/>
      </w:pPr>
    </w:lvl>
    <w:lvl w:ilvl="1" w:tplc="08090017">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670DE6"/>
    <w:multiLevelType w:val="hybridMultilevel"/>
    <w:tmpl w:val="EC36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CB606D"/>
    <w:multiLevelType w:val="hybridMultilevel"/>
    <w:tmpl w:val="EC424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D7C64"/>
    <w:multiLevelType w:val="hybridMultilevel"/>
    <w:tmpl w:val="2D58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24ADE"/>
    <w:multiLevelType w:val="hybridMultilevel"/>
    <w:tmpl w:val="E6061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A2553D"/>
    <w:multiLevelType w:val="hybridMultilevel"/>
    <w:tmpl w:val="896ED384"/>
    <w:lvl w:ilvl="0" w:tplc="72E8A7D6">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5177E"/>
    <w:multiLevelType w:val="hybridMultilevel"/>
    <w:tmpl w:val="13841F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A7A5E"/>
    <w:multiLevelType w:val="hybridMultilevel"/>
    <w:tmpl w:val="97FC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C64D9"/>
    <w:multiLevelType w:val="hybridMultilevel"/>
    <w:tmpl w:val="325E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6A53"/>
    <w:multiLevelType w:val="hybridMultilevel"/>
    <w:tmpl w:val="1F1A9D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20789A"/>
    <w:multiLevelType w:val="hybridMultilevel"/>
    <w:tmpl w:val="D6CC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0346B"/>
    <w:multiLevelType w:val="hybridMultilevel"/>
    <w:tmpl w:val="B420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91AF0"/>
    <w:multiLevelType w:val="hybridMultilevel"/>
    <w:tmpl w:val="28303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1E39B8"/>
    <w:multiLevelType w:val="hybridMultilevel"/>
    <w:tmpl w:val="B3DED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700A1"/>
    <w:multiLevelType w:val="hybridMultilevel"/>
    <w:tmpl w:val="7C2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17B6D"/>
    <w:multiLevelType w:val="hybridMultilevel"/>
    <w:tmpl w:val="C360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51F10"/>
    <w:multiLevelType w:val="hybridMultilevel"/>
    <w:tmpl w:val="A98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F72EB"/>
    <w:multiLevelType w:val="multilevel"/>
    <w:tmpl w:val="9A3448A6"/>
    <w:lvl w:ilvl="0">
      <w:start w:val="1"/>
      <w:numFmt w:val="decimal"/>
      <w:lvlText w:val="%1."/>
      <w:lvlJc w:val="left"/>
      <w:pPr>
        <w:tabs>
          <w:tab w:val="num" w:pos="1620"/>
        </w:tabs>
        <w:ind w:left="1620" w:hanging="360"/>
      </w:pPr>
      <w:rPr>
        <w:rFonts w:hint="default"/>
      </w:rPr>
    </w:lvl>
    <w:lvl w:ilvl="1">
      <w:start w:val="2"/>
      <w:numFmt w:val="decimal"/>
      <w:pStyle w:val="Title1"/>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E35036E"/>
    <w:multiLevelType w:val="hybridMultilevel"/>
    <w:tmpl w:val="16BC6A24"/>
    <w:lvl w:ilvl="0" w:tplc="BC709A6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85FAF"/>
    <w:multiLevelType w:val="hybridMultilevel"/>
    <w:tmpl w:val="750E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65C20"/>
    <w:multiLevelType w:val="hybridMultilevel"/>
    <w:tmpl w:val="DD00C3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E3A03"/>
    <w:multiLevelType w:val="hybridMultilevel"/>
    <w:tmpl w:val="7594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657644"/>
    <w:multiLevelType w:val="hybridMultilevel"/>
    <w:tmpl w:val="B10C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3A5C63"/>
    <w:multiLevelType w:val="hybridMultilevel"/>
    <w:tmpl w:val="1A46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22AA0"/>
    <w:multiLevelType w:val="hybridMultilevel"/>
    <w:tmpl w:val="E34A4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B703E4"/>
    <w:multiLevelType w:val="hybridMultilevel"/>
    <w:tmpl w:val="70609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D7560F"/>
    <w:multiLevelType w:val="hybridMultilevel"/>
    <w:tmpl w:val="0C2402F2"/>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3C743E"/>
    <w:multiLevelType w:val="hybridMultilevel"/>
    <w:tmpl w:val="A26A48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992637"/>
    <w:multiLevelType w:val="hybridMultilevel"/>
    <w:tmpl w:val="7A3C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9694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164636">
    <w:abstractNumId w:val="12"/>
  </w:num>
  <w:num w:numId="3" w16cid:durableId="183134955">
    <w:abstractNumId w:val="35"/>
  </w:num>
  <w:num w:numId="4" w16cid:durableId="1258640202">
    <w:abstractNumId w:val="18"/>
  </w:num>
  <w:num w:numId="5" w16cid:durableId="744641872">
    <w:abstractNumId w:val="31"/>
  </w:num>
  <w:num w:numId="6" w16cid:durableId="1717044238">
    <w:abstractNumId w:val="30"/>
  </w:num>
  <w:num w:numId="7" w16cid:durableId="1252664877">
    <w:abstractNumId w:val="1"/>
  </w:num>
  <w:num w:numId="8" w16cid:durableId="255790481">
    <w:abstractNumId w:val="37"/>
  </w:num>
  <w:num w:numId="9" w16cid:durableId="430470067">
    <w:abstractNumId w:val="4"/>
  </w:num>
  <w:num w:numId="10" w16cid:durableId="1762873803">
    <w:abstractNumId w:val="27"/>
  </w:num>
  <w:num w:numId="11" w16cid:durableId="1391072368">
    <w:abstractNumId w:val="5"/>
  </w:num>
  <w:num w:numId="12" w16cid:durableId="1770270392">
    <w:abstractNumId w:val="14"/>
  </w:num>
  <w:num w:numId="13" w16cid:durableId="799108265">
    <w:abstractNumId w:val="7"/>
  </w:num>
  <w:num w:numId="14" w16cid:durableId="132262844">
    <w:abstractNumId w:val="3"/>
  </w:num>
  <w:num w:numId="15" w16cid:durableId="1294753491">
    <w:abstractNumId w:val="36"/>
  </w:num>
  <w:num w:numId="16" w16cid:durableId="1820267270">
    <w:abstractNumId w:val="19"/>
  </w:num>
  <w:num w:numId="17" w16cid:durableId="1425420842">
    <w:abstractNumId w:val="23"/>
  </w:num>
  <w:num w:numId="18" w16cid:durableId="165630913">
    <w:abstractNumId w:val="29"/>
  </w:num>
  <w:num w:numId="19" w16cid:durableId="25251398">
    <w:abstractNumId w:val="11"/>
  </w:num>
  <w:num w:numId="20" w16cid:durableId="1120800073">
    <w:abstractNumId w:val="28"/>
  </w:num>
  <w:num w:numId="21" w16cid:durableId="1948390067">
    <w:abstractNumId w:val="13"/>
  </w:num>
  <w:num w:numId="22" w16cid:durableId="262033616">
    <w:abstractNumId w:val="22"/>
  </w:num>
  <w:num w:numId="23" w16cid:durableId="1160776514">
    <w:abstractNumId w:val="33"/>
  </w:num>
  <w:num w:numId="24" w16cid:durableId="1615822556">
    <w:abstractNumId w:val="32"/>
  </w:num>
  <w:num w:numId="25" w16cid:durableId="771513355">
    <w:abstractNumId w:val="9"/>
  </w:num>
  <w:num w:numId="26" w16cid:durableId="1525678623">
    <w:abstractNumId w:val="8"/>
  </w:num>
  <w:num w:numId="27" w16cid:durableId="879246408">
    <w:abstractNumId w:val="10"/>
  </w:num>
  <w:num w:numId="28" w16cid:durableId="437917011">
    <w:abstractNumId w:val="16"/>
  </w:num>
  <w:num w:numId="29" w16cid:durableId="1172798667">
    <w:abstractNumId w:val="2"/>
  </w:num>
  <w:num w:numId="30" w16cid:durableId="884176195">
    <w:abstractNumId w:val="24"/>
  </w:num>
  <w:num w:numId="31" w16cid:durableId="1148405069">
    <w:abstractNumId w:val="20"/>
  </w:num>
  <w:num w:numId="32" w16cid:durableId="2147233048">
    <w:abstractNumId w:val="15"/>
  </w:num>
  <w:num w:numId="33" w16cid:durableId="1208377657">
    <w:abstractNumId w:val="21"/>
  </w:num>
  <w:num w:numId="34" w16cid:durableId="636452117">
    <w:abstractNumId w:val="34"/>
  </w:num>
  <w:num w:numId="35" w16cid:durableId="1665430703">
    <w:abstractNumId w:val="17"/>
  </w:num>
  <w:num w:numId="36" w16cid:durableId="206767554">
    <w:abstractNumId w:val="25"/>
  </w:num>
  <w:num w:numId="37" w16cid:durableId="976689930">
    <w:abstractNumId w:val="6"/>
  </w:num>
  <w:num w:numId="38" w16cid:durableId="50871840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2"/>
    <w:rsid w:val="000252AD"/>
    <w:rsid w:val="000338A4"/>
    <w:rsid w:val="00044E87"/>
    <w:rsid w:val="0005219C"/>
    <w:rsid w:val="000648CA"/>
    <w:rsid w:val="00083367"/>
    <w:rsid w:val="000B05CF"/>
    <w:rsid w:val="000B2BF5"/>
    <w:rsid w:val="000B2CF6"/>
    <w:rsid w:val="000B4CF2"/>
    <w:rsid w:val="000E0755"/>
    <w:rsid w:val="000E47CE"/>
    <w:rsid w:val="001032FD"/>
    <w:rsid w:val="0012237A"/>
    <w:rsid w:val="00126F33"/>
    <w:rsid w:val="00132405"/>
    <w:rsid w:val="001366E1"/>
    <w:rsid w:val="00161C69"/>
    <w:rsid w:val="0016347A"/>
    <w:rsid w:val="0016471D"/>
    <w:rsid w:val="00165822"/>
    <w:rsid w:val="00166258"/>
    <w:rsid w:val="00170879"/>
    <w:rsid w:val="001735FE"/>
    <w:rsid w:val="0017434C"/>
    <w:rsid w:val="001837FB"/>
    <w:rsid w:val="001B0767"/>
    <w:rsid w:val="001C101D"/>
    <w:rsid w:val="001D096E"/>
    <w:rsid w:val="001D3EBF"/>
    <w:rsid w:val="001F1197"/>
    <w:rsid w:val="002143A2"/>
    <w:rsid w:val="00222B23"/>
    <w:rsid w:val="002378E4"/>
    <w:rsid w:val="002451BF"/>
    <w:rsid w:val="00247152"/>
    <w:rsid w:val="002606F3"/>
    <w:rsid w:val="00261D48"/>
    <w:rsid w:val="002621FA"/>
    <w:rsid w:val="0027190A"/>
    <w:rsid w:val="00294A11"/>
    <w:rsid w:val="002A3F58"/>
    <w:rsid w:val="002D5412"/>
    <w:rsid w:val="002E184B"/>
    <w:rsid w:val="002F6369"/>
    <w:rsid w:val="00301D6D"/>
    <w:rsid w:val="00303402"/>
    <w:rsid w:val="003039DB"/>
    <w:rsid w:val="00305879"/>
    <w:rsid w:val="003112E3"/>
    <w:rsid w:val="003337B8"/>
    <w:rsid w:val="0033575B"/>
    <w:rsid w:val="00350927"/>
    <w:rsid w:val="00351C27"/>
    <w:rsid w:val="0035386E"/>
    <w:rsid w:val="00356A2E"/>
    <w:rsid w:val="00367863"/>
    <w:rsid w:val="0039405B"/>
    <w:rsid w:val="003A346E"/>
    <w:rsid w:val="003A6849"/>
    <w:rsid w:val="003C1632"/>
    <w:rsid w:val="003D281A"/>
    <w:rsid w:val="0041438B"/>
    <w:rsid w:val="00415119"/>
    <w:rsid w:val="00425C31"/>
    <w:rsid w:val="00434D64"/>
    <w:rsid w:val="00442864"/>
    <w:rsid w:val="00452C76"/>
    <w:rsid w:val="004546DC"/>
    <w:rsid w:val="004571AF"/>
    <w:rsid w:val="00473A68"/>
    <w:rsid w:val="00486F00"/>
    <w:rsid w:val="004907C0"/>
    <w:rsid w:val="00492C9A"/>
    <w:rsid w:val="004934C6"/>
    <w:rsid w:val="00496BEF"/>
    <w:rsid w:val="004A430E"/>
    <w:rsid w:val="004B21D7"/>
    <w:rsid w:val="004B48AB"/>
    <w:rsid w:val="004C079F"/>
    <w:rsid w:val="004D2E6B"/>
    <w:rsid w:val="004D3481"/>
    <w:rsid w:val="004F26FA"/>
    <w:rsid w:val="0050363E"/>
    <w:rsid w:val="0051175A"/>
    <w:rsid w:val="00512D23"/>
    <w:rsid w:val="00513DB4"/>
    <w:rsid w:val="00530FF4"/>
    <w:rsid w:val="0053709F"/>
    <w:rsid w:val="0058278D"/>
    <w:rsid w:val="005A0062"/>
    <w:rsid w:val="005A6AB6"/>
    <w:rsid w:val="005A6DAE"/>
    <w:rsid w:val="005B090F"/>
    <w:rsid w:val="005B46F8"/>
    <w:rsid w:val="005E44ED"/>
    <w:rsid w:val="005F2EF1"/>
    <w:rsid w:val="005F50C2"/>
    <w:rsid w:val="005F5627"/>
    <w:rsid w:val="006455E2"/>
    <w:rsid w:val="00652E16"/>
    <w:rsid w:val="0065566C"/>
    <w:rsid w:val="00655889"/>
    <w:rsid w:val="00665C3D"/>
    <w:rsid w:val="006739DB"/>
    <w:rsid w:val="00673C36"/>
    <w:rsid w:val="006C4F12"/>
    <w:rsid w:val="006C7D8A"/>
    <w:rsid w:val="006E3B89"/>
    <w:rsid w:val="0070451C"/>
    <w:rsid w:val="00711286"/>
    <w:rsid w:val="00717072"/>
    <w:rsid w:val="007246A8"/>
    <w:rsid w:val="0073356A"/>
    <w:rsid w:val="00735213"/>
    <w:rsid w:val="00740C25"/>
    <w:rsid w:val="00750F21"/>
    <w:rsid w:val="00760175"/>
    <w:rsid w:val="00765717"/>
    <w:rsid w:val="00785789"/>
    <w:rsid w:val="00796541"/>
    <w:rsid w:val="007A2FC2"/>
    <w:rsid w:val="007B558F"/>
    <w:rsid w:val="007C29ED"/>
    <w:rsid w:val="007D3889"/>
    <w:rsid w:val="007E265B"/>
    <w:rsid w:val="008017CE"/>
    <w:rsid w:val="00805309"/>
    <w:rsid w:val="00824E40"/>
    <w:rsid w:val="00844F36"/>
    <w:rsid w:val="00845E8C"/>
    <w:rsid w:val="0089065D"/>
    <w:rsid w:val="00892C3D"/>
    <w:rsid w:val="008B7BDE"/>
    <w:rsid w:val="008D3F9E"/>
    <w:rsid w:val="008E30E9"/>
    <w:rsid w:val="008E7FEA"/>
    <w:rsid w:val="009153A5"/>
    <w:rsid w:val="00943DB6"/>
    <w:rsid w:val="009561C9"/>
    <w:rsid w:val="00957163"/>
    <w:rsid w:val="0097318C"/>
    <w:rsid w:val="00991FF2"/>
    <w:rsid w:val="009926AF"/>
    <w:rsid w:val="00997AD9"/>
    <w:rsid w:val="009A4F83"/>
    <w:rsid w:val="009B7B77"/>
    <w:rsid w:val="009E0114"/>
    <w:rsid w:val="00A20D64"/>
    <w:rsid w:val="00A23789"/>
    <w:rsid w:val="00A26980"/>
    <w:rsid w:val="00A324B2"/>
    <w:rsid w:val="00A53830"/>
    <w:rsid w:val="00A651B3"/>
    <w:rsid w:val="00A722CC"/>
    <w:rsid w:val="00A736A0"/>
    <w:rsid w:val="00A840F1"/>
    <w:rsid w:val="00AA7CEC"/>
    <w:rsid w:val="00AD010E"/>
    <w:rsid w:val="00AD1044"/>
    <w:rsid w:val="00B038D5"/>
    <w:rsid w:val="00B03D4C"/>
    <w:rsid w:val="00B3109F"/>
    <w:rsid w:val="00B43709"/>
    <w:rsid w:val="00B5576D"/>
    <w:rsid w:val="00B82F8C"/>
    <w:rsid w:val="00BB0914"/>
    <w:rsid w:val="00BB10C1"/>
    <w:rsid w:val="00BB5C85"/>
    <w:rsid w:val="00BC1ACD"/>
    <w:rsid w:val="00BD2869"/>
    <w:rsid w:val="00BE1F1A"/>
    <w:rsid w:val="00BF6121"/>
    <w:rsid w:val="00C1145A"/>
    <w:rsid w:val="00C4193B"/>
    <w:rsid w:val="00C46229"/>
    <w:rsid w:val="00C50AAF"/>
    <w:rsid w:val="00C6502C"/>
    <w:rsid w:val="00C74CB8"/>
    <w:rsid w:val="00C7675C"/>
    <w:rsid w:val="00C87D00"/>
    <w:rsid w:val="00CA0933"/>
    <w:rsid w:val="00CB1259"/>
    <w:rsid w:val="00CC53DA"/>
    <w:rsid w:val="00CD369A"/>
    <w:rsid w:val="00CF37D7"/>
    <w:rsid w:val="00D05399"/>
    <w:rsid w:val="00D072F1"/>
    <w:rsid w:val="00D13A85"/>
    <w:rsid w:val="00D15431"/>
    <w:rsid w:val="00D200FC"/>
    <w:rsid w:val="00D2054D"/>
    <w:rsid w:val="00D3666C"/>
    <w:rsid w:val="00D73F55"/>
    <w:rsid w:val="00D92C4D"/>
    <w:rsid w:val="00DA47BF"/>
    <w:rsid w:val="00DB14F9"/>
    <w:rsid w:val="00DC2B79"/>
    <w:rsid w:val="00DC32A5"/>
    <w:rsid w:val="00DC5A6D"/>
    <w:rsid w:val="00DD19C7"/>
    <w:rsid w:val="00DE13C4"/>
    <w:rsid w:val="00DF4D9E"/>
    <w:rsid w:val="00E0152D"/>
    <w:rsid w:val="00E031C5"/>
    <w:rsid w:val="00E06BF5"/>
    <w:rsid w:val="00E0785C"/>
    <w:rsid w:val="00E22D31"/>
    <w:rsid w:val="00E23390"/>
    <w:rsid w:val="00E70835"/>
    <w:rsid w:val="00E74798"/>
    <w:rsid w:val="00E9412B"/>
    <w:rsid w:val="00E97007"/>
    <w:rsid w:val="00EA1395"/>
    <w:rsid w:val="00EA221B"/>
    <w:rsid w:val="00EC5C5E"/>
    <w:rsid w:val="00ED4059"/>
    <w:rsid w:val="00F025C4"/>
    <w:rsid w:val="00F05892"/>
    <w:rsid w:val="00F4264C"/>
    <w:rsid w:val="00F57498"/>
    <w:rsid w:val="00F74615"/>
    <w:rsid w:val="00FA7971"/>
    <w:rsid w:val="00FD5234"/>
    <w:rsid w:val="00FE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47D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AB6"/>
    <w:pPr>
      <w:spacing w:before="240" w:line="336" w:lineRule="auto"/>
    </w:pPr>
    <w:rPr>
      <w:rFonts w:ascii="Arial" w:hAnsi="Arial"/>
      <w:sz w:val="24"/>
      <w:szCs w:val="22"/>
    </w:rPr>
  </w:style>
  <w:style w:type="paragraph" w:styleId="Heading1">
    <w:name w:val="heading 1"/>
    <w:basedOn w:val="Normal"/>
    <w:next w:val="Normal"/>
    <w:link w:val="Heading1Char"/>
    <w:uiPriority w:val="9"/>
    <w:qFormat/>
    <w:rsid w:val="000252AD"/>
    <w:pPr>
      <w:keepNext/>
      <w:keepLines/>
      <w:spacing w:before="600" w:after="200"/>
      <w:outlineLvl w:val="0"/>
    </w:pPr>
    <w:rPr>
      <w:rFonts w:eastAsia="Times New Roman"/>
      <w:b/>
      <w:sz w:val="36"/>
      <w:szCs w:val="32"/>
    </w:rPr>
  </w:style>
  <w:style w:type="paragraph" w:styleId="Heading2">
    <w:name w:val="heading 2"/>
    <w:basedOn w:val="Normal"/>
    <w:next w:val="Normal"/>
    <w:link w:val="Heading2Char"/>
    <w:uiPriority w:val="9"/>
    <w:unhideWhenUsed/>
    <w:qFormat/>
    <w:rsid w:val="000252AD"/>
    <w:pPr>
      <w:keepNext/>
      <w:keepLines/>
      <w:spacing w:before="600" w:after="200"/>
      <w:outlineLvl w:val="1"/>
    </w:pPr>
    <w:rPr>
      <w:rFonts w:eastAsia="Times New Roman"/>
      <w:b/>
      <w:sz w:val="32"/>
      <w:szCs w:val="26"/>
    </w:rPr>
  </w:style>
  <w:style w:type="paragraph" w:styleId="Heading3">
    <w:name w:val="heading 3"/>
    <w:basedOn w:val="Normal"/>
    <w:next w:val="Normal"/>
    <w:link w:val="Heading3Char"/>
    <w:uiPriority w:val="9"/>
    <w:unhideWhenUsed/>
    <w:qFormat/>
    <w:rsid w:val="000252AD"/>
    <w:pPr>
      <w:keepNext/>
      <w:keepLines/>
      <w:spacing w:before="600" w:after="200"/>
      <w:outlineLvl w:val="2"/>
    </w:pPr>
    <w:rPr>
      <w:rFonts w:ascii="Arial Bold" w:eastAsia="Times New Roman" w:hAnsi="Arial Bold"/>
      <w:b/>
      <w:sz w:val="28"/>
      <w:szCs w:val="24"/>
    </w:rPr>
  </w:style>
  <w:style w:type="paragraph" w:styleId="Heading4">
    <w:name w:val="heading 4"/>
    <w:basedOn w:val="Normal"/>
    <w:next w:val="Normal"/>
    <w:link w:val="Heading4Char"/>
    <w:uiPriority w:val="9"/>
    <w:unhideWhenUsed/>
    <w:qFormat/>
    <w:rsid w:val="000252AD"/>
    <w:pPr>
      <w:keepNext/>
      <w:spacing w:before="600" w:after="20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17"/>
    <w:pPr>
      <w:tabs>
        <w:tab w:val="center" w:pos="4513"/>
        <w:tab w:val="right" w:pos="9026"/>
      </w:tabs>
    </w:pPr>
  </w:style>
  <w:style w:type="character" w:customStyle="1" w:styleId="HeaderChar">
    <w:name w:val="Header Char"/>
    <w:basedOn w:val="DefaultParagraphFont"/>
    <w:link w:val="Header"/>
    <w:uiPriority w:val="99"/>
    <w:rsid w:val="00765717"/>
  </w:style>
  <w:style w:type="paragraph" w:styleId="Footer">
    <w:name w:val="footer"/>
    <w:basedOn w:val="Normal"/>
    <w:link w:val="FooterChar"/>
    <w:uiPriority w:val="99"/>
    <w:unhideWhenUsed/>
    <w:rsid w:val="00765717"/>
    <w:pPr>
      <w:tabs>
        <w:tab w:val="center" w:pos="4513"/>
        <w:tab w:val="right" w:pos="9026"/>
      </w:tabs>
    </w:pPr>
  </w:style>
  <w:style w:type="character" w:customStyle="1" w:styleId="FooterChar">
    <w:name w:val="Footer Char"/>
    <w:basedOn w:val="DefaultParagraphFont"/>
    <w:link w:val="Footer"/>
    <w:uiPriority w:val="99"/>
    <w:rsid w:val="00765717"/>
  </w:style>
  <w:style w:type="paragraph" w:customStyle="1" w:styleId="ReportTitleHere">
    <w:name w:val="Report Title Here"/>
    <w:basedOn w:val="Normal"/>
    <w:autoRedefine/>
    <w:rsid w:val="00765717"/>
    <w:pPr>
      <w:widowControl w:val="0"/>
      <w:overflowPunct w:val="0"/>
      <w:autoSpaceDE w:val="0"/>
      <w:autoSpaceDN w:val="0"/>
      <w:adjustRightInd w:val="0"/>
      <w:textAlignment w:val="baseline"/>
    </w:pPr>
    <w:rPr>
      <w:rFonts w:ascii="Arial Bold" w:eastAsia="Times New Roman" w:hAnsi="Arial Bold"/>
      <w:color w:val="FFFFFF"/>
      <w:spacing w:val="-2"/>
      <w:sz w:val="52"/>
      <w:szCs w:val="32"/>
      <w:lang w:eastAsia="en-US"/>
    </w:rPr>
  </w:style>
  <w:style w:type="table" w:styleId="TableGrid">
    <w:name w:val="Table Grid"/>
    <w:basedOn w:val="TableNormal"/>
    <w:uiPriority w:val="39"/>
    <w:rsid w:val="00765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eldHeading">
    <w:name w:val="Table Field Heading"/>
    <w:basedOn w:val="Normal"/>
    <w:rsid w:val="00CF37D7"/>
    <w:rPr>
      <w:rFonts w:eastAsia="Times New Roman"/>
      <w:b/>
      <w:szCs w:val="24"/>
    </w:rPr>
  </w:style>
  <w:style w:type="paragraph" w:customStyle="1" w:styleId="TableFieldContent">
    <w:name w:val="Table Field Content"/>
    <w:basedOn w:val="Normal"/>
    <w:autoRedefine/>
    <w:rsid w:val="00DA47BF"/>
    <w:rPr>
      <w:rFonts w:eastAsia="Times New Roman"/>
      <w:szCs w:val="24"/>
    </w:rPr>
  </w:style>
  <w:style w:type="paragraph" w:customStyle="1" w:styleId="TableTitle">
    <w:name w:val="Table Title"/>
    <w:basedOn w:val="Normal"/>
    <w:rsid w:val="00CF37D7"/>
    <w:pPr>
      <w:spacing w:after="240"/>
      <w:jc w:val="center"/>
    </w:pPr>
    <w:rPr>
      <w:rFonts w:eastAsia="Times New Roman"/>
      <w:b/>
      <w:szCs w:val="24"/>
    </w:rPr>
  </w:style>
  <w:style w:type="character" w:customStyle="1" w:styleId="Heading1Char">
    <w:name w:val="Heading 1 Char"/>
    <w:link w:val="Heading1"/>
    <w:uiPriority w:val="9"/>
    <w:rsid w:val="000252AD"/>
    <w:rPr>
      <w:rFonts w:ascii="Arial" w:eastAsia="Times New Roman" w:hAnsi="Arial"/>
      <w:b/>
      <w:sz w:val="36"/>
      <w:szCs w:val="32"/>
    </w:rPr>
  </w:style>
  <w:style w:type="paragraph" w:customStyle="1" w:styleId="Title1">
    <w:name w:val="Title1"/>
    <w:basedOn w:val="Heading1"/>
    <w:autoRedefine/>
    <w:rsid w:val="00E23390"/>
    <w:pPr>
      <w:keepLines w:val="0"/>
      <w:numPr>
        <w:ilvl w:val="1"/>
        <w:numId w:val="1"/>
      </w:numPr>
      <w:tabs>
        <w:tab w:val="clear" w:pos="792"/>
      </w:tabs>
      <w:ind w:left="709" w:hanging="709"/>
    </w:pPr>
    <w:rPr>
      <w:rFonts w:cs="MuseoSans-300"/>
      <w:bCs/>
      <w:color w:val="FFFFFF"/>
      <w:kern w:val="32"/>
      <w:sz w:val="44"/>
      <w:szCs w:val="36"/>
    </w:rPr>
  </w:style>
  <w:style w:type="character" w:customStyle="1" w:styleId="Heading2Char">
    <w:name w:val="Heading 2 Char"/>
    <w:link w:val="Heading2"/>
    <w:uiPriority w:val="9"/>
    <w:rsid w:val="000252AD"/>
    <w:rPr>
      <w:rFonts w:ascii="Arial" w:eastAsia="Times New Roman" w:hAnsi="Arial"/>
      <w:b/>
      <w:sz w:val="32"/>
      <w:szCs w:val="26"/>
    </w:rPr>
  </w:style>
  <w:style w:type="paragraph" w:styleId="ListParagraph">
    <w:name w:val="List Paragraph"/>
    <w:basedOn w:val="Normal"/>
    <w:uiPriority w:val="34"/>
    <w:qFormat/>
    <w:rsid w:val="005A6AB6"/>
    <w:pPr>
      <w:spacing w:after="240"/>
      <w:ind w:left="340"/>
      <w:contextualSpacing/>
    </w:pPr>
    <w:rPr>
      <w:rFonts w:eastAsia="Times New Roman"/>
      <w:szCs w:val="24"/>
    </w:rPr>
  </w:style>
  <w:style w:type="character" w:customStyle="1" w:styleId="Heading3Char">
    <w:name w:val="Heading 3 Char"/>
    <w:link w:val="Heading3"/>
    <w:uiPriority w:val="9"/>
    <w:rsid w:val="000252AD"/>
    <w:rPr>
      <w:rFonts w:ascii="Arial Bold" w:eastAsia="Times New Roman" w:hAnsi="Arial Bold"/>
      <w:b/>
      <w:sz w:val="28"/>
      <w:szCs w:val="24"/>
    </w:rPr>
  </w:style>
  <w:style w:type="character" w:styleId="CommentReference">
    <w:name w:val="annotation reference"/>
    <w:uiPriority w:val="99"/>
    <w:semiHidden/>
    <w:unhideWhenUsed/>
    <w:rsid w:val="00711286"/>
    <w:rPr>
      <w:sz w:val="16"/>
      <w:szCs w:val="16"/>
    </w:rPr>
  </w:style>
  <w:style w:type="paragraph" w:styleId="CommentText">
    <w:name w:val="annotation text"/>
    <w:basedOn w:val="Normal"/>
    <w:link w:val="CommentTextChar"/>
    <w:uiPriority w:val="99"/>
    <w:unhideWhenUsed/>
    <w:rsid w:val="00711286"/>
    <w:rPr>
      <w:sz w:val="20"/>
      <w:szCs w:val="20"/>
    </w:rPr>
  </w:style>
  <w:style w:type="character" w:customStyle="1" w:styleId="CommentTextChar">
    <w:name w:val="Comment Text Char"/>
    <w:link w:val="CommentText"/>
    <w:uiPriority w:val="99"/>
    <w:rsid w:val="00711286"/>
    <w:rPr>
      <w:rFonts w:ascii="Arial" w:hAnsi="Arial"/>
    </w:rPr>
  </w:style>
  <w:style w:type="paragraph" w:styleId="CommentSubject">
    <w:name w:val="annotation subject"/>
    <w:basedOn w:val="CommentText"/>
    <w:next w:val="CommentText"/>
    <w:link w:val="CommentSubjectChar"/>
    <w:uiPriority w:val="99"/>
    <w:semiHidden/>
    <w:unhideWhenUsed/>
    <w:rsid w:val="00711286"/>
    <w:rPr>
      <w:b/>
      <w:bCs/>
    </w:rPr>
  </w:style>
  <w:style w:type="character" w:customStyle="1" w:styleId="CommentSubjectChar">
    <w:name w:val="Comment Subject Char"/>
    <w:link w:val="CommentSubject"/>
    <w:uiPriority w:val="99"/>
    <w:semiHidden/>
    <w:rsid w:val="00711286"/>
    <w:rPr>
      <w:rFonts w:ascii="Arial" w:hAnsi="Arial"/>
      <w:b/>
      <w:bCs/>
    </w:rPr>
  </w:style>
  <w:style w:type="paragraph" w:styleId="BalloonText">
    <w:name w:val="Balloon Text"/>
    <w:basedOn w:val="Normal"/>
    <w:link w:val="BalloonTextChar"/>
    <w:uiPriority w:val="99"/>
    <w:semiHidden/>
    <w:unhideWhenUsed/>
    <w:rsid w:val="00711286"/>
    <w:rPr>
      <w:rFonts w:ascii="Segoe UI" w:hAnsi="Segoe UI" w:cs="Segoe UI"/>
      <w:sz w:val="18"/>
      <w:szCs w:val="18"/>
    </w:rPr>
  </w:style>
  <w:style w:type="character" w:customStyle="1" w:styleId="BalloonTextChar">
    <w:name w:val="Balloon Text Char"/>
    <w:link w:val="BalloonText"/>
    <w:uiPriority w:val="99"/>
    <w:semiHidden/>
    <w:rsid w:val="00711286"/>
    <w:rPr>
      <w:rFonts w:ascii="Segoe UI" w:hAnsi="Segoe UI" w:cs="Segoe UI"/>
      <w:sz w:val="18"/>
      <w:szCs w:val="18"/>
    </w:rPr>
  </w:style>
  <w:style w:type="character" w:styleId="Hyperlink">
    <w:name w:val="Hyperlink"/>
    <w:uiPriority w:val="99"/>
    <w:unhideWhenUsed/>
    <w:rsid w:val="003D281A"/>
    <w:rPr>
      <w:color w:val="0000FF"/>
      <w:u w:val="single"/>
    </w:rPr>
  </w:style>
  <w:style w:type="character" w:styleId="FollowedHyperlink">
    <w:name w:val="FollowedHyperlink"/>
    <w:uiPriority w:val="99"/>
    <w:semiHidden/>
    <w:unhideWhenUsed/>
    <w:rsid w:val="00B43709"/>
    <w:rPr>
      <w:color w:val="954F72"/>
      <w:u w:val="single"/>
    </w:rPr>
  </w:style>
  <w:style w:type="paragraph" w:styleId="Revision">
    <w:name w:val="Revision"/>
    <w:hidden/>
    <w:uiPriority w:val="99"/>
    <w:semiHidden/>
    <w:rsid w:val="00DA47BF"/>
    <w:rPr>
      <w:rFonts w:ascii="Arial" w:hAnsi="Arial"/>
      <w:sz w:val="24"/>
      <w:szCs w:val="22"/>
    </w:rPr>
  </w:style>
  <w:style w:type="character" w:customStyle="1" w:styleId="Heading4Char">
    <w:name w:val="Heading 4 Char"/>
    <w:link w:val="Heading4"/>
    <w:uiPriority w:val="9"/>
    <w:rsid w:val="000252AD"/>
    <w:rPr>
      <w:rFonts w:ascii="Arial" w:eastAsia="Times New Roman" w:hAnsi="Arial" w:cs="Times New Roman"/>
      <w:b/>
      <w:bCs/>
      <w:sz w:val="24"/>
      <w:szCs w:val="28"/>
    </w:rPr>
  </w:style>
  <w:style w:type="paragraph" w:customStyle="1" w:styleId="Bullet">
    <w:name w:val="Bullet"/>
    <w:basedOn w:val="ListBullet"/>
    <w:next w:val="ListBullet"/>
    <w:link w:val="BulletChar"/>
    <w:qFormat/>
    <w:rsid w:val="00367863"/>
    <w:pPr>
      <w:spacing w:after="240"/>
      <w:ind w:left="340" w:hanging="340"/>
    </w:pPr>
  </w:style>
  <w:style w:type="paragraph" w:styleId="NoSpacing">
    <w:name w:val="No Spacing"/>
    <w:uiPriority w:val="1"/>
    <w:qFormat/>
    <w:rsid w:val="0039405B"/>
    <w:rPr>
      <w:rFonts w:ascii="Arial" w:hAnsi="Arial"/>
      <w:sz w:val="24"/>
      <w:szCs w:val="22"/>
    </w:rPr>
  </w:style>
  <w:style w:type="paragraph" w:styleId="ListBullet">
    <w:name w:val="List Bullet"/>
    <w:basedOn w:val="Normal"/>
    <w:link w:val="ListBulletChar"/>
    <w:uiPriority w:val="99"/>
    <w:unhideWhenUsed/>
    <w:rsid w:val="000252AD"/>
    <w:pPr>
      <w:contextualSpacing/>
    </w:pPr>
  </w:style>
  <w:style w:type="character" w:customStyle="1" w:styleId="ListBulletChar">
    <w:name w:val="List Bullet Char"/>
    <w:link w:val="ListBullet"/>
    <w:uiPriority w:val="99"/>
    <w:rsid w:val="000252AD"/>
    <w:rPr>
      <w:rFonts w:ascii="Arial" w:hAnsi="Arial"/>
      <w:sz w:val="24"/>
      <w:szCs w:val="22"/>
    </w:rPr>
  </w:style>
  <w:style w:type="character" w:customStyle="1" w:styleId="BulletChar">
    <w:name w:val="Bullet Char"/>
    <w:basedOn w:val="ListBulletChar"/>
    <w:link w:val="Bullet"/>
    <w:rsid w:val="00367863"/>
    <w:rPr>
      <w:rFonts w:ascii="Arial" w:hAnsi="Arial"/>
      <w:sz w:val="24"/>
      <w:szCs w:val="22"/>
    </w:rPr>
  </w:style>
  <w:style w:type="paragraph" w:styleId="TOCHeading">
    <w:name w:val="TOC Heading"/>
    <w:basedOn w:val="Heading1"/>
    <w:next w:val="Normal"/>
    <w:uiPriority w:val="39"/>
    <w:unhideWhenUsed/>
    <w:qFormat/>
    <w:rsid w:val="004A430E"/>
    <w:pPr>
      <w:spacing w:line="240" w:lineRule="auto"/>
      <w:outlineLvl w:val="9"/>
    </w:pPr>
    <w:rPr>
      <w:color w:val="000000"/>
      <w:sz w:val="32"/>
      <w:lang w:val="en-US" w:eastAsia="en-US"/>
    </w:rPr>
  </w:style>
  <w:style w:type="paragraph" w:styleId="TOC1">
    <w:name w:val="toc 1"/>
    <w:basedOn w:val="Normal"/>
    <w:next w:val="Normal"/>
    <w:autoRedefine/>
    <w:uiPriority w:val="39"/>
    <w:unhideWhenUsed/>
    <w:rsid w:val="00161C69"/>
    <w:pPr>
      <w:tabs>
        <w:tab w:val="right" w:leader="dot" w:pos="9038"/>
      </w:tabs>
      <w:spacing w:before="0"/>
    </w:pPr>
  </w:style>
  <w:style w:type="paragraph" w:styleId="TOC2">
    <w:name w:val="toc 2"/>
    <w:basedOn w:val="Normal"/>
    <w:next w:val="Normal"/>
    <w:autoRedefine/>
    <w:uiPriority w:val="39"/>
    <w:unhideWhenUsed/>
    <w:rsid w:val="00161C69"/>
    <w:pPr>
      <w:spacing w:before="0"/>
      <w:ind w:left="238"/>
    </w:pPr>
  </w:style>
  <w:style w:type="paragraph" w:styleId="TOC3">
    <w:name w:val="toc 3"/>
    <w:basedOn w:val="Normal"/>
    <w:next w:val="Normal"/>
    <w:autoRedefine/>
    <w:uiPriority w:val="39"/>
    <w:unhideWhenUsed/>
    <w:rsid w:val="00161C69"/>
    <w:pPr>
      <w:spacing w:before="0"/>
      <w:ind w:left="482"/>
    </w:pPr>
  </w:style>
  <w:style w:type="paragraph" w:customStyle="1" w:styleId="SubBullet">
    <w:name w:val="Sub Bullet"/>
    <w:basedOn w:val="ListBullet"/>
    <w:link w:val="SubBulletChar"/>
    <w:qFormat/>
    <w:rsid w:val="00A20D64"/>
    <w:pPr>
      <w:spacing w:after="240"/>
      <w:ind w:left="340" w:hanging="340"/>
    </w:pPr>
  </w:style>
  <w:style w:type="character" w:customStyle="1" w:styleId="ParagraphContentChar">
    <w:name w:val="Paragraph Content Char"/>
    <w:link w:val="ParagraphContent"/>
    <w:rsid w:val="00AA7CEC"/>
    <w:rPr>
      <w:rFonts w:ascii="Arial" w:hAnsi="Arial"/>
      <w:sz w:val="24"/>
      <w:szCs w:val="24"/>
    </w:rPr>
  </w:style>
  <w:style w:type="character" w:customStyle="1" w:styleId="SubBulletChar">
    <w:name w:val="Sub Bullet Char"/>
    <w:basedOn w:val="ListBulletChar"/>
    <w:link w:val="SubBullet"/>
    <w:rsid w:val="00A20D64"/>
    <w:rPr>
      <w:rFonts w:ascii="Arial" w:hAnsi="Arial"/>
      <w:sz w:val="24"/>
      <w:szCs w:val="22"/>
    </w:rPr>
  </w:style>
  <w:style w:type="paragraph" w:customStyle="1" w:styleId="ParagraphContent">
    <w:name w:val="Paragraph Content"/>
    <w:basedOn w:val="Normal"/>
    <w:link w:val="ParagraphContentChar"/>
    <w:rsid w:val="00AA7CEC"/>
    <w:pPr>
      <w:spacing w:before="120"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pnet.local\PShomedir\home\Desktop\Drug%20Related%20Death%20Investigatory%20Considerations%20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34DB888-C54F-4B74-ADAA-DC67535E7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005CA-AB0D-42FC-883C-D7ACFB7EDFC0}">
  <ds:schemaRefs>
    <ds:schemaRef ds:uri="http://schemas.microsoft.com/office/2006/metadata/properties"/>
    <ds:schemaRef ds:uri="http://schemas.microsoft.com/office/infopath/2007/PartnerControls"/>
    <ds:schemaRef ds:uri="f2fde535-4183-4971-9193-efdab6fe735d"/>
  </ds:schemaRefs>
</ds:datastoreItem>
</file>

<file path=customXml/itemProps3.xml><?xml version="1.0" encoding="utf-8"?>
<ds:datastoreItem xmlns:ds="http://schemas.openxmlformats.org/officeDocument/2006/customXml" ds:itemID="{F4085FBD-DF78-49C8-9C22-6B000C73DC33}">
  <ds:schemaRefs>
    <ds:schemaRef ds:uri="http://schemas.microsoft.com/sharepoint/v3/contenttype/forms"/>
  </ds:schemaRefs>
</ds:datastoreItem>
</file>

<file path=customXml/itemProps4.xml><?xml version="1.0" encoding="utf-8"?>
<ds:datastoreItem xmlns:ds="http://schemas.openxmlformats.org/officeDocument/2006/customXml" ds:itemID="{23A06450-35A7-42D5-813B-358FFFD37C0F}">
  <ds:schemaRefs>
    <ds:schemaRef ds:uri="http://schemas.openxmlformats.org/officeDocument/2006/bibliography"/>
  </ds:schemaRefs>
</ds:datastoreItem>
</file>

<file path=customXml/itemProps5.xml><?xml version="1.0" encoding="utf-8"?>
<ds:datastoreItem xmlns:ds="http://schemas.openxmlformats.org/officeDocument/2006/customXml" ds:itemID="{FE172A5C-105F-4CCB-B184-31034AF2D6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Drug Related Death Investigatory Considerations NG</Template>
  <TotalTime>0</TotalTime>
  <Pages>11</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Police Scotland National Guidance</vt:lpstr>
    </vt:vector>
  </TitlesOfParts>
  <Company/>
  <LinksUpToDate>false</LinksUpToDate>
  <CharactersWithSpaces>15110</CharactersWithSpaces>
  <SharedDoc>false</SharedDoc>
  <HLinks>
    <vt:vector size="36" baseType="variant">
      <vt:variant>
        <vt:i4>6488159</vt:i4>
      </vt:variant>
      <vt:variant>
        <vt:i4>18</vt:i4>
      </vt:variant>
      <vt:variant>
        <vt:i4>0</vt:i4>
      </vt:variant>
      <vt:variant>
        <vt:i4>5</vt:i4>
      </vt:variant>
      <vt:variant>
        <vt:lpwstr>mailto:policysupport@scotland.pnn.police.uk</vt:lpwstr>
      </vt:variant>
      <vt:variant>
        <vt:lpwstr/>
      </vt:variant>
      <vt:variant>
        <vt:i4>7995515</vt:i4>
      </vt:variant>
      <vt:variant>
        <vt:i4>15</vt:i4>
      </vt:variant>
      <vt:variant>
        <vt:i4>0</vt:i4>
      </vt:variant>
      <vt:variant>
        <vt:i4>5</vt:i4>
      </vt:variant>
      <vt:variant>
        <vt:lpwstr>https://spi.spnet.local/policescotland/guidance/Standard Operating Procedures/Equality and Human Rights Impact Assessment (EqHRIA) PSoS SOP.pdf</vt:lpwstr>
      </vt:variant>
      <vt:variant>
        <vt:lpwstr/>
      </vt:variant>
      <vt:variant>
        <vt:i4>327737</vt:i4>
      </vt:variant>
      <vt:variant>
        <vt:i4>12</vt:i4>
      </vt:variant>
      <vt:variant>
        <vt:i4>0</vt:i4>
      </vt:variant>
      <vt:variant>
        <vt:i4>5</vt:i4>
      </vt:variant>
      <vt:variant>
        <vt:lpwstr>https://spi.spnet.local/policescotland/guidance/_layouts/DocIdRedir.aspx?ID=PSOS-258-550</vt:lpwstr>
      </vt:variant>
      <vt:variant>
        <vt:lpwstr/>
      </vt:variant>
      <vt:variant>
        <vt:i4>524341</vt:i4>
      </vt:variant>
      <vt:variant>
        <vt:i4>9</vt:i4>
      </vt:variant>
      <vt:variant>
        <vt:i4>0</vt:i4>
      </vt:variant>
      <vt:variant>
        <vt:i4>5</vt:i4>
      </vt:variant>
      <vt:variant>
        <vt:lpwstr>https://spi.spnet.local/policescotland/guidance/_layouts/DocIdRedir.aspx?ID=PSOS-253-1924</vt:lpwstr>
      </vt:variant>
      <vt:variant>
        <vt:lpwstr/>
      </vt:variant>
      <vt:variant>
        <vt:i4>327737</vt:i4>
      </vt:variant>
      <vt:variant>
        <vt:i4>6</vt:i4>
      </vt:variant>
      <vt:variant>
        <vt:i4>0</vt:i4>
      </vt:variant>
      <vt:variant>
        <vt:i4>5</vt:i4>
      </vt:variant>
      <vt:variant>
        <vt:lpwstr>https://spi.spnet.local/policescotland/guidance/_layouts/DocIdRedir.aspx?ID=PSOS-258-550</vt:lpwstr>
      </vt:variant>
      <vt:variant>
        <vt:lpwstr/>
      </vt:variant>
      <vt:variant>
        <vt:i4>7077928</vt:i4>
      </vt:variant>
      <vt:variant>
        <vt:i4>3</vt:i4>
      </vt:variant>
      <vt:variant>
        <vt:i4>0</vt:i4>
      </vt:variant>
      <vt:variant>
        <vt:i4>5</vt:i4>
      </vt:variant>
      <vt:variant>
        <vt:lpwstr>https://spi.spnet.local/policescotland/guidance/Policies/Equality, Diversity and Dignity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Scotland National Guidance</dc:title>
  <dc:subject/>
  <dc:creator/>
  <cp:keywords/>
  <dc:description/>
  <cp:lastModifiedBy/>
  <cp:revision>1</cp:revision>
  <dcterms:created xsi:type="dcterms:W3CDTF">2023-07-13T10:09:00Z</dcterms:created>
  <dcterms:modified xsi:type="dcterms:W3CDTF">2023-07-13T10:10:00Z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
  </property>
  <property fmtid="{D5CDD505-2E9C-101B-9397-08002B2CF9AE}" pid="3" name="ClassificationMarking">
    <vt:lpwstr/>
  </property>
  <property fmtid="{D5CDD505-2E9C-101B-9397-08002B2CF9AE}" pid="4" name="ClassificationMadeExternally">
    <vt:lpwstr>Yes</vt:lpwstr>
  </property>
  <property fmtid="{D5CDD505-2E9C-101B-9397-08002B2CF9AE}" pid="5" name="ClassificationMadeBy">
    <vt:lpwstr>SPNET\1559400</vt:lpwstr>
  </property>
  <property fmtid="{D5CDD505-2E9C-101B-9397-08002B2CF9AE}" pid="6" name="ClassificationMadeOn">
    <vt:filetime>2023-07-13T10:10:09Z</vt:filetime>
  </property>
  <property fmtid="{D5CDD505-2E9C-101B-9397-08002B2CF9AE}" pid="7" name="ContentTypeId">
    <vt:lpwstr>0x010100C49EFF16D60370439FE64264480EFFA7</vt:lpwstr>
  </property>
</Properties>
</file>