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855B556" w:rsidR="00B17211" w:rsidRPr="00B17211" w:rsidRDefault="00B17211" w:rsidP="007F490F">
            <w:r w:rsidRPr="007F490F">
              <w:rPr>
                <w:rStyle w:val="Heading2Char"/>
              </w:rPr>
              <w:t>Our reference:</w:t>
            </w:r>
            <w:r>
              <w:t xml:space="preserve">  FOI 2</w:t>
            </w:r>
            <w:r w:rsidR="00B654B6">
              <w:t>4</w:t>
            </w:r>
            <w:r>
              <w:t>-</w:t>
            </w:r>
            <w:r w:rsidR="006B4AC7">
              <w:t>0505</w:t>
            </w:r>
          </w:p>
          <w:p w14:paraId="34BDABA6" w14:textId="546D8832" w:rsidR="00B17211" w:rsidRDefault="00456324" w:rsidP="00EE2373">
            <w:r w:rsidRPr="007F490F">
              <w:rPr>
                <w:rStyle w:val="Heading2Char"/>
              </w:rPr>
              <w:t>Respon</w:t>
            </w:r>
            <w:r w:rsidR="007D55F6">
              <w:rPr>
                <w:rStyle w:val="Heading2Char"/>
              </w:rPr>
              <w:t>ded to:</w:t>
            </w:r>
            <w:r w:rsidR="007F490F">
              <w:t xml:space="preserve">  </w:t>
            </w:r>
            <w:r w:rsidR="00896934">
              <w:t>21</w:t>
            </w:r>
            <w:bookmarkStart w:id="0" w:name="_GoBack"/>
            <w:bookmarkEnd w:id="0"/>
            <w:r w:rsidR="006D5799">
              <w:t xml:space="preserve"> </w:t>
            </w:r>
            <w:r w:rsidR="00613283">
              <w:t>March</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9E38787" w14:textId="005DB098" w:rsidR="006B4AC7" w:rsidRPr="006B4AC7" w:rsidRDefault="006B4AC7" w:rsidP="006B4AC7">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 xml:space="preserve">1. </w:t>
      </w:r>
      <w:r w:rsidRPr="006B4AC7">
        <w:rPr>
          <w:rFonts w:eastAsiaTheme="majorEastAsia" w:cstheme="majorBidi"/>
          <w:b/>
          <w:color w:val="000000" w:themeColor="text1"/>
          <w:szCs w:val="26"/>
        </w:rPr>
        <w:t>How many ethnic minority police officers do we have in Scotland?</w:t>
      </w:r>
    </w:p>
    <w:p w14:paraId="08D33384" w14:textId="7D3BFC24" w:rsidR="006B4AC7" w:rsidRPr="006B4AC7" w:rsidRDefault="006B4AC7" w:rsidP="006B4AC7">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 xml:space="preserve">2. </w:t>
      </w:r>
      <w:r w:rsidRPr="006B4AC7">
        <w:rPr>
          <w:rFonts w:eastAsiaTheme="majorEastAsia" w:cstheme="majorBidi"/>
          <w:b/>
          <w:color w:val="000000" w:themeColor="text1"/>
          <w:szCs w:val="26"/>
        </w:rPr>
        <w:t>How many of those ethnic minority officers are already serving in Police Scotland?</w:t>
      </w:r>
    </w:p>
    <w:p w14:paraId="296C10E4" w14:textId="49CCECCD" w:rsidR="006B4AC7" w:rsidRDefault="006B4AC7" w:rsidP="006B4AC7">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 xml:space="preserve">3. </w:t>
      </w:r>
      <w:r w:rsidRPr="006B4AC7">
        <w:rPr>
          <w:rFonts w:eastAsiaTheme="majorEastAsia" w:cstheme="majorBidi"/>
          <w:b/>
          <w:color w:val="000000" w:themeColor="text1"/>
          <w:szCs w:val="26"/>
        </w:rPr>
        <w:t>Please provide details for no. 2 in ethnic detail breakdown.</w:t>
      </w:r>
    </w:p>
    <w:p w14:paraId="5046D3D7" w14:textId="77777777" w:rsidR="006B4AC7" w:rsidRDefault="006B4AC7" w:rsidP="006B4AC7">
      <w:pPr>
        <w:spacing w:line="336" w:lineRule="auto"/>
      </w:pPr>
      <w:r>
        <w:t>The categories used within the Police Officer Race Workforce Profile are taken from the Scottish Census.</w:t>
      </w:r>
    </w:p>
    <w:p w14:paraId="6CB4C856" w14:textId="4DD032D8" w:rsidR="006B4AC7" w:rsidRPr="006B4AC7" w:rsidRDefault="006B4AC7" w:rsidP="006B4AC7">
      <w:pPr>
        <w:spacing w:line="336" w:lineRule="auto"/>
      </w:pPr>
      <w:r>
        <w:t>For the protected characteristic of Race, the ethnic origin categories have been categorised in the following way due to some of them having small numbers:</w:t>
      </w:r>
    </w:p>
    <w:p w14:paraId="6E768D64" w14:textId="77777777" w:rsidR="006B4AC7" w:rsidRDefault="006B4AC7" w:rsidP="006B4AC7">
      <w:pPr>
        <w:numPr>
          <w:ilvl w:val="0"/>
          <w:numId w:val="2"/>
        </w:numPr>
        <w:spacing w:before="0" w:after="0" w:line="336" w:lineRule="auto"/>
        <w:rPr>
          <w:rFonts w:eastAsia="Times New Roman"/>
        </w:rPr>
      </w:pPr>
      <w:r>
        <w:rPr>
          <w:rFonts w:eastAsia="Times New Roman"/>
          <w:b/>
          <w:bCs/>
        </w:rPr>
        <w:t xml:space="preserve">BME - </w:t>
      </w:r>
      <w:r>
        <w:rPr>
          <w:rFonts w:eastAsia="Times New Roman"/>
        </w:rPr>
        <w:t xml:space="preserve">Mixed or Multiple Ethnic Group, Asian Pakistani, Asian Indian, Asian Bangladeshi, Asian Chinese, Asian Other, African, African Other, Caribbean, Black, Caribbean or Black Other, Arab and Other Ethnic Group. </w:t>
      </w:r>
    </w:p>
    <w:p w14:paraId="551B22CC" w14:textId="77777777" w:rsidR="006B4AC7" w:rsidRDefault="006B4AC7" w:rsidP="006B4AC7">
      <w:pPr>
        <w:numPr>
          <w:ilvl w:val="0"/>
          <w:numId w:val="2"/>
        </w:numPr>
        <w:spacing w:before="0" w:after="0" w:line="336" w:lineRule="auto"/>
        <w:rPr>
          <w:rFonts w:eastAsia="Times New Roman"/>
        </w:rPr>
      </w:pPr>
      <w:r>
        <w:rPr>
          <w:rFonts w:eastAsia="Times New Roman"/>
          <w:b/>
          <w:bCs/>
        </w:rPr>
        <w:t>White Minority</w:t>
      </w:r>
      <w:r>
        <w:rPr>
          <w:rFonts w:eastAsia="Times New Roman"/>
        </w:rPr>
        <w:t xml:space="preserve"> - White Irish, White Gypsy/Traveller, White Polish and White Other.</w:t>
      </w:r>
    </w:p>
    <w:p w14:paraId="266E73DD" w14:textId="7AD16302" w:rsidR="006B4AC7" w:rsidRPr="006B4AC7" w:rsidRDefault="006B4AC7" w:rsidP="006B4AC7">
      <w:pPr>
        <w:numPr>
          <w:ilvl w:val="0"/>
          <w:numId w:val="2"/>
        </w:numPr>
        <w:spacing w:before="0" w:after="0" w:line="336" w:lineRule="auto"/>
        <w:rPr>
          <w:rFonts w:eastAsia="Times New Roman"/>
        </w:rPr>
      </w:pPr>
      <w:bookmarkStart w:id="1" w:name="_Toc394043181"/>
      <w:r>
        <w:rPr>
          <w:rFonts w:eastAsia="Times New Roman"/>
          <w:b/>
          <w:bCs/>
        </w:rPr>
        <w:t xml:space="preserve">All Other White British - </w:t>
      </w:r>
      <w:r>
        <w:rPr>
          <w:rFonts w:eastAsia="Times New Roman"/>
        </w:rPr>
        <w:t>White English, White Northern Irish, White Welsh and White Other British.</w:t>
      </w:r>
      <w:bookmarkEnd w:id="1"/>
    </w:p>
    <w:p w14:paraId="396497BE" w14:textId="473B70B2" w:rsidR="006B4AC7" w:rsidRDefault="006B4AC7" w:rsidP="006B4AC7">
      <w:pPr>
        <w:spacing w:line="336" w:lineRule="auto"/>
      </w:pPr>
      <w:r>
        <w:t>Information relating to Race is provided on a voluntary basis by our police officers and the option of Choose not to Disclose is provided for those who do not wish to share their personal sensitive data with us. The category of Not Recorded is where an officer’s data is not yet recorded on our HR system.</w:t>
      </w:r>
    </w:p>
    <w:p w14:paraId="7D98283A" w14:textId="77777777" w:rsidR="00050711" w:rsidRPr="006B4AC7" w:rsidRDefault="00050711" w:rsidP="006B4AC7">
      <w:pPr>
        <w:spacing w:line="336" w:lineRule="auto"/>
      </w:pPr>
    </w:p>
    <w:tbl>
      <w:tblPr>
        <w:tblStyle w:val="TableGrid"/>
        <w:tblW w:w="6658" w:type="dxa"/>
        <w:tblLook w:val="04A0" w:firstRow="1" w:lastRow="0" w:firstColumn="1" w:lastColumn="0" w:noHBand="0" w:noVBand="1"/>
        <w:tblCaption w:val="Serving Officers Ethnic Origin"/>
        <w:tblDescription w:val="Serving Officers Ethnic Origin"/>
      </w:tblPr>
      <w:tblGrid>
        <w:gridCol w:w="3256"/>
        <w:gridCol w:w="1559"/>
        <w:gridCol w:w="1843"/>
      </w:tblGrid>
      <w:tr w:rsidR="006B4AC7" w:rsidRPr="00557306" w14:paraId="5128DF3F" w14:textId="77777777" w:rsidTr="006B4AC7">
        <w:trPr>
          <w:tblHeader/>
        </w:trPr>
        <w:tc>
          <w:tcPr>
            <w:tcW w:w="3256" w:type="dxa"/>
            <w:shd w:val="clear" w:color="auto" w:fill="D9D9D9" w:themeFill="background1" w:themeFillShade="D9"/>
          </w:tcPr>
          <w:p w14:paraId="46C2BAE3" w14:textId="04669F6A" w:rsidR="006B4AC7" w:rsidRPr="00557306" w:rsidRDefault="006B4AC7" w:rsidP="001A2C9D">
            <w:pPr>
              <w:spacing w:line="276" w:lineRule="auto"/>
              <w:rPr>
                <w:b/>
              </w:rPr>
            </w:pPr>
            <w:r>
              <w:rPr>
                <w:b/>
              </w:rPr>
              <w:t>Ethnic Origin Category</w:t>
            </w:r>
          </w:p>
        </w:tc>
        <w:tc>
          <w:tcPr>
            <w:tcW w:w="1559" w:type="dxa"/>
            <w:shd w:val="clear" w:color="auto" w:fill="D9D9D9" w:themeFill="background1" w:themeFillShade="D9"/>
          </w:tcPr>
          <w:p w14:paraId="3788818A" w14:textId="50CF1869" w:rsidR="006B4AC7" w:rsidRPr="00557306" w:rsidRDefault="006B4AC7" w:rsidP="001A2C9D">
            <w:pPr>
              <w:spacing w:line="276" w:lineRule="auto"/>
              <w:rPr>
                <w:b/>
              </w:rPr>
            </w:pPr>
            <w:r>
              <w:rPr>
                <w:b/>
              </w:rPr>
              <w:t>Police Officer %</w:t>
            </w:r>
          </w:p>
        </w:tc>
        <w:tc>
          <w:tcPr>
            <w:tcW w:w="1843" w:type="dxa"/>
            <w:shd w:val="clear" w:color="auto" w:fill="D9D9D9" w:themeFill="background1" w:themeFillShade="D9"/>
          </w:tcPr>
          <w:p w14:paraId="0ADE5444" w14:textId="1D2F8A1D" w:rsidR="006B4AC7" w:rsidRPr="00557306" w:rsidRDefault="006B4AC7" w:rsidP="001A2C9D">
            <w:pPr>
              <w:spacing w:line="276" w:lineRule="auto"/>
              <w:rPr>
                <w:b/>
              </w:rPr>
            </w:pPr>
            <w:r>
              <w:rPr>
                <w:b/>
              </w:rPr>
              <w:t>Police Officer Number</w:t>
            </w:r>
          </w:p>
        </w:tc>
      </w:tr>
      <w:tr w:rsidR="006B4AC7" w14:paraId="4EA55C3E" w14:textId="77777777" w:rsidTr="006B4AC7">
        <w:tc>
          <w:tcPr>
            <w:tcW w:w="3256" w:type="dxa"/>
          </w:tcPr>
          <w:p w14:paraId="280951B3" w14:textId="22978F25" w:rsidR="006B4AC7" w:rsidRDefault="006B4AC7" w:rsidP="001A2C9D">
            <w:pPr>
              <w:tabs>
                <w:tab w:val="left" w:pos="5400"/>
              </w:tabs>
              <w:spacing w:line="276" w:lineRule="auto"/>
            </w:pPr>
            <w:r>
              <w:t>White Scottish</w:t>
            </w:r>
          </w:p>
        </w:tc>
        <w:tc>
          <w:tcPr>
            <w:tcW w:w="1559" w:type="dxa"/>
          </w:tcPr>
          <w:p w14:paraId="08900364" w14:textId="1FB04FCC" w:rsidR="006B4AC7" w:rsidRDefault="006B4AC7" w:rsidP="006B4AC7">
            <w:pPr>
              <w:tabs>
                <w:tab w:val="left" w:pos="5400"/>
              </w:tabs>
              <w:spacing w:line="276" w:lineRule="auto"/>
              <w:jc w:val="center"/>
            </w:pPr>
            <w:r>
              <w:t>78.52%</w:t>
            </w:r>
          </w:p>
        </w:tc>
        <w:tc>
          <w:tcPr>
            <w:tcW w:w="1843" w:type="dxa"/>
          </w:tcPr>
          <w:p w14:paraId="17DED21F" w14:textId="134CA94C" w:rsidR="006B4AC7" w:rsidRDefault="006B4AC7" w:rsidP="006B4AC7">
            <w:pPr>
              <w:tabs>
                <w:tab w:val="left" w:pos="5400"/>
              </w:tabs>
              <w:spacing w:line="276" w:lineRule="auto"/>
              <w:jc w:val="center"/>
            </w:pPr>
            <w:r>
              <w:t>13256</w:t>
            </w:r>
          </w:p>
        </w:tc>
      </w:tr>
      <w:tr w:rsidR="006B4AC7" w14:paraId="6820B518" w14:textId="77777777" w:rsidTr="006B4AC7">
        <w:tc>
          <w:tcPr>
            <w:tcW w:w="3256" w:type="dxa"/>
          </w:tcPr>
          <w:p w14:paraId="281643D1" w14:textId="2B2FEDF0" w:rsidR="006B4AC7" w:rsidRDefault="006B4AC7" w:rsidP="001A2C9D">
            <w:pPr>
              <w:tabs>
                <w:tab w:val="left" w:pos="5400"/>
              </w:tabs>
              <w:spacing w:line="276" w:lineRule="auto"/>
            </w:pPr>
            <w:r>
              <w:t>All Other White British</w:t>
            </w:r>
          </w:p>
        </w:tc>
        <w:tc>
          <w:tcPr>
            <w:tcW w:w="1559" w:type="dxa"/>
          </w:tcPr>
          <w:p w14:paraId="793477AC" w14:textId="692BC810" w:rsidR="006B4AC7" w:rsidRDefault="006B4AC7" w:rsidP="006B4AC7">
            <w:pPr>
              <w:tabs>
                <w:tab w:val="left" w:pos="5400"/>
              </w:tabs>
              <w:spacing w:line="276" w:lineRule="auto"/>
              <w:jc w:val="center"/>
            </w:pPr>
            <w:r>
              <w:t>8.29%</w:t>
            </w:r>
          </w:p>
        </w:tc>
        <w:tc>
          <w:tcPr>
            <w:tcW w:w="1843" w:type="dxa"/>
          </w:tcPr>
          <w:p w14:paraId="6CDFFE03" w14:textId="7F078346" w:rsidR="006B4AC7" w:rsidRDefault="006B4AC7" w:rsidP="006B4AC7">
            <w:pPr>
              <w:tabs>
                <w:tab w:val="left" w:pos="5400"/>
              </w:tabs>
              <w:spacing w:line="276" w:lineRule="auto"/>
              <w:jc w:val="center"/>
            </w:pPr>
            <w:r>
              <w:t>1399</w:t>
            </w:r>
          </w:p>
        </w:tc>
      </w:tr>
      <w:tr w:rsidR="006B4AC7" w14:paraId="3495F578" w14:textId="77777777" w:rsidTr="006B4AC7">
        <w:tc>
          <w:tcPr>
            <w:tcW w:w="3256" w:type="dxa"/>
          </w:tcPr>
          <w:p w14:paraId="49D04B3C" w14:textId="42E215E7" w:rsidR="006B4AC7" w:rsidRDefault="006B4AC7" w:rsidP="001A2C9D">
            <w:pPr>
              <w:tabs>
                <w:tab w:val="left" w:pos="5400"/>
              </w:tabs>
              <w:spacing w:line="276" w:lineRule="auto"/>
            </w:pPr>
            <w:r>
              <w:lastRenderedPageBreak/>
              <w:t>White Minority</w:t>
            </w:r>
          </w:p>
        </w:tc>
        <w:tc>
          <w:tcPr>
            <w:tcW w:w="1559" w:type="dxa"/>
          </w:tcPr>
          <w:p w14:paraId="56E31DC1" w14:textId="56D18120" w:rsidR="006B4AC7" w:rsidRDefault="006B4AC7" w:rsidP="006B4AC7">
            <w:pPr>
              <w:tabs>
                <w:tab w:val="left" w:pos="5400"/>
              </w:tabs>
              <w:spacing w:line="276" w:lineRule="auto"/>
              <w:jc w:val="center"/>
            </w:pPr>
            <w:r>
              <w:t>2.39%</w:t>
            </w:r>
          </w:p>
        </w:tc>
        <w:tc>
          <w:tcPr>
            <w:tcW w:w="1843" w:type="dxa"/>
          </w:tcPr>
          <w:p w14:paraId="61F95099" w14:textId="5E441D3F" w:rsidR="006B4AC7" w:rsidRDefault="006B4AC7" w:rsidP="006B4AC7">
            <w:pPr>
              <w:tabs>
                <w:tab w:val="left" w:pos="5400"/>
              </w:tabs>
              <w:spacing w:line="276" w:lineRule="auto"/>
              <w:jc w:val="center"/>
            </w:pPr>
            <w:r>
              <w:t>404</w:t>
            </w:r>
          </w:p>
        </w:tc>
      </w:tr>
      <w:tr w:rsidR="006B4AC7" w14:paraId="0A879A0B" w14:textId="77777777" w:rsidTr="006B4AC7">
        <w:tc>
          <w:tcPr>
            <w:tcW w:w="3256" w:type="dxa"/>
          </w:tcPr>
          <w:p w14:paraId="7DCCBC93" w14:textId="766F1A7A" w:rsidR="006B4AC7" w:rsidRDefault="006B4AC7" w:rsidP="001A2C9D">
            <w:pPr>
              <w:tabs>
                <w:tab w:val="left" w:pos="5400"/>
              </w:tabs>
              <w:spacing w:line="276" w:lineRule="auto"/>
            </w:pPr>
            <w:r>
              <w:t>BME</w:t>
            </w:r>
          </w:p>
        </w:tc>
        <w:tc>
          <w:tcPr>
            <w:tcW w:w="1559" w:type="dxa"/>
          </w:tcPr>
          <w:p w14:paraId="326B5541" w14:textId="24AFA1AE" w:rsidR="006B4AC7" w:rsidRDefault="006B4AC7" w:rsidP="00050711">
            <w:pPr>
              <w:tabs>
                <w:tab w:val="left" w:pos="5400"/>
              </w:tabs>
              <w:spacing w:line="276" w:lineRule="auto"/>
              <w:jc w:val="center"/>
            </w:pPr>
            <w:r>
              <w:t>1.79%</w:t>
            </w:r>
          </w:p>
        </w:tc>
        <w:tc>
          <w:tcPr>
            <w:tcW w:w="1843" w:type="dxa"/>
          </w:tcPr>
          <w:p w14:paraId="5AB27035" w14:textId="7622EDCC" w:rsidR="006B4AC7" w:rsidRDefault="006B4AC7" w:rsidP="00050711">
            <w:pPr>
              <w:tabs>
                <w:tab w:val="left" w:pos="5400"/>
              </w:tabs>
              <w:spacing w:line="276" w:lineRule="auto"/>
              <w:jc w:val="center"/>
            </w:pPr>
            <w:r>
              <w:t>303</w:t>
            </w:r>
          </w:p>
        </w:tc>
      </w:tr>
      <w:tr w:rsidR="006B4AC7" w14:paraId="1BF1E8B0" w14:textId="77777777" w:rsidTr="006B4AC7">
        <w:tc>
          <w:tcPr>
            <w:tcW w:w="3256" w:type="dxa"/>
          </w:tcPr>
          <w:p w14:paraId="0F2D43FB" w14:textId="32BCABA9" w:rsidR="006B4AC7" w:rsidRDefault="006B4AC7" w:rsidP="001A2C9D">
            <w:pPr>
              <w:tabs>
                <w:tab w:val="left" w:pos="5400"/>
              </w:tabs>
              <w:spacing w:line="276" w:lineRule="auto"/>
            </w:pPr>
            <w:r>
              <w:t>Choose not to disclose</w:t>
            </w:r>
          </w:p>
        </w:tc>
        <w:tc>
          <w:tcPr>
            <w:tcW w:w="1559" w:type="dxa"/>
          </w:tcPr>
          <w:p w14:paraId="5695BF8F" w14:textId="5406DEB5" w:rsidR="006B4AC7" w:rsidRDefault="006B4AC7" w:rsidP="00050711">
            <w:pPr>
              <w:tabs>
                <w:tab w:val="left" w:pos="5400"/>
              </w:tabs>
              <w:spacing w:line="276" w:lineRule="auto"/>
              <w:jc w:val="center"/>
            </w:pPr>
            <w:r>
              <w:t>6.37%</w:t>
            </w:r>
          </w:p>
        </w:tc>
        <w:tc>
          <w:tcPr>
            <w:tcW w:w="1843" w:type="dxa"/>
          </w:tcPr>
          <w:p w14:paraId="49E2C6D0" w14:textId="3509AB3D" w:rsidR="006B4AC7" w:rsidRDefault="006B4AC7" w:rsidP="00050711">
            <w:pPr>
              <w:tabs>
                <w:tab w:val="left" w:pos="5400"/>
              </w:tabs>
              <w:spacing w:line="276" w:lineRule="auto"/>
              <w:jc w:val="center"/>
            </w:pPr>
            <w:r>
              <w:t>1075</w:t>
            </w:r>
          </w:p>
        </w:tc>
      </w:tr>
      <w:tr w:rsidR="006B4AC7" w14:paraId="5E522918" w14:textId="77777777" w:rsidTr="006B4AC7">
        <w:tc>
          <w:tcPr>
            <w:tcW w:w="3256" w:type="dxa"/>
          </w:tcPr>
          <w:p w14:paraId="2A787A96" w14:textId="537FDF75" w:rsidR="006B4AC7" w:rsidRDefault="006B4AC7" w:rsidP="001A2C9D">
            <w:pPr>
              <w:tabs>
                <w:tab w:val="left" w:pos="5400"/>
              </w:tabs>
              <w:spacing w:line="276" w:lineRule="auto"/>
            </w:pPr>
            <w:r>
              <w:t>Not recorded</w:t>
            </w:r>
          </w:p>
        </w:tc>
        <w:tc>
          <w:tcPr>
            <w:tcW w:w="1559" w:type="dxa"/>
          </w:tcPr>
          <w:p w14:paraId="6B038D61" w14:textId="15F79B33" w:rsidR="006B4AC7" w:rsidRDefault="006B4AC7" w:rsidP="00050711">
            <w:pPr>
              <w:tabs>
                <w:tab w:val="left" w:pos="5400"/>
              </w:tabs>
              <w:spacing w:line="276" w:lineRule="auto"/>
              <w:jc w:val="center"/>
            </w:pPr>
            <w:r>
              <w:t>2.64%</w:t>
            </w:r>
          </w:p>
        </w:tc>
        <w:tc>
          <w:tcPr>
            <w:tcW w:w="1843" w:type="dxa"/>
          </w:tcPr>
          <w:p w14:paraId="0253A79F" w14:textId="4EFB0E03" w:rsidR="006B4AC7" w:rsidRDefault="006B4AC7" w:rsidP="00050711">
            <w:pPr>
              <w:tabs>
                <w:tab w:val="left" w:pos="5400"/>
              </w:tabs>
              <w:spacing w:line="276" w:lineRule="auto"/>
              <w:jc w:val="center"/>
            </w:pPr>
            <w:r>
              <w:t>446</w:t>
            </w:r>
          </w:p>
        </w:tc>
      </w:tr>
    </w:tbl>
    <w:p w14:paraId="4A0498CB" w14:textId="77777777" w:rsidR="006B4AC7" w:rsidRPr="006B4AC7" w:rsidRDefault="006B4AC7" w:rsidP="006B4AC7">
      <w:pPr>
        <w:tabs>
          <w:tab w:val="left" w:pos="5400"/>
        </w:tabs>
        <w:rPr>
          <w:rFonts w:eastAsiaTheme="majorEastAsia" w:cstheme="majorBidi"/>
          <w:b/>
          <w:color w:val="000000" w:themeColor="text1"/>
          <w:szCs w:val="26"/>
        </w:rPr>
      </w:pPr>
    </w:p>
    <w:p w14:paraId="31D0CEAD" w14:textId="42584916" w:rsidR="006B4AC7" w:rsidRDefault="006B4AC7" w:rsidP="006B4AC7">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 xml:space="preserve">4. </w:t>
      </w:r>
      <w:r w:rsidRPr="006B4AC7">
        <w:rPr>
          <w:rFonts w:eastAsiaTheme="majorEastAsia" w:cstheme="majorBidi"/>
          <w:b/>
          <w:color w:val="000000" w:themeColor="text1"/>
          <w:szCs w:val="26"/>
        </w:rPr>
        <w:t>How many ethnic minority officers are undergoing training at the Scottish Police College?</w:t>
      </w:r>
    </w:p>
    <w:p w14:paraId="43773C6D" w14:textId="23F8DD87" w:rsidR="00050711" w:rsidRDefault="00050711" w:rsidP="006B4AC7">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 xml:space="preserve">6. </w:t>
      </w:r>
      <w:r w:rsidRPr="006B4AC7">
        <w:rPr>
          <w:rFonts w:eastAsiaTheme="majorEastAsia" w:cstheme="majorBidi"/>
          <w:b/>
          <w:color w:val="000000" w:themeColor="text1"/>
          <w:szCs w:val="26"/>
        </w:rPr>
        <w:t>Please also consider no. 4 in relation to dual or mixed ethnic heritage.</w:t>
      </w:r>
    </w:p>
    <w:p w14:paraId="177D5693" w14:textId="6DBCC32B" w:rsidR="006B4AC7" w:rsidRPr="006B4AC7" w:rsidRDefault="00050711" w:rsidP="006B4AC7">
      <w:r>
        <w:t>There</w:t>
      </w:r>
      <w:r w:rsidR="006B4AC7">
        <w:t xml:space="preserve"> have been a total of 55 officers from Ethnic Minorities undergoing training at the Scottish Police College</w:t>
      </w:r>
      <w:r>
        <w:t xml:space="preserve"> in 2023-2024</w:t>
      </w:r>
      <w:r w:rsidR="006B4AC7">
        <w:t>.  This has been taken from Oath of Office paperwork.</w:t>
      </w:r>
    </w:p>
    <w:p w14:paraId="32958024" w14:textId="1100C797" w:rsidR="006B4AC7" w:rsidRDefault="006B4AC7" w:rsidP="006B4AC7">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 xml:space="preserve">5. </w:t>
      </w:r>
      <w:r w:rsidRPr="006B4AC7">
        <w:rPr>
          <w:rFonts w:eastAsiaTheme="majorEastAsia" w:cstheme="majorBidi"/>
          <w:b/>
          <w:color w:val="000000" w:themeColor="text1"/>
          <w:szCs w:val="26"/>
        </w:rPr>
        <w:t>Please provide breakdown of number of ethnic minority officers at Inspector level and above including their ethnic background / heritage; e.g. Indian, Pakistani, Bangladeshi, Nigerian, Kenyan etc.</w:t>
      </w:r>
    </w:p>
    <w:p w14:paraId="2422550C" w14:textId="77777777" w:rsidR="00927C44" w:rsidRDefault="00927C44" w:rsidP="00927C44">
      <w:r>
        <w:t xml:space="preserve">The table below shows the rank profile by each of the ethnic origin categories. </w:t>
      </w:r>
    </w:p>
    <w:tbl>
      <w:tblPr>
        <w:tblStyle w:val="TableGrid"/>
        <w:tblW w:w="9628" w:type="dxa"/>
        <w:tblLook w:val="04A0" w:firstRow="1" w:lastRow="0" w:firstColumn="1" w:lastColumn="0" w:noHBand="0" w:noVBand="1"/>
        <w:tblCaption w:val="Serving officer rank and ethnic origin"/>
        <w:tblDescription w:val="Serving officer rank and ethnic origin"/>
      </w:tblPr>
      <w:tblGrid>
        <w:gridCol w:w="1526"/>
        <w:gridCol w:w="1304"/>
        <w:gridCol w:w="1418"/>
        <w:gridCol w:w="1276"/>
        <w:gridCol w:w="1417"/>
        <w:gridCol w:w="1418"/>
        <w:gridCol w:w="1269"/>
      </w:tblGrid>
      <w:tr w:rsidR="00927C44" w:rsidRPr="00557306" w14:paraId="2FAAC9E6" w14:textId="0AC38B8C" w:rsidTr="00927C44">
        <w:trPr>
          <w:tblHeader/>
        </w:trPr>
        <w:tc>
          <w:tcPr>
            <w:tcW w:w="1526" w:type="dxa"/>
            <w:shd w:val="clear" w:color="auto" w:fill="D9D9D9" w:themeFill="background1" w:themeFillShade="D9"/>
          </w:tcPr>
          <w:p w14:paraId="597F9672" w14:textId="118E7EFB" w:rsidR="00927C44" w:rsidRPr="00557306" w:rsidRDefault="00927C44" w:rsidP="00927C44">
            <w:pPr>
              <w:spacing w:line="276" w:lineRule="auto"/>
              <w:jc w:val="center"/>
              <w:rPr>
                <w:b/>
              </w:rPr>
            </w:pPr>
            <w:r>
              <w:rPr>
                <w:b/>
              </w:rPr>
              <w:t>Rank</w:t>
            </w:r>
          </w:p>
        </w:tc>
        <w:tc>
          <w:tcPr>
            <w:tcW w:w="1304" w:type="dxa"/>
            <w:shd w:val="clear" w:color="auto" w:fill="D9D9D9" w:themeFill="background1" w:themeFillShade="D9"/>
          </w:tcPr>
          <w:p w14:paraId="0EBB8C5A" w14:textId="5632AD6E" w:rsidR="00927C44" w:rsidRPr="00557306" w:rsidRDefault="00927C44" w:rsidP="00927C44">
            <w:pPr>
              <w:spacing w:line="276" w:lineRule="auto"/>
              <w:jc w:val="center"/>
              <w:rPr>
                <w:b/>
              </w:rPr>
            </w:pPr>
            <w:r>
              <w:rPr>
                <w:b/>
              </w:rPr>
              <w:t>White Scottish</w:t>
            </w:r>
          </w:p>
        </w:tc>
        <w:tc>
          <w:tcPr>
            <w:tcW w:w="1418" w:type="dxa"/>
            <w:shd w:val="clear" w:color="auto" w:fill="D9D9D9" w:themeFill="background1" w:themeFillShade="D9"/>
          </w:tcPr>
          <w:p w14:paraId="4C04129D" w14:textId="5326A5AE" w:rsidR="00927C44" w:rsidRPr="00557306" w:rsidRDefault="00927C44" w:rsidP="00927C44">
            <w:pPr>
              <w:spacing w:line="276" w:lineRule="auto"/>
              <w:jc w:val="center"/>
              <w:rPr>
                <w:b/>
              </w:rPr>
            </w:pPr>
            <w:r>
              <w:rPr>
                <w:b/>
              </w:rPr>
              <w:t>Other White British</w:t>
            </w:r>
          </w:p>
        </w:tc>
        <w:tc>
          <w:tcPr>
            <w:tcW w:w="1276" w:type="dxa"/>
            <w:shd w:val="clear" w:color="auto" w:fill="D9D9D9" w:themeFill="background1" w:themeFillShade="D9"/>
          </w:tcPr>
          <w:p w14:paraId="534AFA89" w14:textId="37D452C1" w:rsidR="00927C44" w:rsidRPr="00557306" w:rsidRDefault="00927C44" w:rsidP="00927C44">
            <w:pPr>
              <w:spacing w:line="276" w:lineRule="auto"/>
              <w:jc w:val="center"/>
              <w:rPr>
                <w:b/>
              </w:rPr>
            </w:pPr>
            <w:r>
              <w:rPr>
                <w:b/>
              </w:rPr>
              <w:t>White Minority</w:t>
            </w:r>
          </w:p>
        </w:tc>
        <w:tc>
          <w:tcPr>
            <w:tcW w:w="1417" w:type="dxa"/>
            <w:shd w:val="clear" w:color="auto" w:fill="D9D9D9" w:themeFill="background1" w:themeFillShade="D9"/>
          </w:tcPr>
          <w:p w14:paraId="7E7A2A04" w14:textId="543ACA22" w:rsidR="00927C44" w:rsidRPr="00557306" w:rsidRDefault="00927C44" w:rsidP="00927C44">
            <w:pPr>
              <w:spacing w:line="276" w:lineRule="auto"/>
              <w:jc w:val="center"/>
              <w:rPr>
                <w:b/>
              </w:rPr>
            </w:pPr>
            <w:r>
              <w:rPr>
                <w:b/>
              </w:rPr>
              <w:t>BME</w:t>
            </w:r>
          </w:p>
        </w:tc>
        <w:tc>
          <w:tcPr>
            <w:tcW w:w="1418" w:type="dxa"/>
            <w:shd w:val="clear" w:color="auto" w:fill="D9D9D9" w:themeFill="background1" w:themeFillShade="D9"/>
          </w:tcPr>
          <w:p w14:paraId="796CCBDD" w14:textId="62B8D0D1" w:rsidR="00927C44" w:rsidRDefault="00927C44" w:rsidP="00927C44">
            <w:pPr>
              <w:spacing w:line="276" w:lineRule="auto"/>
              <w:jc w:val="center"/>
              <w:rPr>
                <w:b/>
              </w:rPr>
            </w:pPr>
            <w:r>
              <w:rPr>
                <w:b/>
              </w:rPr>
              <w:t>Choose not to say</w:t>
            </w:r>
          </w:p>
        </w:tc>
        <w:tc>
          <w:tcPr>
            <w:tcW w:w="1269" w:type="dxa"/>
            <w:shd w:val="clear" w:color="auto" w:fill="D9D9D9" w:themeFill="background1" w:themeFillShade="D9"/>
          </w:tcPr>
          <w:p w14:paraId="0ACD3C79" w14:textId="4D3AEBA7" w:rsidR="00927C44" w:rsidRDefault="00927C44" w:rsidP="00927C44">
            <w:pPr>
              <w:spacing w:line="276" w:lineRule="auto"/>
              <w:jc w:val="center"/>
              <w:rPr>
                <w:b/>
              </w:rPr>
            </w:pPr>
            <w:r>
              <w:rPr>
                <w:b/>
              </w:rPr>
              <w:t>Not recorded</w:t>
            </w:r>
          </w:p>
        </w:tc>
      </w:tr>
      <w:tr w:rsidR="00927C44" w14:paraId="3122E69F" w14:textId="7E95B3C9" w:rsidTr="00927C44">
        <w:tc>
          <w:tcPr>
            <w:tcW w:w="1526" w:type="dxa"/>
          </w:tcPr>
          <w:p w14:paraId="46104C81" w14:textId="3838780E" w:rsidR="00927C44" w:rsidRPr="00927C44" w:rsidRDefault="00927C44" w:rsidP="001A2C9D">
            <w:pPr>
              <w:tabs>
                <w:tab w:val="left" w:pos="5400"/>
              </w:tabs>
              <w:spacing w:line="276" w:lineRule="auto"/>
              <w:rPr>
                <w:b/>
              </w:rPr>
            </w:pPr>
            <w:r w:rsidRPr="00927C44">
              <w:rPr>
                <w:b/>
              </w:rPr>
              <w:t>Chief Inspector and above</w:t>
            </w:r>
          </w:p>
        </w:tc>
        <w:tc>
          <w:tcPr>
            <w:tcW w:w="1304" w:type="dxa"/>
          </w:tcPr>
          <w:p w14:paraId="7A53C36E" w14:textId="5556B850" w:rsidR="00927C44" w:rsidRDefault="00927C44" w:rsidP="001A2C9D">
            <w:pPr>
              <w:tabs>
                <w:tab w:val="left" w:pos="5400"/>
              </w:tabs>
              <w:spacing w:line="276" w:lineRule="auto"/>
            </w:pPr>
            <w:r>
              <w:t>82.28%</w:t>
            </w:r>
          </w:p>
        </w:tc>
        <w:tc>
          <w:tcPr>
            <w:tcW w:w="1418" w:type="dxa"/>
          </w:tcPr>
          <w:p w14:paraId="7A7D599B" w14:textId="235AF9A8" w:rsidR="00927C44" w:rsidRDefault="00927C44" w:rsidP="001A2C9D">
            <w:pPr>
              <w:tabs>
                <w:tab w:val="left" w:pos="5400"/>
              </w:tabs>
              <w:spacing w:line="276" w:lineRule="auto"/>
            </w:pPr>
            <w:r>
              <w:t>9.62%</w:t>
            </w:r>
          </w:p>
        </w:tc>
        <w:tc>
          <w:tcPr>
            <w:tcW w:w="1276" w:type="dxa"/>
          </w:tcPr>
          <w:p w14:paraId="35E378E2" w14:textId="52710FEE" w:rsidR="00927C44" w:rsidRDefault="00927C44" w:rsidP="001A2C9D">
            <w:pPr>
              <w:tabs>
                <w:tab w:val="left" w:pos="5400"/>
              </w:tabs>
              <w:spacing w:line="276" w:lineRule="auto"/>
            </w:pPr>
            <w:r>
              <w:t>1.27%</w:t>
            </w:r>
          </w:p>
        </w:tc>
        <w:tc>
          <w:tcPr>
            <w:tcW w:w="1417" w:type="dxa"/>
          </w:tcPr>
          <w:p w14:paraId="72A14D64" w14:textId="405E2EFD" w:rsidR="00927C44" w:rsidRDefault="00050711" w:rsidP="001A2C9D">
            <w:pPr>
              <w:tabs>
                <w:tab w:val="left" w:pos="5400"/>
              </w:tabs>
              <w:spacing w:line="276" w:lineRule="auto"/>
            </w:pPr>
            <w:r>
              <w:t>1.01%</w:t>
            </w:r>
          </w:p>
        </w:tc>
        <w:tc>
          <w:tcPr>
            <w:tcW w:w="1418" w:type="dxa"/>
          </w:tcPr>
          <w:p w14:paraId="7217654A" w14:textId="0A2C7A65" w:rsidR="00927C44" w:rsidRDefault="00050711" w:rsidP="001A2C9D">
            <w:pPr>
              <w:tabs>
                <w:tab w:val="left" w:pos="5400"/>
              </w:tabs>
              <w:spacing w:line="276" w:lineRule="auto"/>
            </w:pPr>
            <w:r>
              <w:t>5.57%</w:t>
            </w:r>
          </w:p>
        </w:tc>
        <w:tc>
          <w:tcPr>
            <w:tcW w:w="1269" w:type="dxa"/>
          </w:tcPr>
          <w:p w14:paraId="501F3150" w14:textId="55D8EBF3" w:rsidR="00927C44" w:rsidRDefault="00050711" w:rsidP="001A2C9D">
            <w:pPr>
              <w:tabs>
                <w:tab w:val="left" w:pos="5400"/>
              </w:tabs>
              <w:spacing w:line="276" w:lineRule="auto"/>
            </w:pPr>
            <w:r>
              <w:t>0.25%</w:t>
            </w:r>
          </w:p>
        </w:tc>
      </w:tr>
      <w:tr w:rsidR="00927C44" w14:paraId="415FB408" w14:textId="57B39750" w:rsidTr="00927C44">
        <w:tc>
          <w:tcPr>
            <w:tcW w:w="1526" w:type="dxa"/>
          </w:tcPr>
          <w:p w14:paraId="159F06DE" w14:textId="763B0F23" w:rsidR="00927C44" w:rsidRPr="00927C44" w:rsidRDefault="00927C44" w:rsidP="001A2C9D">
            <w:pPr>
              <w:tabs>
                <w:tab w:val="left" w:pos="5400"/>
              </w:tabs>
              <w:spacing w:line="276" w:lineRule="auto"/>
              <w:rPr>
                <w:b/>
              </w:rPr>
            </w:pPr>
            <w:r w:rsidRPr="00927C44">
              <w:rPr>
                <w:b/>
              </w:rPr>
              <w:t>Inspector</w:t>
            </w:r>
          </w:p>
        </w:tc>
        <w:tc>
          <w:tcPr>
            <w:tcW w:w="1304" w:type="dxa"/>
          </w:tcPr>
          <w:p w14:paraId="10D71EDC" w14:textId="39447FB3" w:rsidR="00927C44" w:rsidRDefault="00927C44" w:rsidP="001A2C9D">
            <w:pPr>
              <w:tabs>
                <w:tab w:val="left" w:pos="5400"/>
              </w:tabs>
              <w:spacing w:line="276" w:lineRule="auto"/>
            </w:pPr>
            <w:r>
              <w:t>83.14%</w:t>
            </w:r>
          </w:p>
        </w:tc>
        <w:tc>
          <w:tcPr>
            <w:tcW w:w="1418" w:type="dxa"/>
          </w:tcPr>
          <w:p w14:paraId="27C797D8" w14:textId="4291A836" w:rsidR="00927C44" w:rsidRDefault="00927C44" w:rsidP="001A2C9D">
            <w:pPr>
              <w:tabs>
                <w:tab w:val="left" w:pos="5400"/>
              </w:tabs>
              <w:spacing w:line="276" w:lineRule="auto"/>
            </w:pPr>
            <w:r>
              <w:t>7.49%</w:t>
            </w:r>
          </w:p>
        </w:tc>
        <w:tc>
          <w:tcPr>
            <w:tcW w:w="1276" w:type="dxa"/>
          </w:tcPr>
          <w:p w14:paraId="2F18FC9B" w14:textId="2F571F0B" w:rsidR="00927C44" w:rsidRDefault="00927C44" w:rsidP="001A2C9D">
            <w:pPr>
              <w:tabs>
                <w:tab w:val="left" w:pos="5400"/>
              </w:tabs>
              <w:spacing w:line="276" w:lineRule="auto"/>
            </w:pPr>
            <w:r>
              <w:t>1.41%</w:t>
            </w:r>
          </w:p>
        </w:tc>
        <w:tc>
          <w:tcPr>
            <w:tcW w:w="1417" w:type="dxa"/>
          </w:tcPr>
          <w:p w14:paraId="6C9F968E" w14:textId="55E2F32D" w:rsidR="00927C44" w:rsidRDefault="00050711" w:rsidP="001A2C9D">
            <w:pPr>
              <w:tabs>
                <w:tab w:val="left" w:pos="5400"/>
              </w:tabs>
              <w:spacing w:line="276" w:lineRule="auto"/>
            </w:pPr>
            <w:r>
              <w:t>1.05%</w:t>
            </w:r>
          </w:p>
        </w:tc>
        <w:tc>
          <w:tcPr>
            <w:tcW w:w="1418" w:type="dxa"/>
          </w:tcPr>
          <w:p w14:paraId="37051589" w14:textId="1C536F88" w:rsidR="00927C44" w:rsidRDefault="00050711" w:rsidP="001A2C9D">
            <w:pPr>
              <w:tabs>
                <w:tab w:val="left" w:pos="5400"/>
              </w:tabs>
              <w:spacing w:line="276" w:lineRule="auto"/>
            </w:pPr>
            <w:r>
              <w:t>6.91%</w:t>
            </w:r>
          </w:p>
        </w:tc>
        <w:tc>
          <w:tcPr>
            <w:tcW w:w="1269" w:type="dxa"/>
          </w:tcPr>
          <w:p w14:paraId="1FC0BC52" w14:textId="576B104F" w:rsidR="00927C44" w:rsidRDefault="00050711" w:rsidP="001A2C9D">
            <w:pPr>
              <w:tabs>
                <w:tab w:val="left" w:pos="5400"/>
              </w:tabs>
              <w:spacing w:line="276" w:lineRule="auto"/>
            </w:pPr>
            <w:r>
              <w:t>0%</w:t>
            </w:r>
          </w:p>
        </w:tc>
      </w:tr>
      <w:tr w:rsidR="00927C44" w14:paraId="7D97CC3A" w14:textId="40054A9D" w:rsidTr="00927C44">
        <w:tc>
          <w:tcPr>
            <w:tcW w:w="1526" w:type="dxa"/>
          </w:tcPr>
          <w:p w14:paraId="5E63DDDD" w14:textId="0D133899" w:rsidR="00927C44" w:rsidRPr="00927C44" w:rsidRDefault="00927C44" w:rsidP="001A2C9D">
            <w:pPr>
              <w:tabs>
                <w:tab w:val="left" w:pos="5400"/>
              </w:tabs>
              <w:spacing w:line="276" w:lineRule="auto"/>
              <w:rPr>
                <w:b/>
              </w:rPr>
            </w:pPr>
            <w:r w:rsidRPr="00927C44">
              <w:rPr>
                <w:b/>
              </w:rPr>
              <w:t>Sergeant</w:t>
            </w:r>
          </w:p>
        </w:tc>
        <w:tc>
          <w:tcPr>
            <w:tcW w:w="1304" w:type="dxa"/>
          </w:tcPr>
          <w:p w14:paraId="38434D30" w14:textId="766C536D" w:rsidR="00927C44" w:rsidRDefault="00927C44" w:rsidP="001A2C9D">
            <w:pPr>
              <w:tabs>
                <w:tab w:val="left" w:pos="5400"/>
              </w:tabs>
              <w:spacing w:line="276" w:lineRule="auto"/>
            </w:pPr>
            <w:r>
              <w:t>79.59%</w:t>
            </w:r>
          </w:p>
        </w:tc>
        <w:tc>
          <w:tcPr>
            <w:tcW w:w="1418" w:type="dxa"/>
          </w:tcPr>
          <w:p w14:paraId="08F5057B" w14:textId="279695A4" w:rsidR="00927C44" w:rsidRDefault="00927C44" w:rsidP="001A2C9D">
            <w:pPr>
              <w:tabs>
                <w:tab w:val="left" w:pos="5400"/>
              </w:tabs>
              <w:spacing w:line="276" w:lineRule="auto"/>
            </w:pPr>
            <w:r>
              <w:t>8.30%</w:t>
            </w:r>
          </w:p>
        </w:tc>
        <w:tc>
          <w:tcPr>
            <w:tcW w:w="1276" w:type="dxa"/>
          </w:tcPr>
          <w:p w14:paraId="3ADFE765" w14:textId="02831487" w:rsidR="00927C44" w:rsidRDefault="00927C44" w:rsidP="001A2C9D">
            <w:pPr>
              <w:tabs>
                <w:tab w:val="left" w:pos="5400"/>
              </w:tabs>
              <w:spacing w:line="276" w:lineRule="auto"/>
            </w:pPr>
            <w:r>
              <w:t>1.23%</w:t>
            </w:r>
          </w:p>
        </w:tc>
        <w:tc>
          <w:tcPr>
            <w:tcW w:w="1417" w:type="dxa"/>
          </w:tcPr>
          <w:p w14:paraId="3ABCF1DF" w14:textId="4BAB559B" w:rsidR="00927C44" w:rsidRDefault="00050711" w:rsidP="001A2C9D">
            <w:pPr>
              <w:tabs>
                <w:tab w:val="left" w:pos="5400"/>
              </w:tabs>
              <w:spacing w:line="276" w:lineRule="auto"/>
            </w:pPr>
            <w:r>
              <w:t>1.31%</w:t>
            </w:r>
          </w:p>
        </w:tc>
        <w:tc>
          <w:tcPr>
            <w:tcW w:w="1418" w:type="dxa"/>
          </w:tcPr>
          <w:p w14:paraId="091A8CFE" w14:textId="34690498" w:rsidR="00927C44" w:rsidRDefault="00050711" w:rsidP="001A2C9D">
            <w:pPr>
              <w:tabs>
                <w:tab w:val="left" w:pos="5400"/>
              </w:tabs>
              <w:spacing w:line="276" w:lineRule="auto"/>
            </w:pPr>
            <w:r>
              <w:t>9.32%</w:t>
            </w:r>
          </w:p>
        </w:tc>
        <w:tc>
          <w:tcPr>
            <w:tcW w:w="1269" w:type="dxa"/>
          </w:tcPr>
          <w:p w14:paraId="260C450D" w14:textId="76E9E9BA" w:rsidR="00927C44" w:rsidRDefault="00050711" w:rsidP="001A2C9D">
            <w:pPr>
              <w:tabs>
                <w:tab w:val="left" w:pos="5400"/>
              </w:tabs>
              <w:spacing w:line="276" w:lineRule="auto"/>
            </w:pPr>
            <w:r>
              <w:t>0.25%</w:t>
            </w:r>
          </w:p>
        </w:tc>
      </w:tr>
      <w:tr w:rsidR="00927C44" w14:paraId="7FF63251" w14:textId="3FC1B94C" w:rsidTr="00927C44">
        <w:tc>
          <w:tcPr>
            <w:tcW w:w="1526" w:type="dxa"/>
          </w:tcPr>
          <w:p w14:paraId="4382D391" w14:textId="68A1C59E" w:rsidR="00927C44" w:rsidRPr="00927C44" w:rsidRDefault="00927C44" w:rsidP="001A2C9D">
            <w:pPr>
              <w:tabs>
                <w:tab w:val="left" w:pos="5400"/>
              </w:tabs>
              <w:spacing w:line="276" w:lineRule="auto"/>
              <w:rPr>
                <w:b/>
              </w:rPr>
            </w:pPr>
            <w:r w:rsidRPr="00927C44">
              <w:rPr>
                <w:b/>
              </w:rPr>
              <w:t>Constable</w:t>
            </w:r>
          </w:p>
        </w:tc>
        <w:tc>
          <w:tcPr>
            <w:tcW w:w="1304" w:type="dxa"/>
          </w:tcPr>
          <w:p w14:paraId="0CFB3D51" w14:textId="2EE2ABF3" w:rsidR="00927C44" w:rsidRDefault="00927C44" w:rsidP="001A2C9D">
            <w:pPr>
              <w:tabs>
                <w:tab w:val="left" w:pos="5400"/>
              </w:tabs>
              <w:spacing w:line="276" w:lineRule="auto"/>
            </w:pPr>
            <w:r>
              <w:t>77.91%</w:t>
            </w:r>
          </w:p>
        </w:tc>
        <w:tc>
          <w:tcPr>
            <w:tcW w:w="1418" w:type="dxa"/>
          </w:tcPr>
          <w:p w14:paraId="1D6C0586" w14:textId="6E315DCE" w:rsidR="00927C44" w:rsidRDefault="00927C44" w:rsidP="001A2C9D">
            <w:pPr>
              <w:tabs>
                <w:tab w:val="left" w:pos="5400"/>
              </w:tabs>
              <w:spacing w:line="276" w:lineRule="auto"/>
            </w:pPr>
            <w:r>
              <w:t>8.30%</w:t>
            </w:r>
          </w:p>
        </w:tc>
        <w:tc>
          <w:tcPr>
            <w:tcW w:w="1276" w:type="dxa"/>
          </w:tcPr>
          <w:p w14:paraId="541CA8E4" w14:textId="032E3499" w:rsidR="00927C44" w:rsidRDefault="00927C44" w:rsidP="001A2C9D">
            <w:pPr>
              <w:tabs>
                <w:tab w:val="left" w:pos="5400"/>
              </w:tabs>
              <w:spacing w:line="276" w:lineRule="auto"/>
            </w:pPr>
            <w:r>
              <w:t>2.70%</w:t>
            </w:r>
          </w:p>
        </w:tc>
        <w:tc>
          <w:tcPr>
            <w:tcW w:w="1417" w:type="dxa"/>
          </w:tcPr>
          <w:p w14:paraId="6A880A0B" w14:textId="231C339C" w:rsidR="00927C44" w:rsidRDefault="00050711" w:rsidP="001A2C9D">
            <w:pPr>
              <w:tabs>
                <w:tab w:val="left" w:pos="5400"/>
              </w:tabs>
              <w:spacing w:line="276" w:lineRule="auto"/>
            </w:pPr>
            <w:r>
              <w:t>1.95%</w:t>
            </w:r>
          </w:p>
        </w:tc>
        <w:tc>
          <w:tcPr>
            <w:tcW w:w="1418" w:type="dxa"/>
          </w:tcPr>
          <w:p w14:paraId="3BC597A2" w14:textId="6C8AE3E5" w:rsidR="00927C44" w:rsidRDefault="00050711" w:rsidP="001A2C9D">
            <w:pPr>
              <w:tabs>
                <w:tab w:val="left" w:pos="5400"/>
              </w:tabs>
              <w:spacing w:line="276" w:lineRule="auto"/>
            </w:pPr>
            <w:r>
              <w:t>5.81%</w:t>
            </w:r>
          </w:p>
        </w:tc>
        <w:tc>
          <w:tcPr>
            <w:tcW w:w="1269" w:type="dxa"/>
          </w:tcPr>
          <w:p w14:paraId="05EE6D95" w14:textId="3EC4F584" w:rsidR="00927C44" w:rsidRDefault="00050711" w:rsidP="001A2C9D">
            <w:pPr>
              <w:tabs>
                <w:tab w:val="left" w:pos="5400"/>
              </w:tabs>
              <w:spacing w:line="276" w:lineRule="auto"/>
            </w:pPr>
            <w:r>
              <w:t>3.33%</w:t>
            </w:r>
          </w:p>
        </w:tc>
      </w:tr>
    </w:tbl>
    <w:p w14:paraId="0278A37E" w14:textId="77777777" w:rsidR="00927C44" w:rsidRPr="006B4AC7" w:rsidRDefault="00927C44" w:rsidP="006B4AC7">
      <w:pPr>
        <w:tabs>
          <w:tab w:val="left" w:pos="5400"/>
        </w:tabs>
        <w:rPr>
          <w:rFonts w:eastAsiaTheme="majorEastAsia" w:cstheme="majorBidi"/>
          <w:b/>
          <w:color w:val="000000" w:themeColor="text1"/>
          <w:szCs w:val="26"/>
        </w:rPr>
      </w:pPr>
    </w:p>
    <w:p w14:paraId="3A7EEAB8" w14:textId="0B6F4860" w:rsidR="006B4AC7" w:rsidRPr="006B4AC7" w:rsidRDefault="006B4AC7" w:rsidP="006B4AC7">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 xml:space="preserve">7. </w:t>
      </w:r>
      <w:r w:rsidRPr="006B4AC7">
        <w:rPr>
          <w:rFonts w:eastAsiaTheme="majorEastAsia" w:cstheme="majorBidi"/>
          <w:b/>
          <w:color w:val="000000" w:themeColor="text1"/>
          <w:szCs w:val="26"/>
        </w:rPr>
        <w:t>Stop and search – how many done on any grounds, 1st January 2020 to 1st January 2024?</w:t>
      </w:r>
    </w:p>
    <w:p w14:paraId="70ABADB9" w14:textId="77777777" w:rsidR="006B4AC7" w:rsidRDefault="006B4AC7" w:rsidP="006B4AC7">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lastRenderedPageBreak/>
        <w:t xml:space="preserve">8. </w:t>
      </w:r>
      <w:r w:rsidRPr="006B4AC7">
        <w:rPr>
          <w:rFonts w:eastAsiaTheme="majorEastAsia" w:cstheme="majorBidi"/>
          <w:b/>
          <w:color w:val="000000" w:themeColor="text1"/>
          <w:szCs w:val="26"/>
        </w:rPr>
        <w:t>How many of these stop and searches (1st January 2020 to 1st January 2024) involved people of European ethnic background and how many involved ethnic minorities, e.g. Asian (including Chinese); Africans, Caribbean’s, and/or other minority ethnic community members.</w:t>
      </w:r>
    </w:p>
    <w:p w14:paraId="6A850B30" w14:textId="77777777" w:rsidR="00050711" w:rsidRDefault="00050711" w:rsidP="00050711">
      <w:r>
        <w:t>The information sought is held by Police Scotland, but I am refusing to provide it in terms of s</w:t>
      </w:r>
      <w:r w:rsidRPr="00453F0A">
        <w:t>ection 16</w:t>
      </w:r>
      <w:r>
        <w:t>(1) of the Act on the basis that the section 25(1) exemption applies:</w:t>
      </w:r>
    </w:p>
    <w:p w14:paraId="0D0B23AE" w14:textId="77777777" w:rsidR="00050711" w:rsidRDefault="00050711" w:rsidP="00050711">
      <w:r>
        <w:t>“Information which the applicant can reasonably obtain other than by requesting it […] is exempt information”.</w:t>
      </w:r>
    </w:p>
    <w:p w14:paraId="7F648B9F" w14:textId="77777777" w:rsidR="00050711" w:rsidRDefault="00050711" w:rsidP="00050711">
      <w:r>
        <w:t>The information sought is publicly available:</w:t>
      </w:r>
    </w:p>
    <w:p w14:paraId="34BDABB8" w14:textId="615B708A" w:rsidR="00255F1E" w:rsidRPr="00050711" w:rsidRDefault="00896934" w:rsidP="00793DD5">
      <w:pPr>
        <w:tabs>
          <w:tab w:val="left" w:pos="5400"/>
        </w:tabs>
      </w:pPr>
      <w:hyperlink r:id="rId11" w:tgtFrame="_blank" w:history="1">
        <w:r w:rsidR="00050711" w:rsidRPr="00050711">
          <w:rPr>
            <w:rStyle w:val="Hyperlink"/>
            <w:color w:val="0072C6"/>
            <w:shd w:val="clear" w:color="auto" w:fill="FFFFFF"/>
          </w:rPr>
          <w:t>Data Publication - Police Scotland</w:t>
        </w:r>
      </w:hyperlink>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E" w14:textId="77777777" w:rsidR="00491644" w:rsidRDefault="00491644">
    <w:pPr>
      <w:pStyle w:val="Footer"/>
    </w:pPr>
  </w:p>
  <w:p w14:paraId="34BDABCF" w14:textId="0CF5769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693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43BE86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693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4" w14:textId="77777777" w:rsidR="00491644" w:rsidRDefault="00491644">
    <w:pPr>
      <w:pStyle w:val="Footer"/>
    </w:pPr>
  </w:p>
  <w:p w14:paraId="34BDABD5" w14:textId="5E7247A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693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B" w14:textId="323EED9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693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D" w14:textId="075FB9E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693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2" w14:textId="49110C3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693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721C5"/>
    <w:multiLevelType w:val="hybridMultilevel"/>
    <w:tmpl w:val="57BE8B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50711"/>
    <w:rsid w:val="00090F3B"/>
    <w:rsid w:val="000E2F19"/>
    <w:rsid w:val="000E6526"/>
    <w:rsid w:val="00141533"/>
    <w:rsid w:val="00167528"/>
    <w:rsid w:val="00195CC4"/>
    <w:rsid w:val="00207326"/>
    <w:rsid w:val="00253DF6"/>
    <w:rsid w:val="00255F1E"/>
    <w:rsid w:val="0036503B"/>
    <w:rsid w:val="00391D85"/>
    <w:rsid w:val="003D6D03"/>
    <w:rsid w:val="003E12CA"/>
    <w:rsid w:val="004010DC"/>
    <w:rsid w:val="004341F0"/>
    <w:rsid w:val="00456324"/>
    <w:rsid w:val="00475460"/>
    <w:rsid w:val="00490317"/>
    <w:rsid w:val="00491644"/>
    <w:rsid w:val="00496A08"/>
    <w:rsid w:val="004E1605"/>
    <w:rsid w:val="004F653C"/>
    <w:rsid w:val="00540A52"/>
    <w:rsid w:val="00557306"/>
    <w:rsid w:val="00613283"/>
    <w:rsid w:val="00645CFA"/>
    <w:rsid w:val="006B4AC7"/>
    <w:rsid w:val="006D5799"/>
    <w:rsid w:val="00750D83"/>
    <w:rsid w:val="00785DBC"/>
    <w:rsid w:val="00793DD5"/>
    <w:rsid w:val="007D55F6"/>
    <w:rsid w:val="007F490F"/>
    <w:rsid w:val="0086779C"/>
    <w:rsid w:val="00874BFD"/>
    <w:rsid w:val="008964EF"/>
    <w:rsid w:val="00896934"/>
    <w:rsid w:val="00915E01"/>
    <w:rsid w:val="00927C44"/>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251634">
      <w:bodyDiv w:val="1"/>
      <w:marLeft w:val="0"/>
      <w:marRight w:val="0"/>
      <w:marTop w:val="0"/>
      <w:marBottom w:val="0"/>
      <w:divBdr>
        <w:top w:val="none" w:sz="0" w:space="0" w:color="auto"/>
        <w:left w:val="none" w:sz="0" w:space="0" w:color="auto"/>
        <w:bottom w:val="none" w:sz="0" w:space="0" w:color="auto"/>
        <w:right w:val="none" w:sz="0" w:space="0" w:color="auto"/>
      </w:divBdr>
    </w:div>
    <w:div w:id="773479505">
      <w:bodyDiv w:val="1"/>
      <w:marLeft w:val="0"/>
      <w:marRight w:val="0"/>
      <w:marTop w:val="0"/>
      <w:marBottom w:val="0"/>
      <w:divBdr>
        <w:top w:val="none" w:sz="0" w:space="0" w:color="auto"/>
        <w:left w:val="none" w:sz="0" w:space="0" w:color="auto"/>
        <w:bottom w:val="none" w:sz="0" w:space="0" w:color="auto"/>
        <w:right w:val="none" w:sz="0" w:space="0" w:color="auto"/>
      </w:divBdr>
    </w:div>
    <w:div w:id="1338070547">
      <w:bodyDiv w:val="1"/>
      <w:marLeft w:val="0"/>
      <w:marRight w:val="0"/>
      <w:marTop w:val="0"/>
      <w:marBottom w:val="0"/>
      <w:divBdr>
        <w:top w:val="none" w:sz="0" w:space="0" w:color="auto"/>
        <w:left w:val="none" w:sz="0" w:space="0" w:color="auto"/>
        <w:bottom w:val="none" w:sz="0" w:space="0" w:color="auto"/>
        <w:right w:val="none" w:sz="0" w:space="0" w:color="auto"/>
      </w:divBdr>
    </w:div>
    <w:div w:id="1394038039">
      <w:bodyDiv w:val="1"/>
      <w:marLeft w:val="0"/>
      <w:marRight w:val="0"/>
      <w:marTop w:val="0"/>
      <w:marBottom w:val="0"/>
      <w:divBdr>
        <w:top w:val="none" w:sz="0" w:space="0" w:color="auto"/>
        <w:left w:val="none" w:sz="0" w:space="0" w:color="auto"/>
        <w:bottom w:val="none" w:sz="0" w:space="0" w:color="auto"/>
        <w:right w:val="none" w:sz="0" w:space="0" w:color="auto"/>
      </w:divBdr>
    </w:div>
    <w:div w:id="167899389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3663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stop-and-search/data-publication/"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678</Words>
  <Characters>3868</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2024-03-21T10:50:00Z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