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724E30F" w:rsidR="00B17211" w:rsidRPr="00B17211" w:rsidRDefault="00B17211" w:rsidP="007F490F">
            <w:r w:rsidRPr="007F490F">
              <w:rPr>
                <w:rStyle w:val="Heading2Char"/>
              </w:rPr>
              <w:t>Our reference:</w:t>
            </w:r>
            <w:r>
              <w:t xml:space="preserve">  FOI 2</w:t>
            </w:r>
            <w:r w:rsidR="00EF0FBB">
              <w:t>5</w:t>
            </w:r>
            <w:r>
              <w:t>-</w:t>
            </w:r>
            <w:r w:rsidR="00026A89">
              <w:t>2904</w:t>
            </w:r>
          </w:p>
          <w:p w14:paraId="34BDABA6" w14:textId="770B77C7" w:rsidR="00B17211" w:rsidRDefault="00456324" w:rsidP="00EE2373">
            <w:r w:rsidRPr="007F490F">
              <w:rPr>
                <w:rStyle w:val="Heading2Char"/>
              </w:rPr>
              <w:t>Respon</w:t>
            </w:r>
            <w:r w:rsidR="007D55F6">
              <w:rPr>
                <w:rStyle w:val="Heading2Char"/>
              </w:rPr>
              <w:t>ded to:</w:t>
            </w:r>
            <w:r w:rsidR="007F490F">
              <w:t xml:space="preserve">  </w:t>
            </w:r>
            <w:r w:rsidR="009D4AAC">
              <w:t>16</w:t>
            </w:r>
            <w:r w:rsidR="006D5799">
              <w:t xml:space="preserve"> </w:t>
            </w:r>
            <w:r w:rsidR="00F05AEA">
              <w:t>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0112413" w14:textId="499928DF" w:rsidR="004A4076" w:rsidRDefault="004A4076" w:rsidP="004A4076">
      <w:pPr>
        <w:pStyle w:val="Heading2"/>
      </w:pPr>
      <w:r w:rsidRPr="004A4076">
        <w:t xml:space="preserve">We are making a request under the above Act for information relating to the c11n road between Kirkton and Dalswinton, Dumfries. </w:t>
      </w:r>
    </w:p>
    <w:p w14:paraId="0B7521F0" w14:textId="7D16814F" w:rsidR="00ED44AA" w:rsidRPr="00ED44AA" w:rsidRDefault="00ED44AA" w:rsidP="00ED44AA">
      <w:pPr>
        <w:pStyle w:val="Heading2"/>
      </w:pPr>
      <w:r>
        <w:t>[</w:t>
      </w:r>
      <w:r w:rsidRPr="004A4076">
        <w:t>We would also request any photographs held relating to the above requested information. We request the above information from 01.07.2020 to date.</w:t>
      </w:r>
      <w:r>
        <w:t>]</w:t>
      </w:r>
    </w:p>
    <w:p w14:paraId="7CA19489" w14:textId="77777777" w:rsidR="004A4076" w:rsidRPr="004A4076" w:rsidRDefault="004A4076" w:rsidP="004A4076">
      <w:pPr>
        <w:pStyle w:val="Heading2"/>
      </w:pPr>
      <w:r w:rsidRPr="004A4076">
        <w:t xml:space="preserve">In particular, we require the following information:- </w:t>
      </w:r>
    </w:p>
    <w:p w14:paraId="5DCC4F58" w14:textId="38D3DC90" w:rsidR="004A4076" w:rsidRDefault="004A4076" w:rsidP="000E4300">
      <w:pPr>
        <w:pStyle w:val="Heading2"/>
        <w:numPr>
          <w:ilvl w:val="0"/>
          <w:numId w:val="9"/>
        </w:numPr>
      </w:pPr>
      <w:r w:rsidRPr="004A4076">
        <w:t>Information including sight of any written or electronic communication</w:t>
      </w:r>
      <w:r w:rsidR="00604344">
        <w:t xml:space="preserve"> </w:t>
      </w:r>
      <w:r w:rsidRPr="004A4076">
        <w:t xml:space="preserve">detailing reports of unsafe or fallen roadside trees. </w:t>
      </w:r>
    </w:p>
    <w:p w14:paraId="4BF1AFF4" w14:textId="743FBE2C" w:rsidR="00CE1CCC" w:rsidRDefault="00CE1CCC" w:rsidP="00CE1CCC">
      <w:r>
        <w:t>A search was conducted on Police Scotland’s incident recording system (STORM); however, I can confirm that no such reports relating to any fallen tree(s) on the specified area of the C11N road within the specified timeframe have been recorded.</w:t>
      </w:r>
    </w:p>
    <w:p w14:paraId="20B18778" w14:textId="77777777" w:rsidR="000E4300" w:rsidRPr="00CE1CCC" w:rsidRDefault="000E4300" w:rsidP="00CE1CCC"/>
    <w:p w14:paraId="020CBB50" w14:textId="77777777" w:rsidR="004A4076" w:rsidRDefault="004A4076" w:rsidP="000E4300">
      <w:pPr>
        <w:pStyle w:val="Heading2"/>
        <w:numPr>
          <w:ilvl w:val="0"/>
          <w:numId w:val="9"/>
        </w:numPr>
      </w:pPr>
      <w:r w:rsidRPr="004A4076">
        <w:t xml:space="preserve">Information including sight of any written or electronic communication detailing reports of accidents on the c11n road. </w:t>
      </w:r>
    </w:p>
    <w:p w14:paraId="376C3F12" w14:textId="528888F1" w:rsidR="00ED44AA" w:rsidRDefault="00A8354F" w:rsidP="00CE1CCC">
      <w:r>
        <w:t>The table below details recorded Road Traffic Collisions</w:t>
      </w:r>
      <w:r w:rsidR="00CE1CCC">
        <w:t xml:space="preserve"> (RTCs)</w:t>
      </w:r>
      <w:r>
        <w:t xml:space="preserve"> on the C11N </w:t>
      </w:r>
      <w:r w:rsidR="000379DC">
        <w:t xml:space="preserve">Auldgirth </w:t>
      </w:r>
      <w:r w:rsidR="00F5293C">
        <w:t xml:space="preserve">to Kirkton </w:t>
      </w:r>
      <w:r w:rsidR="00CE1CCC">
        <w:t>r</w:t>
      </w:r>
      <w:r w:rsidR="000379DC">
        <w:t>oad</w:t>
      </w:r>
      <w:r>
        <w:t xml:space="preserve"> (Dumfries) </w:t>
      </w:r>
      <w:r w:rsidRPr="000D7A05">
        <w:t>broken down by collision severity</w:t>
      </w:r>
      <w:r w:rsidR="000D7A05" w:rsidRPr="000D7A05">
        <w:t>,</w:t>
      </w:r>
      <w:r>
        <w:t xml:space="preserve"> from 1 January 2020 to 31 October 2025, inclusive:</w:t>
      </w:r>
    </w:p>
    <w:tbl>
      <w:tblPr>
        <w:tblStyle w:val="TableGrid"/>
        <w:tblW w:w="0" w:type="auto"/>
        <w:tblLook w:val="04A0" w:firstRow="1" w:lastRow="0" w:firstColumn="1" w:lastColumn="0" w:noHBand="0" w:noVBand="1"/>
      </w:tblPr>
      <w:tblGrid>
        <w:gridCol w:w="1984"/>
        <w:gridCol w:w="992"/>
        <w:gridCol w:w="992"/>
        <w:gridCol w:w="992"/>
        <w:gridCol w:w="992"/>
        <w:gridCol w:w="992"/>
        <w:gridCol w:w="993"/>
      </w:tblGrid>
      <w:tr w:rsidR="00CE1CCC" w14:paraId="45FC33A2" w14:textId="3462414D" w:rsidTr="003C56EF">
        <w:tc>
          <w:tcPr>
            <w:tcW w:w="1984" w:type="dxa"/>
            <w:shd w:val="clear" w:color="auto" w:fill="D9D9D9" w:themeFill="background1" w:themeFillShade="D9"/>
          </w:tcPr>
          <w:p w14:paraId="3ED300D9" w14:textId="05971D75" w:rsidR="00CE1CCC" w:rsidRPr="00A8354F" w:rsidRDefault="00CE1CCC" w:rsidP="000E4300">
            <w:pPr>
              <w:spacing w:line="240" w:lineRule="auto"/>
              <w:jc w:val="center"/>
              <w:rPr>
                <w:b/>
                <w:bCs/>
              </w:rPr>
            </w:pPr>
            <w:r>
              <w:rPr>
                <w:b/>
                <w:bCs/>
              </w:rPr>
              <w:t>Collisions</w:t>
            </w:r>
          </w:p>
        </w:tc>
        <w:tc>
          <w:tcPr>
            <w:tcW w:w="992" w:type="dxa"/>
            <w:shd w:val="clear" w:color="auto" w:fill="D9D9D9" w:themeFill="background1" w:themeFillShade="D9"/>
          </w:tcPr>
          <w:p w14:paraId="5BE12731" w14:textId="1DC469CF" w:rsidR="00CE1CCC" w:rsidRDefault="00CE1CCC" w:rsidP="000E4300">
            <w:pPr>
              <w:spacing w:line="240" w:lineRule="auto"/>
              <w:jc w:val="center"/>
              <w:rPr>
                <w:b/>
                <w:bCs/>
              </w:rPr>
            </w:pPr>
            <w:r>
              <w:rPr>
                <w:b/>
                <w:bCs/>
              </w:rPr>
              <w:t>2020</w:t>
            </w:r>
          </w:p>
        </w:tc>
        <w:tc>
          <w:tcPr>
            <w:tcW w:w="992" w:type="dxa"/>
            <w:shd w:val="clear" w:color="auto" w:fill="D9D9D9" w:themeFill="background1" w:themeFillShade="D9"/>
          </w:tcPr>
          <w:p w14:paraId="277C1BAC" w14:textId="1EF28D0D" w:rsidR="00CE1CCC" w:rsidRDefault="00CE1CCC" w:rsidP="000E4300">
            <w:pPr>
              <w:spacing w:line="240" w:lineRule="auto"/>
              <w:jc w:val="center"/>
              <w:rPr>
                <w:b/>
                <w:bCs/>
              </w:rPr>
            </w:pPr>
            <w:r>
              <w:rPr>
                <w:b/>
                <w:bCs/>
              </w:rPr>
              <w:t>2021</w:t>
            </w:r>
          </w:p>
        </w:tc>
        <w:tc>
          <w:tcPr>
            <w:tcW w:w="992" w:type="dxa"/>
            <w:shd w:val="clear" w:color="auto" w:fill="D9D9D9" w:themeFill="background1" w:themeFillShade="D9"/>
          </w:tcPr>
          <w:p w14:paraId="3FD44905" w14:textId="510AD437" w:rsidR="00CE1CCC" w:rsidRPr="00A8354F" w:rsidRDefault="00CE1CCC" w:rsidP="000E4300">
            <w:pPr>
              <w:spacing w:line="240" w:lineRule="auto"/>
              <w:jc w:val="center"/>
              <w:rPr>
                <w:b/>
                <w:bCs/>
              </w:rPr>
            </w:pPr>
            <w:r>
              <w:rPr>
                <w:b/>
                <w:bCs/>
              </w:rPr>
              <w:t>2022</w:t>
            </w:r>
          </w:p>
        </w:tc>
        <w:tc>
          <w:tcPr>
            <w:tcW w:w="992" w:type="dxa"/>
            <w:shd w:val="clear" w:color="auto" w:fill="D9D9D9" w:themeFill="background1" w:themeFillShade="D9"/>
          </w:tcPr>
          <w:p w14:paraId="4E020EFF" w14:textId="7806E0A9" w:rsidR="00CE1CCC" w:rsidRPr="00A8354F" w:rsidRDefault="00CE1CCC" w:rsidP="000E4300">
            <w:pPr>
              <w:spacing w:line="240" w:lineRule="auto"/>
              <w:jc w:val="center"/>
              <w:rPr>
                <w:b/>
                <w:bCs/>
              </w:rPr>
            </w:pPr>
            <w:r>
              <w:rPr>
                <w:b/>
                <w:bCs/>
              </w:rPr>
              <w:t>2023</w:t>
            </w:r>
          </w:p>
        </w:tc>
        <w:tc>
          <w:tcPr>
            <w:tcW w:w="992" w:type="dxa"/>
            <w:shd w:val="clear" w:color="auto" w:fill="D9D9D9" w:themeFill="background1" w:themeFillShade="D9"/>
          </w:tcPr>
          <w:p w14:paraId="40061FBC" w14:textId="3771FD00" w:rsidR="00CE1CCC" w:rsidRPr="00A8354F" w:rsidRDefault="00CE1CCC" w:rsidP="000E4300">
            <w:pPr>
              <w:spacing w:line="240" w:lineRule="auto"/>
              <w:jc w:val="center"/>
              <w:rPr>
                <w:b/>
                <w:bCs/>
              </w:rPr>
            </w:pPr>
            <w:r>
              <w:rPr>
                <w:b/>
                <w:bCs/>
              </w:rPr>
              <w:t>2024</w:t>
            </w:r>
          </w:p>
        </w:tc>
        <w:tc>
          <w:tcPr>
            <w:tcW w:w="993" w:type="dxa"/>
            <w:shd w:val="clear" w:color="auto" w:fill="D9D9D9" w:themeFill="background1" w:themeFillShade="D9"/>
          </w:tcPr>
          <w:p w14:paraId="3870083B" w14:textId="6860A866" w:rsidR="00CE1CCC" w:rsidRDefault="00CE1CCC" w:rsidP="000E4300">
            <w:pPr>
              <w:spacing w:line="240" w:lineRule="auto"/>
              <w:jc w:val="center"/>
              <w:rPr>
                <w:b/>
                <w:bCs/>
              </w:rPr>
            </w:pPr>
            <w:r>
              <w:rPr>
                <w:b/>
                <w:bCs/>
              </w:rPr>
              <w:t>2025</w:t>
            </w:r>
          </w:p>
        </w:tc>
      </w:tr>
      <w:tr w:rsidR="00CE1CCC" w14:paraId="3853300A" w14:textId="3CF8906E" w:rsidTr="003C56EF">
        <w:tc>
          <w:tcPr>
            <w:tcW w:w="1984" w:type="dxa"/>
          </w:tcPr>
          <w:p w14:paraId="77559A80" w14:textId="5B07E469" w:rsidR="00CE1CCC" w:rsidRDefault="00CE1CCC" w:rsidP="000E4300">
            <w:pPr>
              <w:spacing w:line="240" w:lineRule="auto"/>
            </w:pPr>
            <w:r>
              <w:t>Slight</w:t>
            </w:r>
          </w:p>
        </w:tc>
        <w:tc>
          <w:tcPr>
            <w:tcW w:w="992" w:type="dxa"/>
          </w:tcPr>
          <w:p w14:paraId="69537A3A" w14:textId="5A19EC3C" w:rsidR="00CE1CCC" w:rsidRDefault="00CE1CCC" w:rsidP="000E4300">
            <w:pPr>
              <w:spacing w:line="240" w:lineRule="auto"/>
              <w:jc w:val="right"/>
            </w:pPr>
            <w:r>
              <w:t>0</w:t>
            </w:r>
          </w:p>
        </w:tc>
        <w:tc>
          <w:tcPr>
            <w:tcW w:w="992" w:type="dxa"/>
          </w:tcPr>
          <w:p w14:paraId="75F19AF9" w14:textId="2F88A2B3" w:rsidR="00CE1CCC" w:rsidRDefault="00CE1CCC" w:rsidP="000E4300">
            <w:pPr>
              <w:spacing w:line="240" w:lineRule="auto"/>
              <w:jc w:val="right"/>
            </w:pPr>
            <w:r>
              <w:t>0</w:t>
            </w:r>
          </w:p>
        </w:tc>
        <w:tc>
          <w:tcPr>
            <w:tcW w:w="992" w:type="dxa"/>
          </w:tcPr>
          <w:p w14:paraId="2A1519BC" w14:textId="5F3E5938" w:rsidR="00CE1CCC" w:rsidRDefault="00CE1CCC" w:rsidP="000E4300">
            <w:pPr>
              <w:spacing w:line="240" w:lineRule="auto"/>
              <w:jc w:val="right"/>
            </w:pPr>
            <w:r>
              <w:t>0</w:t>
            </w:r>
          </w:p>
        </w:tc>
        <w:tc>
          <w:tcPr>
            <w:tcW w:w="992" w:type="dxa"/>
          </w:tcPr>
          <w:p w14:paraId="0689173E" w14:textId="3EDBE6F4" w:rsidR="00CE1CCC" w:rsidRDefault="00CE1CCC" w:rsidP="000E4300">
            <w:pPr>
              <w:spacing w:line="240" w:lineRule="auto"/>
              <w:jc w:val="right"/>
            </w:pPr>
            <w:r>
              <w:t>0</w:t>
            </w:r>
          </w:p>
        </w:tc>
        <w:tc>
          <w:tcPr>
            <w:tcW w:w="992" w:type="dxa"/>
          </w:tcPr>
          <w:p w14:paraId="544D661C" w14:textId="367C529E" w:rsidR="00CE1CCC" w:rsidRDefault="00CE1CCC" w:rsidP="000E4300">
            <w:pPr>
              <w:spacing w:line="240" w:lineRule="auto"/>
              <w:jc w:val="right"/>
            </w:pPr>
            <w:r>
              <w:t>1</w:t>
            </w:r>
          </w:p>
        </w:tc>
        <w:tc>
          <w:tcPr>
            <w:tcW w:w="993" w:type="dxa"/>
          </w:tcPr>
          <w:p w14:paraId="26C9B35D" w14:textId="65522744" w:rsidR="00CE1CCC" w:rsidRDefault="00CE1CCC" w:rsidP="000E4300">
            <w:pPr>
              <w:spacing w:line="240" w:lineRule="auto"/>
              <w:jc w:val="right"/>
            </w:pPr>
            <w:r>
              <w:t>0</w:t>
            </w:r>
          </w:p>
        </w:tc>
      </w:tr>
      <w:tr w:rsidR="00CE1CCC" w14:paraId="1FE01447" w14:textId="22F2C3BD" w:rsidTr="003C56EF">
        <w:tc>
          <w:tcPr>
            <w:tcW w:w="1984" w:type="dxa"/>
          </w:tcPr>
          <w:p w14:paraId="6A66D0BD" w14:textId="39021D87" w:rsidR="00CE1CCC" w:rsidRDefault="00CE1CCC" w:rsidP="000E4300">
            <w:pPr>
              <w:spacing w:line="240" w:lineRule="auto"/>
            </w:pPr>
            <w:r>
              <w:t>Serious</w:t>
            </w:r>
          </w:p>
        </w:tc>
        <w:tc>
          <w:tcPr>
            <w:tcW w:w="992" w:type="dxa"/>
          </w:tcPr>
          <w:p w14:paraId="0317EEE6" w14:textId="27D66BE5" w:rsidR="00CE1CCC" w:rsidRDefault="00CE1CCC" w:rsidP="000E4300">
            <w:pPr>
              <w:spacing w:line="240" w:lineRule="auto"/>
              <w:jc w:val="right"/>
            </w:pPr>
            <w:r>
              <w:t>0</w:t>
            </w:r>
          </w:p>
        </w:tc>
        <w:tc>
          <w:tcPr>
            <w:tcW w:w="992" w:type="dxa"/>
          </w:tcPr>
          <w:p w14:paraId="51D6D48E" w14:textId="67F5F2E0" w:rsidR="00CE1CCC" w:rsidRDefault="00CE1CCC" w:rsidP="000E4300">
            <w:pPr>
              <w:spacing w:line="240" w:lineRule="auto"/>
              <w:jc w:val="right"/>
            </w:pPr>
            <w:r>
              <w:t>0</w:t>
            </w:r>
          </w:p>
        </w:tc>
        <w:tc>
          <w:tcPr>
            <w:tcW w:w="992" w:type="dxa"/>
          </w:tcPr>
          <w:p w14:paraId="0562CC17" w14:textId="50D3364C" w:rsidR="00CE1CCC" w:rsidRDefault="00CE1CCC" w:rsidP="000E4300">
            <w:pPr>
              <w:spacing w:line="240" w:lineRule="auto"/>
              <w:jc w:val="right"/>
            </w:pPr>
            <w:r>
              <w:t>0</w:t>
            </w:r>
          </w:p>
        </w:tc>
        <w:tc>
          <w:tcPr>
            <w:tcW w:w="992" w:type="dxa"/>
          </w:tcPr>
          <w:p w14:paraId="3A3C3146" w14:textId="24F0A44D" w:rsidR="00CE1CCC" w:rsidRDefault="00CE1CCC" w:rsidP="000E4300">
            <w:pPr>
              <w:spacing w:line="240" w:lineRule="auto"/>
              <w:jc w:val="right"/>
            </w:pPr>
            <w:r>
              <w:t>1</w:t>
            </w:r>
          </w:p>
        </w:tc>
        <w:tc>
          <w:tcPr>
            <w:tcW w:w="992" w:type="dxa"/>
          </w:tcPr>
          <w:p w14:paraId="323B16A2" w14:textId="5A7A58CE" w:rsidR="00CE1CCC" w:rsidRDefault="00CE1CCC" w:rsidP="000E4300">
            <w:pPr>
              <w:spacing w:line="240" w:lineRule="auto"/>
              <w:jc w:val="right"/>
            </w:pPr>
            <w:r>
              <w:t>0</w:t>
            </w:r>
          </w:p>
        </w:tc>
        <w:tc>
          <w:tcPr>
            <w:tcW w:w="993" w:type="dxa"/>
          </w:tcPr>
          <w:p w14:paraId="564BF20A" w14:textId="3080678B" w:rsidR="00CE1CCC" w:rsidRDefault="00CE1CCC" w:rsidP="000E4300">
            <w:pPr>
              <w:spacing w:line="240" w:lineRule="auto"/>
              <w:jc w:val="right"/>
            </w:pPr>
            <w:r>
              <w:t>0</w:t>
            </w:r>
          </w:p>
        </w:tc>
      </w:tr>
      <w:tr w:rsidR="00CE1CCC" w14:paraId="50B6DAA7" w14:textId="3A91554E" w:rsidTr="003C56EF">
        <w:tc>
          <w:tcPr>
            <w:tcW w:w="1984" w:type="dxa"/>
          </w:tcPr>
          <w:p w14:paraId="7276AFF2" w14:textId="18749175" w:rsidR="00CE1CCC" w:rsidRDefault="00CE1CCC" w:rsidP="000E4300">
            <w:pPr>
              <w:spacing w:line="240" w:lineRule="auto"/>
            </w:pPr>
            <w:r>
              <w:t xml:space="preserve">Fatal </w:t>
            </w:r>
          </w:p>
        </w:tc>
        <w:tc>
          <w:tcPr>
            <w:tcW w:w="992" w:type="dxa"/>
          </w:tcPr>
          <w:p w14:paraId="27C1AE2F" w14:textId="61736E8A" w:rsidR="00CE1CCC" w:rsidRDefault="00CE1CCC" w:rsidP="000E4300">
            <w:pPr>
              <w:spacing w:line="240" w:lineRule="auto"/>
              <w:jc w:val="right"/>
            </w:pPr>
            <w:r>
              <w:t>0</w:t>
            </w:r>
          </w:p>
        </w:tc>
        <w:tc>
          <w:tcPr>
            <w:tcW w:w="992" w:type="dxa"/>
          </w:tcPr>
          <w:p w14:paraId="1009B33B" w14:textId="246484F1" w:rsidR="00CE1CCC" w:rsidRDefault="00CE1CCC" w:rsidP="000E4300">
            <w:pPr>
              <w:spacing w:line="240" w:lineRule="auto"/>
              <w:jc w:val="right"/>
            </w:pPr>
            <w:r>
              <w:t>0</w:t>
            </w:r>
          </w:p>
        </w:tc>
        <w:tc>
          <w:tcPr>
            <w:tcW w:w="992" w:type="dxa"/>
          </w:tcPr>
          <w:p w14:paraId="4E48D40B" w14:textId="39A52859" w:rsidR="00CE1CCC" w:rsidRDefault="00CE1CCC" w:rsidP="000E4300">
            <w:pPr>
              <w:spacing w:line="240" w:lineRule="auto"/>
              <w:jc w:val="right"/>
            </w:pPr>
            <w:r>
              <w:t>0</w:t>
            </w:r>
          </w:p>
        </w:tc>
        <w:tc>
          <w:tcPr>
            <w:tcW w:w="992" w:type="dxa"/>
          </w:tcPr>
          <w:p w14:paraId="5AFB9105" w14:textId="1537F556" w:rsidR="00CE1CCC" w:rsidRDefault="00CE1CCC" w:rsidP="000E4300">
            <w:pPr>
              <w:spacing w:line="240" w:lineRule="auto"/>
              <w:jc w:val="right"/>
            </w:pPr>
            <w:r>
              <w:t>0</w:t>
            </w:r>
          </w:p>
        </w:tc>
        <w:tc>
          <w:tcPr>
            <w:tcW w:w="992" w:type="dxa"/>
          </w:tcPr>
          <w:p w14:paraId="7FF763A6" w14:textId="22ADC13C" w:rsidR="00CE1CCC" w:rsidRDefault="00CE1CCC" w:rsidP="000E4300">
            <w:pPr>
              <w:spacing w:line="240" w:lineRule="auto"/>
              <w:jc w:val="right"/>
            </w:pPr>
            <w:r>
              <w:t>0</w:t>
            </w:r>
          </w:p>
        </w:tc>
        <w:tc>
          <w:tcPr>
            <w:tcW w:w="993" w:type="dxa"/>
          </w:tcPr>
          <w:p w14:paraId="74826BD9" w14:textId="7EDAF1EF" w:rsidR="00CE1CCC" w:rsidRDefault="00CE1CCC" w:rsidP="000E4300">
            <w:pPr>
              <w:spacing w:line="240" w:lineRule="auto"/>
              <w:jc w:val="right"/>
            </w:pPr>
            <w:r>
              <w:t>1</w:t>
            </w:r>
          </w:p>
        </w:tc>
      </w:tr>
      <w:tr w:rsidR="00CE1CCC" w14:paraId="40A8C1F2" w14:textId="4A704DDB" w:rsidTr="000E4300">
        <w:tc>
          <w:tcPr>
            <w:tcW w:w="1984" w:type="dxa"/>
          </w:tcPr>
          <w:p w14:paraId="11EF228B" w14:textId="52CDEB9F" w:rsidR="00CE1CCC" w:rsidRPr="00A8354F" w:rsidRDefault="00CE1CCC" w:rsidP="000E4300">
            <w:pPr>
              <w:spacing w:line="240" w:lineRule="auto"/>
              <w:rPr>
                <w:b/>
                <w:bCs/>
              </w:rPr>
            </w:pPr>
            <w:r w:rsidRPr="00A8354F">
              <w:rPr>
                <w:b/>
                <w:bCs/>
              </w:rPr>
              <w:t xml:space="preserve">Total </w:t>
            </w:r>
          </w:p>
        </w:tc>
        <w:tc>
          <w:tcPr>
            <w:tcW w:w="992" w:type="dxa"/>
          </w:tcPr>
          <w:p w14:paraId="68C41777" w14:textId="3F4CDF1A" w:rsidR="00CE1CCC" w:rsidRDefault="00CE1CCC" w:rsidP="000E4300">
            <w:pPr>
              <w:spacing w:line="240" w:lineRule="auto"/>
              <w:jc w:val="right"/>
              <w:rPr>
                <w:b/>
                <w:bCs/>
              </w:rPr>
            </w:pPr>
            <w:r>
              <w:rPr>
                <w:b/>
                <w:bCs/>
              </w:rPr>
              <w:t>0</w:t>
            </w:r>
          </w:p>
        </w:tc>
        <w:tc>
          <w:tcPr>
            <w:tcW w:w="992" w:type="dxa"/>
          </w:tcPr>
          <w:p w14:paraId="711B56A2" w14:textId="0317C237" w:rsidR="00CE1CCC" w:rsidRDefault="00CE1CCC" w:rsidP="000E4300">
            <w:pPr>
              <w:spacing w:line="240" w:lineRule="auto"/>
              <w:jc w:val="right"/>
              <w:rPr>
                <w:b/>
                <w:bCs/>
              </w:rPr>
            </w:pPr>
            <w:r>
              <w:rPr>
                <w:b/>
                <w:bCs/>
              </w:rPr>
              <w:t>0</w:t>
            </w:r>
          </w:p>
        </w:tc>
        <w:tc>
          <w:tcPr>
            <w:tcW w:w="992" w:type="dxa"/>
          </w:tcPr>
          <w:p w14:paraId="1E0CFB3A" w14:textId="5F2D8A31" w:rsidR="00CE1CCC" w:rsidRPr="00A8354F" w:rsidRDefault="00CE1CCC" w:rsidP="000E4300">
            <w:pPr>
              <w:spacing w:line="240" w:lineRule="auto"/>
              <w:jc w:val="right"/>
              <w:rPr>
                <w:b/>
                <w:bCs/>
              </w:rPr>
            </w:pPr>
            <w:r>
              <w:rPr>
                <w:b/>
                <w:bCs/>
              </w:rPr>
              <w:t>0</w:t>
            </w:r>
          </w:p>
        </w:tc>
        <w:tc>
          <w:tcPr>
            <w:tcW w:w="992" w:type="dxa"/>
          </w:tcPr>
          <w:p w14:paraId="730E938B" w14:textId="1ECB9DCA" w:rsidR="00CE1CCC" w:rsidRPr="00A8354F" w:rsidRDefault="00CE1CCC" w:rsidP="000E4300">
            <w:pPr>
              <w:spacing w:line="240" w:lineRule="auto"/>
              <w:jc w:val="right"/>
              <w:rPr>
                <w:b/>
                <w:bCs/>
              </w:rPr>
            </w:pPr>
            <w:r>
              <w:rPr>
                <w:b/>
                <w:bCs/>
              </w:rPr>
              <w:t>1</w:t>
            </w:r>
          </w:p>
        </w:tc>
        <w:tc>
          <w:tcPr>
            <w:tcW w:w="992" w:type="dxa"/>
          </w:tcPr>
          <w:p w14:paraId="113F3389" w14:textId="0471150B" w:rsidR="00CE1CCC" w:rsidRPr="00A8354F" w:rsidRDefault="00CE1CCC" w:rsidP="000E4300">
            <w:pPr>
              <w:spacing w:line="240" w:lineRule="auto"/>
              <w:jc w:val="right"/>
              <w:rPr>
                <w:b/>
                <w:bCs/>
              </w:rPr>
            </w:pPr>
            <w:r>
              <w:rPr>
                <w:b/>
                <w:bCs/>
              </w:rPr>
              <w:t>1</w:t>
            </w:r>
          </w:p>
        </w:tc>
        <w:tc>
          <w:tcPr>
            <w:tcW w:w="993" w:type="dxa"/>
          </w:tcPr>
          <w:p w14:paraId="5167A54C" w14:textId="0141057E" w:rsidR="00CE1CCC" w:rsidRPr="00A8354F" w:rsidRDefault="00CE1CCC" w:rsidP="000E4300">
            <w:pPr>
              <w:spacing w:line="240" w:lineRule="auto"/>
              <w:jc w:val="right"/>
              <w:rPr>
                <w:b/>
                <w:bCs/>
              </w:rPr>
            </w:pPr>
            <w:r>
              <w:rPr>
                <w:b/>
                <w:bCs/>
              </w:rPr>
              <w:t>1</w:t>
            </w:r>
          </w:p>
        </w:tc>
      </w:tr>
    </w:tbl>
    <w:p w14:paraId="4E99A26E" w14:textId="77777777" w:rsidR="000379DC" w:rsidRDefault="000379DC" w:rsidP="000E4300">
      <w:r w:rsidRPr="000379DC">
        <w:t>All statistics are provisional and should be treated as management information.</w:t>
      </w:r>
    </w:p>
    <w:p w14:paraId="569EEB4F" w14:textId="3EC6C800" w:rsidR="00604344" w:rsidRDefault="00A46B9D" w:rsidP="000E4300">
      <w:r>
        <w:lastRenderedPageBreak/>
        <w:t xml:space="preserve">Data was extracted </w:t>
      </w:r>
      <w:r w:rsidR="000379DC" w:rsidRPr="000379DC">
        <w:t>from Police Scotland systems and are correct as of 11</w:t>
      </w:r>
      <w:r>
        <w:t>/11/2025.</w:t>
      </w:r>
      <w:r w:rsidR="000E4300">
        <w:br/>
      </w:r>
      <w:r w:rsidR="00604344" w:rsidRPr="00604344">
        <w:t>Data excludes non-injury collisions as per standard operating procedure.</w:t>
      </w:r>
      <w:r w:rsidR="000E4300">
        <w:br/>
        <w:t>Following implementation</w:t>
      </w:r>
      <w:r w:rsidR="000E4300" w:rsidRPr="00EA62FF">
        <w:t xml:space="preserve"> within D Division</w:t>
      </w:r>
      <w:r w:rsidR="000E4300">
        <w:t xml:space="preserve"> on </w:t>
      </w:r>
      <w:r w:rsidR="000E4300" w:rsidRPr="00EA62FF">
        <w:t>12 June 2019</w:t>
      </w:r>
      <w:r w:rsidR="000E4300">
        <w:t xml:space="preserve">, </w:t>
      </w:r>
      <w:r w:rsidR="000E4300" w:rsidRPr="00EA62FF">
        <w:t xml:space="preserve">CRaSH was implemented across </w:t>
      </w:r>
      <w:r w:rsidR="000E4300">
        <w:t>all</w:t>
      </w:r>
      <w:r w:rsidR="000E4300" w:rsidRPr="00EA62FF">
        <w:t xml:space="preserve"> other Divisions</w:t>
      </w:r>
      <w:r w:rsidR="000E4300" w:rsidRPr="003C5C27">
        <w:t xml:space="preserve"> </w:t>
      </w:r>
      <w:r w:rsidR="000E4300">
        <w:t>o</w:t>
      </w:r>
      <w:r w:rsidR="000E4300" w:rsidRPr="00EA62FF">
        <w:t>n 3 July 2019</w:t>
      </w:r>
      <w:r w:rsidR="000E4300">
        <w:t>, rep</w:t>
      </w:r>
      <w:r w:rsidR="000E4300" w:rsidRPr="00EA62FF">
        <w:t>lac</w:t>
      </w:r>
      <w:r w:rsidR="000E4300">
        <w:t>ing</w:t>
      </w:r>
      <w:r w:rsidR="000E4300" w:rsidRPr="00EA62FF">
        <w:t xml:space="preserve"> the existing </w:t>
      </w:r>
      <w:r w:rsidR="000E4300">
        <w:t xml:space="preserve">RTC recording </w:t>
      </w:r>
      <w:r w:rsidR="000E4300" w:rsidRPr="00EA62FF">
        <w:t>procedures</w:t>
      </w:r>
      <w:r w:rsidR="000E4300">
        <w:t>.</w:t>
      </w:r>
      <w:r w:rsidR="000E4300">
        <w:br/>
        <w:t>D</w:t>
      </w:r>
      <w:r w:rsidR="00604344" w:rsidRPr="00604344">
        <w:t xml:space="preserve">ata is subject to change and will be updated on the next </w:t>
      </w:r>
      <w:r w:rsidR="000E4300" w:rsidRPr="00604344">
        <w:t xml:space="preserve">CRaSH </w:t>
      </w:r>
      <w:r w:rsidR="00604344" w:rsidRPr="00604344">
        <w:t xml:space="preserve">extract on </w:t>
      </w:r>
      <w:r w:rsidR="000E4300">
        <w:t>0</w:t>
      </w:r>
      <w:r w:rsidR="00604344" w:rsidRPr="00604344">
        <w:t>3</w:t>
      </w:r>
      <w:r w:rsidR="000E4300">
        <w:t>/12/</w:t>
      </w:r>
      <w:r w:rsidR="00604344" w:rsidRPr="00604344">
        <w:t>2025.</w:t>
      </w:r>
      <w:r w:rsidR="000E4300">
        <w:br/>
      </w:r>
      <w:r w:rsidR="00604344" w:rsidRPr="00F05AEA">
        <w:t>Records will have to be read to determine the Contributory Factors.</w:t>
      </w:r>
    </w:p>
    <w:p w14:paraId="7C4DA764" w14:textId="77777777" w:rsidR="000E4300" w:rsidRDefault="000E4300" w:rsidP="000E4300">
      <w:pPr>
        <w:pStyle w:val="Heading2"/>
      </w:pPr>
    </w:p>
    <w:p w14:paraId="58DE14D8" w14:textId="55A6D531" w:rsidR="00CE1CCC" w:rsidRDefault="00CE1CCC" w:rsidP="000E4300">
      <w:pPr>
        <w:pStyle w:val="Heading2"/>
        <w:numPr>
          <w:ilvl w:val="0"/>
          <w:numId w:val="9"/>
        </w:numPr>
      </w:pPr>
      <w:r w:rsidRPr="004A4076">
        <w:t xml:space="preserve">Information including sight of any written or electronic communication between Police Scotland and Dumfries and Galloway where reference is made to the C11n and the stretch between Kirkton and Dalswinton to include any Traffic Incident Reports </w:t>
      </w:r>
    </w:p>
    <w:p w14:paraId="15165BAE" w14:textId="4A1FED2B" w:rsidR="00E430A9" w:rsidRPr="00E430A9" w:rsidRDefault="00E430A9" w:rsidP="00E430A9">
      <w:r w:rsidRPr="00E430A9">
        <w:t>Please refer to the document attached separately to this response, which includes communications</w:t>
      </w:r>
      <w:r w:rsidR="00C92189">
        <w:t xml:space="preserve"> </w:t>
      </w:r>
      <w:r w:rsidR="0055723F">
        <w:t xml:space="preserve">with </w:t>
      </w:r>
      <w:r w:rsidRPr="00E430A9">
        <w:t>Dumfries and Galloway Council regarding RTCs as well as the enforcement of a 20mph speed limit restriction on the C11N road.</w:t>
      </w:r>
    </w:p>
    <w:p w14:paraId="0994833F" w14:textId="547A64DD" w:rsidR="00E430A9" w:rsidRDefault="00E430A9" w:rsidP="00E430A9">
      <w:r w:rsidRPr="00E430A9">
        <w:t>It should be noted that some information has been redacted within the document, which I am refusing to provide either because it is out of scope or the following exemptions under section 16(1) of the Act apply:</w:t>
      </w:r>
      <w:r>
        <w:t xml:space="preserve"> </w:t>
      </w:r>
    </w:p>
    <w:p w14:paraId="217BC614" w14:textId="77777777" w:rsidR="00E430A9" w:rsidRPr="009856CD" w:rsidRDefault="00E430A9" w:rsidP="00E430A9">
      <w:pPr>
        <w:pStyle w:val="ListParagraph"/>
        <w:numPr>
          <w:ilvl w:val="0"/>
          <w:numId w:val="5"/>
        </w:numPr>
        <w:rPr>
          <w:b/>
          <w:bCs/>
        </w:rPr>
      </w:pPr>
      <w:r w:rsidRPr="009856CD">
        <w:rPr>
          <w:b/>
          <w:bCs/>
        </w:rPr>
        <w:t>Section 30(c) - Prejudice to the Effective Conduct of Public Affairs</w:t>
      </w:r>
    </w:p>
    <w:p w14:paraId="246ABDF7" w14:textId="77777777" w:rsidR="00E430A9" w:rsidRDefault="00E430A9" w:rsidP="00E430A9">
      <w:r w:rsidRPr="009856CD">
        <w:t>Information is exempt information if its disclosure under the Act would otherwise prejudice substantially, or be likely to prejudice substantially, the effective conduct of public affairs.</w:t>
      </w:r>
    </w:p>
    <w:p w14:paraId="2E067842" w14:textId="58A2C814" w:rsidR="00E430A9" w:rsidRDefault="00E430A9" w:rsidP="00E430A9">
      <w:r w:rsidRPr="009856CD">
        <w:t xml:space="preserve">In this </w:t>
      </w:r>
      <w:r w:rsidRPr="006234AC">
        <w:t>instance e-mail addresses</w:t>
      </w:r>
      <w:r w:rsidR="00676A19" w:rsidRPr="006234AC">
        <w:t xml:space="preserve"> and phone numbers </w:t>
      </w:r>
      <w:r w:rsidRPr="006234AC">
        <w:t>cannot be disclosed</w:t>
      </w:r>
      <w:r w:rsidRPr="009856CD">
        <w:t xml:space="preserve">. To release these details publicly through FOI legislation could negatively impact on the operational effectiveness of the relevant departments within Police Scotland and with our partner agencies. They are used for operational/ business purposes, and this information has been removed to ensure those internal processes are protected. </w:t>
      </w:r>
    </w:p>
    <w:p w14:paraId="49405969" w14:textId="77777777" w:rsidR="00E430A9" w:rsidRDefault="00E430A9" w:rsidP="00E430A9">
      <w:pPr>
        <w:jc w:val="both"/>
      </w:pPr>
      <w:r w:rsidRPr="009856CD">
        <w:t xml:space="preserve">This is a non-absolute exemption which requires the application of the </w:t>
      </w:r>
      <w:r w:rsidRPr="009856CD">
        <w:rPr>
          <w:b/>
          <w:bCs/>
        </w:rPr>
        <w:t>Public Interest Test</w:t>
      </w:r>
      <w:r w:rsidRPr="009856CD">
        <w:t>:</w:t>
      </w:r>
    </w:p>
    <w:p w14:paraId="44B2FE64" w14:textId="77777777" w:rsidR="00E430A9" w:rsidRDefault="00E430A9" w:rsidP="00E430A9">
      <w:r w:rsidRPr="009856CD">
        <w:t xml:space="preserve">While it is acknowledged that the disclosure of this information would support transparency and better inform the public as to how the organisation conducts its business, there are already established routes for the public to contact with the police. </w:t>
      </w:r>
    </w:p>
    <w:p w14:paraId="21D615BA" w14:textId="61B9EFF3" w:rsidR="00E430A9" w:rsidRDefault="00E430A9" w:rsidP="00E430A9">
      <w:r w:rsidRPr="006234AC">
        <w:lastRenderedPageBreak/>
        <w:t>The disclosure of email addresses</w:t>
      </w:r>
      <w:r w:rsidR="00676A19" w:rsidRPr="006234AC">
        <w:t xml:space="preserve"> and phone numbers</w:t>
      </w:r>
      <w:r w:rsidRPr="006234AC">
        <w:t xml:space="preserve"> not in the public domain is not in the public interest as it would</w:t>
      </w:r>
      <w:r w:rsidRPr="009856CD">
        <w:t xml:space="preserve"> make it difficult for Police Scotland</w:t>
      </w:r>
      <w:r>
        <w:t xml:space="preserve"> (as well as our partner agencies)</w:t>
      </w:r>
      <w:r w:rsidRPr="009856CD">
        <w:t xml:space="preserve"> to offer an efficient and effective service.</w:t>
      </w:r>
    </w:p>
    <w:p w14:paraId="2D0C3A6B" w14:textId="77777777" w:rsidR="00E430A9" w:rsidRPr="00023B84" w:rsidRDefault="00E430A9" w:rsidP="00E430A9">
      <w:pPr>
        <w:pStyle w:val="ListParagraph"/>
        <w:numPr>
          <w:ilvl w:val="0"/>
          <w:numId w:val="7"/>
        </w:numPr>
        <w:rPr>
          <w:b/>
          <w:bCs/>
        </w:rPr>
      </w:pPr>
      <w:r w:rsidRPr="00023B84">
        <w:rPr>
          <w:b/>
          <w:bCs/>
        </w:rPr>
        <w:t>Section 34(1)(b) - Investigations</w:t>
      </w:r>
    </w:p>
    <w:p w14:paraId="4929D70A" w14:textId="77777777" w:rsidR="00E430A9" w:rsidRDefault="00E430A9" w:rsidP="00E430A9">
      <w:r w:rsidRPr="00023B84">
        <w:t xml:space="preserve">Information is exempt information if it has, at any time, been held by </w:t>
      </w:r>
      <w:r>
        <w:t xml:space="preserve">Police Scotland </w:t>
      </w:r>
      <w:r w:rsidRPr="00023B84">
        <w:t>for the purposes of an investigation which may lead to a decision to report the circumstances to the Crown Office and Procurator Fiscal Service</w:t>
      </w:r>
      <w:r>
        <w:t xml:space="preserve"> (COPFS)</w:t>
      </w:r>
      <w:r w:rsidRPr="00023B84">
        <w:t xml:space="preserve"> to enable a</w:t>
      </w:r>
      <w:r w:rsidRPr="00A76836">
        <w:rPr>
          <w:color w:val="000000"/>
          <w:sz w:val="23"/>
          <w:szCs w:val="23"/>
        </w:rPr>
        <w:t xml:space="preserve"> </w:t>
      </w:r>
      <w:r w:rsidRPr="00A76836">
        <w:t>determination on whether criminal proceedings should be instigated and whether a person should be prosecuted for an offence.</w:t>
      </w:r>
    </w:p>
    <w:p w14:paraId="652B6F00" w14:textId="77777777" w:rsidR="00E430A9" w:rsidRDefault="00E430A9" w:rsidP="00E430A9">
      <w:r w:rsidRPr="00A76836">
        <w:t xml:space="preserve">This is a non-absolute exemption and requires the application of the </w:t>
      </w:r>
      <w:r>
        <w:rPr>
          <w:b/>
          <w:bCs/>
        </w:rPr>
        <w:t>P</w:t>
      </w:r>
      <w:r w:rsidRPr="00F36459">
        <w:rPr>
          <w:b/>
          <w:bCs/>
        </w:rPr>
        <w:t xml:space="preserve">ublic </w:t>
      </w:r>
      <w:r>
        <w:rPr>
          <w:b/>
          <w:bCs/>
        </w:rPr>
        <w:t>I</w:t>
      </w:r>
      <w:r w:rsidRPr="00F36459">
        <w:rPr>
          <w:b/>
          <w:bCs/>
        </w:rPr>
        <w:t xml:space="preserve">nterest </w:t>
      </w:r>
      <w:r>
        <w:rPr>
          <w:b/>
          <w:bCs/>
        </w:rPr>
        <w:t>T</w:t>
      </w:r>
      <w:r w:rsidRPr="00F36459">
        <w:rPr>
          <w:b/>
          <w:bCs/>
        </w:rPr>
        <w:t>est</w:t>
      </w:r>
      <w:r>
        <w:t>:</w:t>
      </w:r>
    </w:p>
    <w:p w14:paraId="4E4E4112" w14:textId="77777777" w:rsidR="00E430A9" w:rsidRDefault="00E430A9" w:rsidP="00E430A9">
      <w:r>
        <w:t xml:space="preserve">It can be suggested that public awareness and accountability would favour disclosure, given the information concerns the efficient and effective conduct of the Police Service. </w:t>
      </w:r>
    </w:p>
    <w:p w14:paraId="2B2322DC" w14:textId="77777777" w:rsidR="00E430A9" w:rsidRDefault="00E430A9" w:rsidP="00E430A9">
      <w:bookmarkStart w:id="0" w:name="_Hlk215844699"/>
      <w:r>
        <w:t xml:space="preserve">That said, there can be no public interest in disclosing information which relates to police investigations outwith the associated criminal justice processes, thereby prejudicing those processes (and the Force’s future law enforcement at large). </w:t>
      </w:r>
    </w:p>
    <w:p w14:paraId="497AD8DF" w14:textId="620641C7" w:rsidR="006234AC" w:rsidRDefault="00E430A9" w:rsidP="00E430A9">
      <w:bookmarkStart w:id="1" w:name="_Hlk215848914"/>
      <w:bookmarkEnd w:id="0"/>
      <w:r>
        <w:t>On balance, it is considered that the public interest lies in maintaining the exemption to protect the integrity of police investigations.</w:t>
      </w:r>
      <w:bookmarkEnd w:id="1"/>
    </w:p>
    <w:p w14:paraId="662A8FE8" w14:textId="0680234D" w:rsidR="006234AC" w:rsidRDefault="006234AC" w:rsidP="006234AC">
      <w:pPr>
        <w:pStyle w:val="ListParagraph"/>
        <w:numPr>
          <w:ilvl w:val="0"/>
          <w:numId w:val="8"/>
        </w:numPr>
        <w:rPr>
          <w:b/>
          <w:bCs/>
        </w:rPr>
      </w:pPr>
      <w:r w:rsidRPr="006234AC">
        <w:rPr>
          <w:b/>
          <w:bCs/>
        </w:rPr>
        <w:t>Section 34(2)(b) - Investigation of death</w:t>
      </w:r>
    </w:p>
    <w:p w14:paraId="136E6D76" w14:textId="1C284B48" w:rsidR="006234AC" w:rsidRDefault="009C3FFF" w:rsidP="006234AC">
      <w:r w:rsidRPr="00023B84">
        <w:t xml:space="preserve">Information is exempt information if it has, at any time, been held by </w:t>
      </w:r>
      <w:r>
        <w:t xml:space="preserve">Police Scotland </w:t>
      </w:r>
      <w:r w:rsidRPr="00023B84">
        <w:t xml:space="preserve">for the purposes of an investigation which may lead to a decision to report the circumstances to </w:t>
      </w:r>
      <w:r w:rsidR="00BD7A72">
        <w:t xml:space="preserve">COPFS </w:t>
      </w:r>
      <w:r w:rsidR="006234AC" w:rsidRPr="006234AC">
        <w:t xml:space="preserve">as </w:t>
      </w:r>
      <w:r w:rsidR="00EE43B9">
        <w:t>regards</w:t>
      </w:r>
      <w:r w:rsidR="006234AC" w:rsidRPr="006234AC">
        <w:t xml:space="preserve"> the cause of death of a person. </w:t>
      </w:r>
    </w:p>
    <w:p w14:paraId="15291C81" w14:textId="77777777" w:rsidR="009C3FFF" w:rsidRDefault="009C3FFF" w:rsidP="009C3FFF">
      <w:r w:rsidRPr="00A76836">
        <w:t xml:space="preserve">This is a non-absolute exemption and requires the application of the </w:t>
      </w:r>
      <w:r>
        <w:rPr>
          <w:b/>
          <w:bCs/>
        </w:rPr>
        <w:t>P</w:t>
      </w:r>
      <w:r w:rsidRPr="00F36459">
        <w:rPr>
          <w:b/>
          <w:bCs/>
        </w:rPr>
        <w:t xml:space="preserve">ublic </w:t>
      </w:r>
      <w:r>
        <w:rPr>
          <w:b/>
          <w:bCs/>
        </w:rPr>
        <w:t>I</w:t>
      </w:r>
      <w:r w:rsidRPr="00F36459">
        <w:rPr>
          <w:b/>
          <w:bCs/>
        </w:rPr>
        <w:t xml:space="preserve">nterest </w:t>
      </w:r>
      <w:r>
        <w:rPr>
          <w:b/>
          <w:bCs/>
        </w:rPr>
        <w:t>T</w:t>
      </w:r>
      <w:r w:rsidRPr="00F36459">
        <w:rPr>
          <w:b/>
          <w:bCs/>
        </w:rPr>
        <w:t>est</w:t>
      </w:r>
      <w:r>
        <w:t>:</w:t>
      </w:r>
    </w:p>
    <w:p w14:paraId="29F81E66" w14:textId="057A0063" w:rsidR="00EF1CDB" w:rsidRDefault="00EF1CDB" w:rsidP="006234AC">
      <w:r>
        <w:t xml:space="preserve">First and foremost, it is essential to protect an individual’s </w:t>
      </w:r>
      <w:r w:rsidR="00FC5D76">
        <w:t xml:space="preserve">(as well as their family’s) </w:t>
      </w:r>
      <w:r>
        <w:t xml:space="preserve">right to privacy and </w:t>
      </w:r>
      <w:r w:rsidR="00FC5D76">
        <w:t xml:space="preserve">honouring their </w:t>
      </w:r>
      <w:r w:rsidR="00A204B9">
        <w:t>expectation of confidentiality</w:t>
      </w:r>
      <w:r w:rsidR="00FC5D76">
        <w:t xml:space="preserve"> - </w:t>
      </w:r>
      <w:r w:rsidR="00A204B9">
        <w:t xml:space="preserve">even in death. </w:t>
      </w:r>
    </w:p>
    <w:p w14:paraId="404AE811" w14:textId="77777777" w:rsidR="000B16EE" w:rsidRDefault="000B16EE" w:rsidP="00A204B9">
      <w:r>
        <w:t xml:space="preserve">Public </w:t>
      </w:r>
      <w:r w:rsidR="00A204B9">
        <w:t xml:space="preserve">disclosure would have a negative impact on the mental health and wellbeing of the family and friends who, irrespective of any public curiosity surrounding the case, have the right to grieve in private. </w:t>
      </w:r>
    </w:p>
    <w:p w14:paraId="27E386FA" w14:textId="3C3B0217" w:rsidR="00A204B9" w:rsidRDefault="000B16EE" w:rsidP="00A204B9">
      <w:r>
        <w:t>In this instance, t</w:t>
      </w:r>
      <w:r w:rsidR="00A204B9">
        <w:t xml:space="preserve">here are already processes in place, outwith FOI and the public nature of associated disclosures, to progress sensitive matters such as this. </w:t>
      </w:r>
    </w:p>
    <w:p w14:paraId="7AF3B1B0" w14:textId="57C2D225" w:rsidR="009C3FFF" w:rsidRDefault="004472E4" w:rsidP="006234AC">
      <w:r>
        <w:lastRenderedPageBreak/>
        <w:t xml:space="preserve">On </w:t>
      </w:r>
      <w:r w:rsidR="00A204B9">
        <w:t xml:space="preserve">balance, it is considered that the public interest overwhelmingly lies in maintaining the exemption to protect </w:t>
      </w:r>
      <w:r w:rsidR="009C3FFF">
        <w:t xml:space="preserve">the integrity of the investigation of death and the associated criminal justice procedures in place. </w:t>
      </w:r>
    </w:p>
    <w:p w14:paraId="746DAA8B" w14:textId="77777777" w:rsidR="00E430A9" w:rsidRDefault="00E430A9" w:rsidP="00E430A9">
      <w:pPr>
        <w:pStyle w:val="ListParagraph"/>
        <w:numPr>
          <w:ilvl w:val="0"/>
          <w:numId w:val="6"/>
        </w:numPr>
        <w:rPr>
          <w:b/>
          <w:bCs/>
        </w:rPr>
      </w:pPr>
      <w:r w:rsidRPr="009856CD">
        <w:rPr>
          <w:b/>
          <w:bCs/>
        </w:rPr>
        <w:t>Section 38(1)(b) - Personal Data</w:t>
      </w:r>
    </w:p>
    <w:p w14:paraId="2E349101" w14:textId="77777777" w:rsidR="00E430A9" w:rsidRPr="00A76836" w:rsidRDefault="00E430A9" w:rsidP="00E430A9">
      <w:r w:rsidRPr="00A76836">
        <w:t xml:space="preserve">Personal data is defined in Article 4 of the General Data Protection Regulation (GDPR) as: </w:t>
      </w:r>
    </w:p>
    <w:p w14:paraId="31ABAC9B" w14:textId="77777777" w:rsidR="00E430A9" w:rsidRPr="00A76836" w:rsidRDefault="00E430A9" w:rsidP="00E430A9">
      <w:r w:rsidRPr="00A76836">
        <w:rPr>
          <w:i/>
          <w:iCs/>
        </w:rPr>
        <w:t xml:space="preserve">‘Information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22097699" w14:textId="77777777" w:rsidR="00E430A9" w:rsidRPr="00A76836" w:rsidRDefault="00E430A9" w:rsidP="00E430A9">
      <w:r w:rsidRPr="00A76836">
        <w:t>Section 38(2A) of the Act provides that personal data is exempt from disclosure where disclosure would contravene any of the data protection principles set out at Article 5(1) of the GDPR</w:t>
      </w:r>
      <w:r>
        <w:t>,</w:t>
      </w:r>
      <w:r w:rsidRPr="00A76836">
        <w:t xml:space="preserve"> which states that: </w:t>
      </w:r>
    </w:p>
    <w:p w14:paraId="60179F93" w14:textId="77777777" w:rsidR="00E430A9" w:rsidRPr="00A76836" w:rsidRDefault="00E430A9" w:rsidP="00E430A9">
      <w:r w:rsidRPr="00A76836">
        <w:rPr>
          <w:i/>
          <w:iCs/>
        </w:rPr>
        <w:t xml:space="preserve">‘Personal data shall be processed lawfully, fairly and in a transparent manner in relation to the data subject’ </w:t>
      </w:r>
    </w:p>
    <w:p w14:paraId="0551BBFF" w14:textId="77777777" w:rsidR="00E430A9" w:rsidRDefault="00E430A9" w:rsidP="00E430A9">
      <w:r w:rsidRPr="00A76836">
        <w:t>Article 6 of the GDPR goes on to state that processing shall be lawful only if certain conditions are met.</w:t>
      </w:r>
      <w:r>
        <w:t xml:space="preserve"> </w:t>
      </w:r>
      <w:r w:rsidRPr="00A76836">
        <w:t>The only potentially applicable condition is Article 6(1)(f)</w:t>
      </w:r>
      <w:r>
        <w:t>,</w:t>
      </w:r>
      <w:r w:rsidRPr="00A76836">
        <w:t xml:space="preserve"> which states: </w:t>
      </w:r>
    </w:p>
    <w:p w14:paraId="2BA5E733" w14:textId="77777777" w:rsidR="00E430A9" w:rsidRDefault="00E430A9" w:rsidP="00E430A9">
      <w:pPr>
        <w:rPr>
          <w:i/>
          <w:iCs/>
        </w:rPr>
      </w:pPr>
      <w:r w:rsidRPr="00A76836">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w:t>
      </w:r>
      <w:r>
        <w:rPr>
          <w:i/>
          <w:iCs/>
        </w:rPr>
        <w:t>’</w:t>
      </w:r>
    </w:p>
    <w:p w14:paraId="16A366E6" w14:textId="77777777" w:rsidR="00E430A9" w:rsidRDefault="00E430A9" w:rsidP="00E430A9">
      <w:r w:rsidRPr="00E55B8E">
        <w:t>Whilst I accept that you may have a legitimate interest with regards</w:t>
      </w:r>
      <w:r>
        <w:t xml:space="preserve"> to</w:t>
      </w:r>
      <w:r w:rsidRPr="00E55B8E">
        <w:t xml:space="preserve"> the disclosure of this information and that disclosure may well be necessary for that purpose, I am nonetheless of the view that </w:t>
      </w:r>
      <w:r>
        <w:t>your</w:t>
      </w:r>
      <w:r w:rsidRPr="00E55B8E">
        <w:t xml:space="preserve"> interests are overridden by the interests or fundamental rights and freedoms of the data subject(s).</w:t>
      </w:r>
    </w:p>
    <w:p w14:paraId="15AF3117" w14:textId="77777777" w:rsidR="00E430A9" w:rsidRDefault="00E430A9" w:rsidP="00E430A9">
      <w:r>
        <w:t xml:space="preserve">On that basis, it is considered that disclosure of the information sought would be unlawful. </w:t>
      </w:r>
    </w:p>
    <w:p w14:paraId="7CFB0749" w14:textId="77777777" w:rsidR="00E430A9" w:rsidRDefault="00E430A9" w:rsidP="00E430A9">
      <w:pPr>
        <w:tabs>
          <w:tab w:val="left" w:pos="5400"/>
        </w:tabs>
        <w:jc w:val="both"/>
      </w:pPr>
      <w:r w:rsidRPr="00587B6B">
        <w:t xml:space="preserve">This is an absolute exemption and does not require consideration of the </w:t>
      </w:r>
      <w:r>
        <w:t>P</w:t>
      </w:r>
      <w:r w:rsidRPr="00587B6B">
        <w:t xml:space="preserve">ublic </w:t>
      </w:r>
      <w:r>
        <w:t>I</w:t>
      </w:r>
      <w:r w:rsidRPr="00587B6B">
        <w:t xml:space="preserve">nterest </w:t>
      </w:r>
      <w:r>
        <w:t>T</w:t>
      </w:r>
      <w:r w:rsidRPr="00587B6B">
        <w:t>est.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CAA1C9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1D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56AE59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1D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0BA0E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1D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4E172B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1DF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87C9B1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1DF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70F4ED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1DF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03E90"/>
    <w:multiLevelType w:val="hybridMultilevel"/>
    <w:tmpl w:val="3BF0ED42"/>
    <w:lvl w:ilvl="0" w:tplc="C5F4AB9C">
      <w:start w:val="1"/>
      <w:numFmt w:val="decimal"/>
      <w:lvlText w:val="%1."/>
      <w:lvlJc w:val="left"/>
      <w:rPr>
        <w:rFonts w:ascii="Arial" w:eastAsiaTheme="majorEastAsia" w:hAnsi="Arial" w:cstheme="maj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404B4"/>
    <w:multiLevelType w:val="hybridMultilevel"/>
    <w:tmpl w:val="4412F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621C6"/>
    <w:multiLevelType w:val="hybridMultilevel"/>
    <w:tmpl w:val="C2361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A40FD2"/>
    <w:multiLevelType w:val="hybridMultilevel"/>
    <w:tmpl w:val="4050B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5A107F"/>
    <w:multiLevelType w:val="hybridMultilevel"/>
    <w:tmpl w:val="1B1AF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8A7976"/>
    <w:multiLevelType w:val="hybridMultilevel"/>
    <w:tmpl w:val="0D48DE00"/>
    <w:lvl w:ilvl="0" w:tplc="DA6E5126">
      <w:start w:val="2"/>
      <w:numFmt w:val="decimal"/>
      <w:lvlText w:val="%1."/>
      <w:lvlJc w:val="left"/>
      <w:pPr>
        <w:ind w:left="0" w:firstLine="0"/>
      </w:pPr>
      <w:rPr>
        <w:rFonts w:ascii="Arial" w:eastAsiaTheme="majorEastAsia" w:hAnsi="Arial"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8184F"/>
    <w:multiLevelType w:val="hybridMultilevel"/>
    <w:tmpl w:val="776A7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E20D69"/>
    <w:multiLevelType w:val="hybridMultilevel"/>
    <w:tmpl w:val="3E30402C"/>
    <w:lvl w:ilvl="0" w:tplc="DAF69B7A">
      <w:start w:val="3"/>
      <w:numFmt w:val="decimal"/>
      <w:lvlText w:val="%1."/>
      <w:lvlJc w:val="left"/>
      <w:pPr>
        <w:ind w:left="0" w:firstLine="0"/>
      </w:pPr>
      <w:rPr>
        <w:rFonts w:ascii="Arial" w:eastAsiaTheme="majorEastAsia" w:hAnsi="Arial"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8"/>
  </w:num>
  <w:num w:numId="2" w16cid:durableId="607274356">
    <w:abstractNumId w:val="0"/>
  </w:num>
  <w:num w:numId="3" w16cid:durableId="436558926">
    <w:abstractNumId w:val="7"/>
  </w:num>
  <w:num w:numId="4" w16cid:durableId="1140224426">
    <w:abstractNumId w:val="5"/>
  </w:num>
  <w:num w:numId="5" w16cid:durableId="379794061">
    <w:abstractNumId w:val="1"/>
  </w:num>
  <w:num w:numId="6" w16cid:durableId="1862739755">
    <w:abstractNumId w:val="6"/>
  </w:num>
  <w:num w:numId="7" w16cid:durableId="1490515842">
    <w:abstractNumId w:val="2"/>
  </w:num>
  <w:num w:numId="8" w16cid:durableId="26102448">
    <w:abstractNumId w:val="3"/>
  </w:num>
  <w:num w:numId="9" w16cid:durableId="2114739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6A89"/>
    <w:rsid w:val="000379DC"/>
    <w:rsid w:val="00090F3B"/>
    <w:rsid w:val="00093349"/>
    <w:rsid w:val="000B16EE"/>
    <w:rsid w:val="000D7A05"/>
    <w:rsid w:val="000E2F19"/>
    <w:rsid w:val="000E4300"/>
    <w:rsid w:val="000E43FF"/>
    <w:rsid w:val="000E6526"/>
    <w:rsid w:val="001411BF"/>
    <w:rsid w:val="00141533"/>
    <w:rsid w:val="00167528"/>
    <w:rsid w:val="00184727"/>
    <w:rsid w:val="00195CC4"/>
    <w:rsid w:val="001A7EBC"/>
    <w:rsid w:val="001F2261"/>
    <w:rsid w:val="00207326"/>
    <w:rsid w:val="00253DF6"/>
    <w:rsid w:val="00255F1E"/>
    <w:rsid w:val="00260FBC"/>
    <w:rsid w:val="002E639B"/>
    <w:rsid w:val="00344710"/>
    <w:rsid w:val="0036503B"/>
    <w:rsid w:val="00376A4A"/>
    <w:rsid w:val="00381234"/>
    <w:rsid w:val="003D6D03"/>
    <w:rsid w:val="003E12CA"/>
    <w:rsid w:val="004010DC"/>
    <w:rsid w:val="004341F0"/>
    <w:rsid w:val="004472E4"/>
    <w:rsid w:val="00456324"/>
    <w:rsid w:val="00475460"/>
    <w:rsid w:val="00490317"/>
    <w:rsid w:val="00491644"/>
    <w:rsid w:val="00491DF2"/>
    <w:rsid w:val="00496A08"/>
    <w:rsid w:val="004A4076"/>
    <w:rsid w:val="004E1605"/>
    <w:rsid w:val="004F653C"/>
    <w:rsid w:val="00540A52"/>
    <w:rsid w:val="0055723F"/>
    <w:rsid w:val="00557306"/>
    <w:rsid w:val="006029D9"/>
    <w:rsid w:val="0060390B"/>
    <w:rsid w:val="00604344"/>
    <w:rsid w:val="006234AC"/>
    <w:rsid w:val="00645CFA"/>
    <w:rsid w:val="006547E1"/>
    <w:rsid w:val="00676A19"/>
    <w:rsid w:val="00685219"/>
    <w:rsid w:val="006D5799"/>
    <w:rsid w:val="007440EA"/>
    <w:rsid w:val="00750D83"/>
    <w:rsid w:val="00785DBC"/>
    <w:rsid w:val="00793DD5"/>
    <w:rsid w:val="007B0211"/>
    <w:rsid w:val="007D55F6"/>
    <w:rsid w:val="007F490F"/>
    <w:rsid w:val="0085453C"/>
    <w:rsid w:val="0086779C"/>
    <w:rsid w:val="00874BFD"/>
    <w:rsid w:val="008964EF"/>
    <w:rsid w:val="008F6331"/>
    <w:rsid w:val="00915E01"/>
    <w:rsid w:val="00931538"/>
    <w:rsid w:val="0093207F"/>
    <w:rsid w:val="009631A4"/>
    <w:rsid w:val="00977296"/>
    <w:rsid w:val="009B2208"/>
    <w:rsid w:val="009C3FFF"/>
    <w:rsid w:val="009D185A"/>
    <w:rsid w:val="009D2AA5"/>
    <w:rsid w:val="009D4AAC"/>
    <w:rsid w:val="00A204B9"/>
    <w:rsid w:val="00A25E93"/>
    <w:rsid w:val="00A31EDD"/>
    <w:rsid w:val="00A320FF"/>
    <w:rsid w:val="00A46B9D"/>
    <w:rsid w:val="00A70AC0"/>
    <w:rsid w:val="00A8354F"/>
    <w:rsid w:val="00A84EA9"/>
    <w:rsid w:val="00AA20A6"/>
    <w:rsid w:val="00AC443C"/>
    <w:rsid w:val="00AD287F"/>
    <w:rsid w:val="00B033D6"/>
    <w:rsid w:val="00B11A55"/>
    <w:rsid w:val="00B17211"/>
    <w:rsid w:val="00B461B2"/>
    <w:rsid w:val="00B654B6"/>
    <w:rsid w:val="00B71B3C"/>
    <w:rsid w:val="00B74BFC"/>
    <w:rsid w:val="00BC251F"/>
    <w:rsid w:val="00BC389E"/>
    <w:rsid w:val="00BD0588"/>
    <w:rsid w:val="00BD65C3"/>
    <w:rsid w:val="00BD7A72"/>
    <w:rsid w:val="00BE1888"/>
    <w:rsid w:val="00BF6B81"/>
    <w:rsid w:val="00C077A8"/>
    <w:rsid w:val="00C14FF4"/>
    <w:rsid w:val="00C1679F"/>
    <w:rsid w:val="00C606A2"/>
    <w:rsid w:val="00C63872"/>
    <w:rsid w:val="00C84948"/>
    <w:rsid w:val="00C92189"/>
    <w:rsid w:val="00C94ED8"/>
    <w:rsid w:val="00CE09FA"/>
    <w:rsid w:val="00CE1CCC"/>
    <w:rsid w:val="00CF1111"/>
    <w:rsid w:val="00D05706"/>
    <w:rsid w:val="00D26EED"/>
    <w:rsid w:val="00D27DC5"/>
    <w:rsid w:val="00D47E36"/>
    <w:rsid w:val="00D6781D"/>
    <w:rsid w:val="00D768D1"/>
    <w:rsid w:val="00D83276"/>
    <w:rsid w:val="00DB4840"/>
    <w:rsid w:val="00DD05EC"/>
    <w:rsid w:val="00E430A9"/>
    <w:rsid w:val="00E55D79"/>
    <w:rsid w:val="00E93D3F"/>
    <w:rsid w:val="00ED44AA"/>
    <w:rsid w:val="00EE2373"/>
    <w:rsid w:val="00EE43B9"/>
    <w:rsid w:val="00EF0FBB"/>
    <w:rsid w:val="00EF1CDB"/>
    <w:rsid w:val="00EF4761"/>
    <w:rsid w:val="00F05AEA"/>
    <w:rsid w:val="00F5293C"/>
    <w:rsid w:val="00FA018C"/>
    <w:rsid w:val="00FC2DA7"/>
    <w:rsid w:val="00FC5D7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1346</Words>
  <Characters>7678</Characters>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2025-12-16T19:10:00Z</cp:lastPrinted>
  <dcterms:created xsi:type="dcterms:W3CDTF">2025-12-16T18:58:00Z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